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1A26A" w14:textId="6830D4C7" w:rsidR="00A15990" w:rsidRDefault="00D97C3E" w:rsidP="00D97C3E">
      <w:pPr>
        <w:pStyle w:val="Pagedecouverture"/>
        <w:rPr>
          <w:noProof/>
        </w:rPr>
      </w:pPr>
      <w:bookmarkStart w:id="0" w:name="LW_BM_COVERPAGE"/>
      <w:r>
        <w:rPr>
          <w:noProof/>
        </w:rPr>
        <w:pict w14:anchorId="2EFE9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55B2F925-8DB2-4441-A9AE-1202A96DDFAA" style="width:455.25pt;height:410.25pt">
            <v:imagedata r:id="rId11" o:title=""/>
          </v:shape>
        </w:pict>
      </w:r>
    </w:p>
    <w:bookmarkEnd w:id="0"/>
    <w:p w14:paraId="0B51AFC5" w14:textId="77777777" w:rsidR="00A15990" w:rsidRDefault="00A15990">
      <w:pPr>
        <w:rPr>
          <w:noProof/>
        </w:rPr>
        <w:sectPr w:rsidR="00A15990" w:rsidSect="00D97C3E">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D5F6175" w14:textId="152E7379" w:rsidR="00A15990" w:rsidRDefault="00686A62">
      <w:pPr>
        <w:pStyle w:val="P68B1DB1-Normal1"/>
        <w:jc w:val="center"/>
        <w:rPr>
          <w:noProof/>
        </w:rPr>
      </w:pPr>
      <w:bookmarkStart w:id="1" w:name="_GoBack"/>
      <w:bookmarkEnd w:id="1"/>
      <w:r>
        <w:rPr>
          <w:noProof/>
        </w:rPr>
        <w:lastRenderedPageBreak/>
        <w:t>ANEXĂ</w:t>
      </w:r>
    </w:p>
    <w:p w14:paraId="57574ED9" w14:textId="78CF222F" w:rsidR="00A15990" w:rsidRDefault="00686A62">
      <w:pPr>
        <w:pStyle w:val="P68B1DB1-Normal2"/>
        <w:keepNext/>
        <w:tabs>
          <w:tab w:val="num" w:pos="850"/>
        </w:tabs>
        <w:spacing w:before="360" w:after="0" w:line="259" w:lineRule="auto"/>
        <w:ind w:left="850" w:hanging="850"/>
        <w:jc w:val="both"/>
        <w:outlineLvl w:val="0"/>
        <w:rPr>
          <w:rFonts w:eastAsiaTheme="majorEastAsia" w:cs="Times New Roman"/>
          <w:noProof/>
        </w:rPr>
      </w:pPr>
      <w:r>
        <w:rPr>
          <w:noProof/>
        </w:rPr>
        <w:t>SECȚIUNEA 1: REFORME ȘI INVESTIȚII INCLUSE ÎN PLANUL DE REDRESARE ȘI REZILIENȚĂ</w:t>
      </w:r>
    </w:p>
    <w:p w14:paraId="4B78C2C2"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72D463D7"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 xml:space="preserve">1. Descrierea reformelor și a investițiilor </w:t>
      </w:r>
    </w:p>
    <w:p w14:paraId="5907275D" w14:textId="77777777" w:rsidR="00A15990" w:rsidRDefault="00A15990">
      <w:pPr>
        <w:keepNext/>
        <w:spacing w:before="40" w:after="0" w:line="259" w:lineRule="auto"/>
        <w:jc w:val="both"/>
        <w:rPr>
          <w:rFonts w:ascii="Times New Roman" w:eastAsiaTheme="minorEastAsia" w:hAnsi="Times New Roman" w:cs="Times New Roman"/>
          <w:i/>
          <w:noProof/>
          <w:sz w:val="24"/>
        </w:rPr>
      </w:pPr>
    </w:p>
    <w:p w14:paraId="027E0929"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A. COMPONENTA 1: Serviciul național de sănătate</w:t>
      </w:r>
    </w:p>
    <w:p w14:paraId="38320C5D" w14:textId="409087CF" w:rsidR="00A15990" w:rsidRDefault="00686A62">
      <w:pPr>
        <w:pStyle w:val="P68B1DB1-Normal4"/>
        <w:keepNext/>
        <w:spacing w:before="40" w:after="0" w:line="259" w:lineRule="auto"/>
        <w:jc w:val="both"/>
        <w:rPr>
          <w:rFonts w:eastAsiaTheme="minorEastAsia" w:cs="Times New Roman"/>
          <w:noProof/>
        </w:rPr>
      </w:pPr>
      <w:r>
        <w:rPr>
          <w:noProof/>
        </w:rPr>
        <w:t>Această componentă a planului portughez de redresare și reziliență abordează o serie de provocări cu care se confruntă în prezent sistemul de sănătate portughez în ceea ce privește nevoile actuale și în continuă evoluție în materie de asistență medicală și costurile conexe. În primul rând, tendințele demografice negative din Portugalia – caracterizate de îmbătrânirea accelerată și de nevoile ulterioare de îngrijire pe termen lung – coincid cu evoluția modelelor de boli, cu o povară tot mai mare a bolilor cronice și degenerative, precum și cu creșterea treptată a multimorbidității. În al doilea rând, există încă o mortalitate considerabilă care poate fi evitată în Portugalia și un număr relativ scăzut de ani de viață sănătoasă la vârsta de 65 de ani. În al treilea rând, există posibilitatea de a pune un accent mai mare pe promovarea sănătății și pe prevenirea bolilor, în combinație cu abordarea fragmentării serviciilor de asistență medicală și a lacunelor în ceea ce privește accesul la asistență medicală. În al patrulea rând, plățile directe pentru asistența medicală sunt printre cele mai ridicate din UE, iar sarcina financiară raportată a asistenței medicale este relativ ridicată. În cele din urmă, Serviciul Național de Sănătate din Portugalia se confruntă de mai mulți ani cu o situație financiară dificilă. În special, Portugalia are un istoric de acțiuni recurente de salvare a spitalelor publice de către guvern, care nu au reușit să evite un ciclu sistematic de îndatorare a spitalelor, cu efecte de domino asupra relațiilor din lanțul de aprovizionare.</w:t>
      </w:r>
    </w:p>
    <w:p w14:paraId="7311148A" w14:textId="0249E23A" w:rsidR="00A15990" w:rsidRDefault="00686A62">
      <w:pPr>
        <w:pStyle w:val="P68B1DB1-Normal4"/>
        <w:keepNext/>
        <w:spacing w:before="40" w:after="0" w:line="259" w:lineRule="auto"/>
        <w:jc w:val="both"/>
        <w:rPr>
          <w:rFonts w:eastAsia="Times New Roman" w:cs="Times New Roman"/>
          <w:noProof/>
        </w:rPr>
      </w:pPr>
      <w:r>
        <w:rPr>
          <w:noProof/>
        </w:rPr>
        <w:t>Principalul obiectiv al componentei este de a consolida capacitatea de reacție a Serviciului Național de Sănătate din Portugalia, pentru a răspunde schimbărilor demografice și epidemiologice din țară, inovării terapeutice și tehnologice, precum și tendinței de creștere a cererii de asistență medicală și a costurilor conexe. În acest scop, componenta urmărește să consolideze rolul esențial al serviciilor de asistență medicală primară în cadrul arhitecturii generale a Serviciului Național de Sănătate, să extindă serviciile de îngrijire pe termen lung și de sănătate mintală și să sporească eficiența prin finalizarea reformei modelului de guvernanță al spitalelor publice și prin promovarea digitalizării serviciilor de asistență medicală.</w:t>
      </w:r>
    </w:p>
    <w:p w14:paraId="714DF149" w14:textId="77777777" w:rsidR="00A15990" w:rsidRDefault="00686A62">
      <w:pPr>
        <w:pStyle w:val="P68B1DB1-Normal4"/>
        <w:spacing w:before="40" w:after="120" w:line="259" w:lineRule="auto"/>
        <w:jc w:val="both"/>
        <w:rPr>
          <w:rFonts w:eastAsiaTheme="minorEastAsia" w:cs="Times New Roman"/>
          <w:noProof/>
        </w:rPr>
      </w:pPr>
      <w:r>
        <w:rPr>
          <w:noProof/>
        </w:rPr>
        <w:t>Componenta sprijină abordarea recomandării specifice fiecărei țări privind consolidarea controlului general al cheltuielilor, a eficienței din punctul de vedere al costurilor și a întocmirii adecvate a bugetului, cu accent pe reducerea durabilă a arieratelor din spitale (recomandarea specifică fiecărei țări 1 2019), precum și recomandarea specifică fiecărei țări privind consolidarea rezilienței sistemului de sănătate și asigurarea accesului egal la servicii de sănătate de calitate și la îngrijire pe termen lung (recomandarea specifică fiecărei țări 1 2020). Componenta contribuie, de asemenea, la abordarea recomandării specifice fiecărei țări de a concentra investițiile asupra tranziției verzi și digitale (recomandarea specifică fiecărei țări 3 2020).</w:t>
      </w:r>
    </w:p>
    <w:p w14:paraId="562E60CC" w14:textId="5277BFA7" w:rsidR="00A15990" w:rsidRDefault="00686A62">
      <w:pPr>
        <w:pStyle w:val="P68B1DB1-Normal4"/>
        <w:keepNext/>
        <w:spacing w:before="40" w:after="120" w:line="259" w:lineRule="auto"/>
        <w:jc w:val="both"/>
        <w:rPr>
          <w:rFonts w:eastAsiaTheme="minorEastAsia" w:cs="Times New Roman"/>
          <w:b/>
          <w:noProof/>
          <w:u w:val="single"/>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4C4465E0" w14:textId="77777777" w:rsidR="00A15990" w:rsidRDefault="00686A62">
      <w:pPr>
        <w:pStyle w:val="P68B1DB1-Normal3"/>
        <w:keepNext/>
        <w:spacing w:before="40" w:after="120" w:line="259" w:lineRule="auto"/>
        <w:ind w:left="130" w:firstLine="720"/>
        <w:jc w:val="both"/>
        <w:outlineLvl w:val="1"/>
        <w:rPr>
          <w:rFonts w:eastAsiaTheme="minorEastAsia" w:cs="Times New Roman"/>
          <w:noProof/>
        </w:rPr>
      </w:pPr>
      <w:r>
        <w:rPr>
          <w:noProof/>
        </w:rPr>
        <w:t>A.1. Descrierea reformelor și a investițiilor pentru sprijinul financiar nerambursabil</w:t>
      </w:r>
    </w:p>
    <w:p w14:paraId="77050E33"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RE-r01: Reforma asistenței medicale primare</w:t>
      </w:r>
    </w:p>
    <w:p w14:paraId="17FEB3D7" w14:textId="4B2E28D1" w:rsidR="00A15990" w:rsidRDefault="00686A62">
      <w:pPr>
        <w:pStyle w:val="P68B1DB1-Normal4"/>
        <w:keepNext/>
        <w:spacing w:before="40" w:after="0" w:line="259" w:lineRule="auto"/>
        <w:jc w:val="both"/>
        <w:rPr>
          <w:rFonts w:eastAsiaTheme="minorEastAsia" w:cs="Times New Roman"/>
          <w:noProof/>
          <w:u w:val="single"/>
        </w:rPr>
      </w:pPr>
      <w:r>
        <w:rPr>
          <w:noProof/>
        </w:rPr>
        <w:t>Obiectivul global al reformei este de a consolida rolul central al serviciilor de asistență medicală primară în satisfacerea nevoilor de sănătate ale populației în cadrul arhitecturii generale a Serviciului Național de Sănătate. În acest scop, reforma vizează abordarea a șase priorități: I) aprofundarea capacității de screening și diagnosticare timpurie, și anume a celor mai frecvente patologii; II) consolidarea capacității de răspuns a asistenței medicale primare prin crearea unor centre de sănătate mai proactive, cu un portofoliu de servicii și domenii de intervenție extinse, precum și mai integrate cu alte niveluri de îngrijire, și prin adaptarea proceselor la caracteristicile individuale ale fiecărui utilizator și la parcursul de viață aferent, reducerea variabilității ridicate a practicilor clinice (inclusiv în ceea ce privește prescripția medicală ambulatorie), îmbunătățirea sesizării clinice între diferitele niveluri de asistență medicală și urmărirea creșterii eficienței prin limitarea duplicării serviciilor sau a furnizării de îngrijiri ineficiente, inadecvate sau cu valoare scăzută; III) corectarea asimetriilor regionale și locale în ceea ce privește facilitățile și echipamentele disponibile în cadrul serviciilor de asistență medicală primară; IV) sprijinirea răspunsurilor bazate pe comunitate și crearea de programe de sprijin pentru utilizatori și familiile acestora, o mai bună implicare a cetățenilor și a comunităților, inclusiv prin finalizarea predării responsabilităților în materie de sănătate de la administrațiile centrale către cele locale; V) îmbunătățirea competențelor forței de muncă din domeniul sănătății, consolidarea muncii multidisciplinare în echipă și extinderea numărului de profesioniști, inclusiv de specialiști; și vi) realizarea tranziției digitale a Serviciului Național de Sănătate și exploatarea potențialului acestuia de modernizare și simplificare a utilizării serviciilor de sănătate. În acest sens, reforma oferă condiții-cadru îmbunătățite pentru investițiile aferente în serviciile de asistență medicală primară.</w:t>
      </w:r>
    </w:p>
    <w:p w14:paraId="2145F595" w14:textId="182C1721" w:rsidR="00A15990" w:rsidRDefault="00686A62">
      <w:pPr>
        <w:pStyle w:val="P68B1DB1-Normal4"/>
        <w:keepNext/>
        <w:spacing w:before="40" w:after="0" w:line="259" w:lineRule="auto"/>
        <w:jc w:val="both"/>
        <w:rPr>
          <w:rFonts w:eastAsiaTheme="minorEastAsia" w:cs="Times New Roman"/>
          <w:noProof/>
        </w:rPr>
      </w:pPr>
      <w:r>
        <w:rPr>
          <w:noProof/>
        </w:rPr>
        <w:t>Reforma constă în punerea în aplicare a mai multor măsuri legislative și de reglementare, în vederea: I) extinderea responsabilităților și a domeniului de intervenție al grupurilor de centre de sănătate, precum și tipologia unităților funcționale care le compun; II) revizuirea regimului juridic pentru organizarea și funcționarea unităților funcționale, precum și a schemei de stimulente care urmează să fie acordate elementelor care le compun; III) dezvoltarea unui instrument de stratificare a riscurilor pentru a sprijini guvernanța clinică în unitățile funcționale ale grupurilor de centre medicale; și iv) finalizarea transferului de responsabilități în domeniul sănătății de la administrația centrală la municipalități.</w:t>
      </w:r>
    </w:p>
    <w:p w14:paraId="13EB0AA1" w14:textId="77777777" w:rsidR="00A15990" w:rsidRDefault="00686A62">
      <w:pPr>
        <w:pStyle w:val="P68B1DB1-Normal4"/>
        <w:keepNext/>
        <w:spacing w:before="40" w:after="0" w:line="259" w:lineRule="auto"/>
        <w:jc w:val="both"/>
        <w:rPr>
          <w:rFonts w:eastAsiaTheme="minorEastAsia" w:cs="Times New Roman"/>
          <w:noProof/>
        </w:rPr>
      </w:pPr>
      <w:r>
        <w:rPr>
          <w:noProof/>
        </w:rPr>
        <w:t>Jalonul și țintele legate de punerea în aplicare a reformei se finalizează până la 31 decembrie 2023.</w:t>
      </w:r>
    </w:p>
    <w:p w14:paraId="3B03907D"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RE-r02: Reforma în domeniul sănătății mintale</w:t>
      </w:r>
    </w:p>
    <w:p w14:paraId="12CAE8A0" w14:textId="77777777" w:rsidR="00A15990" w:rsidRDefault="00686A62">
      <w:pPr>
        <w:pStyle w:val="P68B1DB1-Normal4"/>
        <w:keepNext/>
        <w:spacing w:before="40" w:after="0" w:line="259" w:lineRule="auto"/>
        <w:jc w:val="both"/>
        <w:rPr>
          <w:rFonts w:eastAsiaTheme="minorEastAsia" w:cs="Times New Roman"/>
          <w:noProof/>
        </w:rPr>
      </w:pPr>
      <w:r>
        <w:rPr>
          <w:noProof/>
        </w:rPr>
        <w:t>Obiectivul global al acestei reforme este îmbunătățirea sănătății mintale în Portugalia. În acest scop, reforma este structurată pe cinci axe de intervenție: I) dezinstituționalizarea pacienților care locuiesc în spitale psihiatrice sau în instituții din sectorul social; II) finalizarea acoperirii naționale a serviciilor locale de sănătate mintală, în domeniul asistenței medicale spitalicești, ambulatorii și comunitare; III) extinderea rețelei naționale de îngrijire continuă integrată, cu accent pe sănătatea mintală; reorganizarea serviciilor medico-psihiatrice; și v) punerea în aplicare a planurilor regionale de sănătate pentru demență.</w:t>
      </w:r>
    </w:p>
    <w:p w14:paraId="0D4AF41B" w14:textId="77777777" w:rsidR="00A15990" w:rsidRDefault="00686A62">
      <w:pPr>
        <w:pStyle w:val="P68B1DB1-Normal4"/>
        <w:keepNext/>
        <w:spacing w:before="40" w:after="0" w:line="259" w:lineRule="auto"/>
        <w:jc w:val="both"/>
        <w:rPr>
          <w:rFonts w:eastAsiaTheme="minorEastAsia" w:cs="Times New Roman"/>
          <w:noProof/>
        </w:rPr>
      </w:pPr>
      <w:r>
        <w:rPr>
          <w:noProof/>
        </w:rPr>
        <w:t>În mod concret, reforma constă în revizuirea Legii actuale privind sănătatea mintală – care stabilește principiile generale ale politicii de sănătate mintală în Portugalia și reglementează internarea obligatorie a persoanelor cu tulburări psihice – și a Decretului-lege privind sănătatea mintală – care definește principiile directoare pentru organizarea, gestionarea și evaluarea serviciilor de sănătate mintală. Printre altele, se introduc următoarele modificări în aceste dispoziții legale: I) încorporarea în legislație a principiilor Convenției Națiunilor Unite privind drepturile persoanelor cu handicap; și ii) creșterea autonomiei și a bunei gestionări a serviciilor locale de sănătate mintală, prin crearea unor centre integrate de responsabilitate. În acest sens, reforma oferă condiții-cadru îmbunătățite pentru investițiile aferente în serviciile de îngrijire a sănătății mintale.</w:t>
      </w:r>
    </w:p>
    <w:p w14:paraId="10338A6D" w14:textId="77777777" w:rsidR="00A15990" w:rsidRDefault="00686A62">
      <w:pPr>
        <w:pStyle w:val="P68B1DB1-Normal4"/>
        <w:keepNext/>
        <w:spacing w:before="40" w:after="0" w:line="259" w:lineRule="auto"/>
        <w:jc w:val="both"/>
        <w:rPr>
          <w:rFonts w:eastAsiaTheme="minorEastAsia" w:cs="Times New Roman"/>
          <w:noProof/>
        </w:rPr>
        <w:sectPr w:rsidR="00A15990" w:rsidSect="00787826">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r>
        <w:rPr>
          <w:noProof/>
        </w:rPr>
        <w:t>Etapele principale legate de punerea în aplicare a reformei se finalizează până la 31 martie 2023.</w:t>
      </w:r>
    </w:p>
    <w:p w14:paraId="3F67CEFA"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RE-r03: Finalizarea reformei modelului de guvernanță a spitalelor publice</w:t>
      </w:r>
    </w:p>
    <w:p w14:paraId="0C7C138E" w14:textId="77777777" w:rsidR="00A15990" w:rsidRDefault="00686A62">
      <w:pPr>
        <w:pStyle w:val="P68B1DB1-Normal4"/>
        <w:keepNext/>
        <w:spacing w:before="40" w:after="0" w:line="259" w:lineRule="auto"/>
        <w:jc w:val="both"/>
        <w:rPr>
          <w:rFonts w:eastAsiaTheme="minorEastAsia" w:cs="Times New Roman"/>
          <w:noProof/>
        </w:rPr>
      </w:pPr>
      <w:r>
        <w:rPr>
          <w:noProof/>
        </w:rPr>
        <w:t>Obiectivul global al reformei este creșterea eficienței spitalelor din cadrul Serviciului Național de Sănătate. În acest scop, acesta vizează: I) reformarea organizării și gestionării interne a spitalelor publice; reconfigurarea rețelei spitalicești în funcție de planificarea capacității în ceea ce privește cererea de servicii și oferta de resurse umane și infrastructură; îmbunătățirea coordonării cu celelalte elemente ale Serviciului Național de Sănătate, și anume cu serviciile de asistență medicală primară și mentală, precum și cu rețelele paliative și integrate de îngrijire continuă; IV) implicarea cadrelor medicale și a structurilor intermediare în gestionarea spitalelor publice; și v) concentrarea răspunsurilor asupra nevoilor reale ale cetățenilor în materie de sănătate și bunăstare.</w:t>
      </w:r>
    </w:p>
    <w:p w14:paraId="0F06F40C" w14:textId="77777777" w:rsidR="00A15990" w:rsidRDefault="00686A62">
      <w:pPr>
        <w:pStyle w:val="P68B1DB1-Normal4"/>
        <w:keepNext/>
        <w:spacing w:before="40" w:after="0" w:line="259" w:lineRule="auto"/>
        <w:jc w:val="both"/>
        <w:rPr>
          <w:rFonts w:eastAsiaTheme="minorEastAsia" w:cs="Times New Roman"/>
          <w:noProof/>
        </w:rPr>
      </w:pPr>
      <w:r>
        <w:rPr>
          <w:noProof/>
        </w:rPr>
        <w:t>Indicatorii obiectivi pentru evaluarea performanței directorilor de spitale sunt incluși în contractele de management, evaluând atât calitatea serviciilor, cât și situația financiară a spitalelor publice. Acest lucru va contribui la asigurarea coerenței cu prioritățile politicii de sănătate a guvernului și la o gestionare mai previzibilă a resurselor spitalicești, autonomia fiind combinată cu o monitorizare și o responsabilitate sporite. Punerea în aplicare a contractelor de gestionare revizuite este treptată și prioritizată în funcție de nivelul de eficiență, dimensiunea și distribuția geografică a spitalelor publice. În plus, rolul de monitorizare al ministerelor sănătății și finanțelor va fi consolidat pentru a asigura o abordare integrată și coerentă în ceea ce privește evaluarea performanței spitalelor și corectarea, în timp util, a abaterilor de la bugetele aprobate.</w:t>
      </w:r>
    </w:p>
    <w:p w14:paraId="18CD3273" w14:textId="77777777" w:rsidR="00A15990" w:rsidRDefault="00686A62">
      <w:pPr>
        <w:pStyle w:val="P68B1DB1-Normal4"/>
        <w:keepNext/>
        <w:spacing w:before="40" w:after="0" w:line="259" w:lineRule="auto"/>
        <w:jc w:val="both"/>
        <w:rPr>
          <w:rFonts w:eastAsiaTheme="minorEastAsia" w:cs="Times New Roman"/>
          <w:noProof/>
        </w:rPr>
      </w:pPr>
      <w:r>
        <w:rPr>
          <w:noProof/>
        </w:rPr>
        <w:t>În plus, achizițiile centralizate sunt consolidate în vederea realizării unor economii suplimentare în materie de eficiență, în special prin abordarea recomandărilor formulate în urma unei evaluări independente recente. În special, achizițiile centralizate urmează să fie extinse la echipamente și dispozitive medicale. În plus, se preconizează îmbunătățirea gestionării interne a spitalelor publice, în special prin crearea unor centre integrate de responsabilitate și prin punerea în aplicare a unor regimuri de remunerare bazate pe performanță aplicabile unităților asociate unor astfel de centre. În acest sens, intră în vigoare un regim complet de dedicare a Serviciului Național de Sănătate pentru profesioniștii din domeniul sănătății.</w:t>
      </w:r>
    </w:p>
    <w:p w14:paraId="13152133" w14:textId="77777777" w:rsidR="00A15990" w:rsidRDefault="00686A62">
      <w:pPr>
        <w:pStyle w:val="P68B1DB1-Normal4"/>
        <w:keepNext/>
        <w:spacing w:before="40" w:after="0" w:line="259" w:lineRule="auto"/>
        <w:jc w:val="both"/>
        <w:rPr>
          <w:rFonts w:eastAsiaTheme="minorEastAsia" w:cs="Times New Roman"/>
          <w:noProof/>
        </w:rPr>
      </w:pPr>
      <w:r>
        <w:rPr>
          <w:noProof/>
        </w:rPr>
        <w:t>În plus, măsura include inițiative de reproiectare a rețelei spitalicești pentru a asigura o mai bună articulare între servicii. În special, trebuie dezvoltate în continuare răspunsurile la spitalizare la domiciliu, pentru a oferi asistență medicală la domiciliul pacientului, în strânsă legătură cu serviciile de asistență medicală primară, cu rețeaua națională de servicii integrate de îngrijire continuă, cu sectorul social și cu comunitățile locale. În plus, capacitatea laboratoarelor Serviciului Național de Sănătate de a diagnostica bolile infecțioase va fi consolidată, iar capacitatea sa de terapie intensivă va fi mărită.</w:t>
      </w:r>
    </w:p>
    <w:p w14:paraId="2CA75694"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31 decembrie 2025.</w:t>
      </w:r>
    </w:p>
    <w:p w14:paraId="2AB13652"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RE-C01-i01: Servicii de asistență medicală primară cu mai multe răspunsuri</w:t>
      </w:r>
    </w:p>
    <w:p w14:paraId="6B7DB75C" w14:textId="77777777" w:rsidR="00A15990" w:rsidRDefault="00686A62">
      <w:pPr>
        <w:pStyle w:val="P68B1DB1-Normal4"/>
        <w:keepNext/>
        <w:spacing w:before="40" w:after="0" w:line="259" w:lineRule="auto"/>
        <w:jc w:val="both"/>
        <w:rPr>
          <w:rFonts w:eastAsia="Times New Roman" w:cs="Times New Roman"/>
          <w:noProof/>
        </w:rPr>
      </w:pPr>
      <w:r>
        <w:rPr>
          <w:noProof/>
        </w:rPr>
        <w:t>Obiectivul acestei investiții este de a extinde serviciile de asistență medicală primară și de a consolida rolul central al serviciilor de asistență medicală primară în satisfacerea nevoilor de sănătate ale populației în cadrul arhitecturii generale a Serviciului Național de Sănătate. Investiția se bazează pe reforma serviciilor de asistență medicală primară.</w:t>
      </w:r>
    </w:p>
    <w:p w14:paraId="50F040E1" w14:textId="77777777" w:rsidR="00A15990" w:rsidRDefault="00686A62">
      <w:pPr>
        <w:pStyle w:val="P68B1DB1-Normal4"/>
        <w:keepNext/>
        <w:spacing w:before="40" w:after="0" w:line="259" w:lineRule="auto"/>
        <w:jc w:val="both"/>
        <w:rPr>
          <w:rFonts w:eastAsia="Times New Roman" w:cs="Times New Roman"/>
          <w:noProof/>
        </w:rPr>
      </w:pPr>
      <w:r>
        <w:rPr>
          <w:noProof/>
        </w:rPr>
        <w:t>Investiția include următoarele inițiative:</w:t>
      </w:r>
    </w:p>
    <w:p w14:paraId="2BF5C657" w14:textId="4E284A53" w:rsidR="00A15990" w:rsidRDefault="00686A62">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În primul rând, mai multe investiții secundare îmbunătățesc accesul, calitatea și eficiența serviciilor de asistență medicală primară, contribuind astfel la finalizarea acoperirii naționale a programelor de screening și la consolidarea capacității de diagnosticare timpurie. Acestea cuprind: I) extinderea screeningului pentru depistarea cancerului la toate centrele medicale, inclusiv pentru cancerul colorectal și cancerul de col uterin; II) extinderea screeningului pentru retinopatie diabetică la toate centrele medicale; III) asigurarea capacității tuturor centrelor medicale de a măsura proteina C reactivă; IV) dotarea grupurilor din centrele medicale cu spirometre pentru diagnosticarea timpurie, monitorizarea și tratarea astmului, a bolilor pulmonare obstructive cronice și a fumatului; V) furnizează unităților de asistență medicală echipamente Holter și monitorizare ambulatorie a tensiunii arteriale; VI)</w:t>
      </w:r>
      <w:r w:rsidR="00852019">
        <w:rPr>
          <w:noProof/>
        </w:rPr>
        <w:t> </w:t>
      </w:r>
      <w:r>
        <w:rPr>
          <w:noProof/>
        </w:rPr>
        <w:t>extinderea consultațiilor la picioare diabetice la toate grupurile din centrele de sănătate; VII) adoptarea planurilor de îngrijire individuală pentru pacienții cu morbiditate complexă și multimorbidă; VIII) definirea protocoalelor de sesizare în zonele de îngrijire cele mai căutate, și anume oftalmologie, otorhinolaringologie, ortopedie și urologie; și ix) finalizarea sistemului informatic integrat care facilitează trimiterea pacienților între nivelurile de asistență medicală.</w:t>
      </w:r>
    </w:p>
    <w:p w14:paraId="0EC6BFD7" w14:textId="77777777" w:rsidR="00A15990" w:rsidRDefault="00686A62">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În al doilea rând, alte investiții secundare vizează extinderea domeniilor de intervenție ale grupurilor de centre medicale, sporind astfel capacitatea de răspuns a acestui nivel de asistență medicală și consolidând oferta de specialități medicale prin consolidarea muncii specializate și în echipă în unitățile sanitare. În detaliu, acestea includ: I) instalarea de cabinete stomatologice în centre medicale; crearea de centre integrate de diagnosticare (care să includă cel puțin analize cu raze X și analize clinice) în grupuri de centre medicale; III) crearea de servicii de reabilitare în centrele de sănătate (spații fizice adecvate și reabilitare, echipe multidisciplinare și interdisciplinare); IV) dotarea tuturor centrelor medicale cu echipament (pungă de urgență, defibrilator și monitor de semnalizare vitală) pentru intervenții calificate în caz de urgență (asistență de bază); și v) impulsionarea programului în vederea reducerii utilizării inadecvate și/sau care pot fi prevenite a serviciilor de asistență medicală de urgență.</w:t>
      </w:r>
    </w:p>
    <w:p w14:paraId="79BA5279" w14:textId="43FCD498" w:rsidR="00A15990" w:rsidRDefault="00686A62">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În al treilea rând, subinvestițiile suplimentare trebuie să prevadă modernizarea instalațiilor și a echipamentelor centrelor de sănătate, creșterea eficienței energetice, asigurarea condițiilor de accesibilitate, calitate, confort și siguranță pentru pacienți și profesioniști și adaptarea acestora la noile modele de furnizare a asistenței medicale. În detaliu, acestea includ, printre altele: I) construirea a 124 de noi centre de sănătate; recondiționarea sau adaptarea a 347 de unități medicale pentru a spori eficiența energetică, a respecta planurile de urgență și a asigura accesibilitatea, siguranța sanitară și confortul; și iii) modernizarea echipamentelor sanitare.</w:t>
      </w:r>
    </w:p>
    <w:p w14:paraId="7BFAF513" w14:textId="64B5635E" w:rsidR="00A15990" w:rsidRDefault="00686A62">
      <w:pPr>
        <w:pStyle w:val="P68B1DB1-Normal4"/>
        <w:keepNext/>
        <w:numPr>
          <w:ilvl w:val="0"/>
          <w:numId w:val="55"/>
        </w:numPr>
        <w:tabs>
          <w:tab w:val="left" w:pos="426"/>
        </w:tabs>
        <w:spacing w:before="40" w:after="160" w:line="259" w:lineRule="auto"/>
        <w:jc w:val="both"/>
        <w:rPr>
          <w:rFonts w:eastAsia="Times New Roman" w:cs="Times New Roman"/>
          <w:noProof/>
        </w:rPr>
      </w:pPr>
      <w:r>
        <w:rPr>
          <w:noProof/>
        </w:rPr>
        <w:t>În al patrulea rând, subinvestițiile suplimentare se concentrează pe îmbunătățirea răspunsurilor de proximitate, cu accent pe îngrijirea la domiciliu și în comunitate, intervenția în populațiile cu cel mai mare risc și promovarea dezinstituționalizării și a îngrijirii ambulatorii. În detaliu, acestea includ: I) punerea la dispoziția centrelor de sănătate a vehiculelor electrice pentru a sprijini furnizarea de servicii de îngrijire la domiciliu; II) extinderea numărului de unități mobile pentru a acoperi regiunile cu densitate scăzută; III) furnizarea către centrele de sănătate a condițiilor tehnice necesare pentru a efectua teleconsultări și telemonitorizarea bolilor cronice, cum ar fi pentru insuficiența cardiacă; IV) consolidarea unităților de îngrijire comunitară și a echipelor de îngrijire continuă integrată; (V) crearea de echipe comunitare pentru a sprijini îngrijirea paliativă în cadrul grupurilor din centrele medicale; și vi) crearea de programe de intervenție psihosocială în ceea ce privește bolile mintale comune (depresie și anxietate) în grupurile din centrele de sănătate.</w:t>
      </w:r>
    </w:p>
    <w:p w14:paraId="6598C353" w14:textId="351C8CDE" w:rsidR="00A15990" w:rsidRDefault="00686A62">
      <w:pPr>
        <w:pStyle w:val="P68B1DB1-Normal4"/>
        <w:keepNext/>
        <w:tabs>
          <w:tab w:val="left" w:pos="426"/>
        </w:tabs>
        <w:spacing w:before="40" w:after="0" w:line="259" w:lineRule="auto"/>
        <w:jc w:val="both"/>
        <w:rPr>
          <w:rFonts w:eastAsiaTheme="minorEastAsia" w:cs="Times New Roman"/>
          <w:noProof/>
        </w:rPr>
      </w:pPr>
      <w:r>
        <w:rPr>
          <w:noProof/>
        </w:rPr>
        <w:t>Punerea în aplicare a investiției se va finaliza până la 30 iunie 2026.</w:t>
      </w:r>
    </w:p>
    <w:p w14:paraId="2354E762" w14:textId="0B3D6010" w:rsidR="00A15990" w:rsidRDefault="00A15990">
      <w:pPr>
        <w:keepNext/>
        <w:tabs>
          <w:tab w:val="left" w:pos="426"/>
        </w:tabs>
        <w:spacing w:before="40" w:after="0" w:line="259" w:lineRule="auto"/>
        <w:jc w:val="both"/>
        <w:rPr>
          <w:rFonts w:ascii="Times New Roman" w:eastAsiaTheme="minorEastAsia" w:hAnsi="Times New Roman" w:cs="Times New Roman"/>
          <w:noProof/>
          <w:sz w:val="24"/>
        </w:rPr>
      </w:pPr>
    </w:p>
    <w:p w14:paraId="4C9B07E6" w14:textId="77777777" w:rsidR="00A15990" w:rsidRDefault="00A15990">
      <w:pPr>
        <w:keepNext/>
        <w:tabs>
          <w:tab w:val="left" w:pos="426"/>
        </w:tabs>
        <w:spacing w:before="40" w:after="0" w:line="259" w:lineRule="auto"/>
        <w:jc w:val="both"/>
        <w:rPr>
          <w:rFonts w:ascii="Times New Roman" w:eastAsia="Times New Roman" w:hAnsi="Times New Roman" w:cs="Times New Roman"/>
          <w:noProof/>
          <w:sz w:val="24"/>
        </w:rPr>
      </w:pPr>
    </w:p>
    <w:p w14:paraId="308A36DF" w14:textId="77777777"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RE-C01-i02: Rețeaua națională de îngrijire continuă integrată și Rețeaua națională de îngrijire paliativă</w:t>
      </w:r>
    </w:p>
    <w:p w14:paraId="4167DC2F" w14:textId="77777777" w:rsidR="00A15990" w:rsidRDefault="00686A62">
      <w:pPr>
        <w:pStyle w:val="P68B1DB1-Normal4"/>
        <w:keepNext/>
        <w:spacing w:before="40" w:after="0" w:line="259" w:lineRule="auto"/>
        <w:jc w:val="both"/>
        <w:rPr>
          <w:rFonts w:eastAsia="Times New Roman" w:cs="Times New Roman"/>
          <w:noProof/>
        </w:rPr>
      </w:pPr>
      <w:r>
        <w:rPr>
          <w:noProof/>
        </w:rPr>
        <w:t>Obiectivul investiției este de a extinde rețelele naționale de îngrijire paliativă și integrată continuă, atât în ceea ce privește tratamentul în spital, cât și în cel ambulatoriu, precum și îngrijirea la domiciliu. Investiția este susținută de reforma privind o strategie națională pentru incluziunea persoanelor cu handicap prezentată în componenta 3 privind răspunsurile sociale și face parte din strategia de dezinstituționalizare a Portugaliei și din efortul general de abordare a tendințelor demografice negative cu care se confruntă țara.</w:t>
      </w:r>
    </w:p>
    <w:p w14:paraId="4876C261" w14:textId="5574ACD9" w:rsidR="00A15990" w:rsidRDefault="00686A62">
      <w:pPr>
        <w:pStyle w:val="P68B1DB1-Normal4"/>
        <w:keepNext/>
        <w:spacing w:before="40" w:after="0" w:line="259" w:lineRule="auto"/>
        <w:jc w:val="both"/>
        <w:rPr>
          <w:rFonts w:eastAsia="Times New Roman" w:cs="Times New Roman"/>
          <w:noProof/>
        </w:rPr>
      </w:pPr>
      <w:r>
        <w:rPr>
          <w:noProof/>
        </w:rPr>
        <w:t>Investiția constă într-un program structurat și etapizat pentru a oferi sprijin financiar promotorilor din sectorul public, social sau privat, pentru: I) să extindă rețeaua națională de îngrijire continuă integrată cu 5 500 de paturi (fie în unitățile existente, fie în cele noi); II) să creeze 20 de unități de zi pentru a promova autonomia, în vederea monitorizării a 500 de pacienți ambulanți; III) să înființeze 50 echipe de îngrijire continuă integrată la domiciliu, pentru a răspunde la 1 000 de pacienți la domiciliu (inclusiv echipamente și vehicule electrice); IV) să extindă răspunsurile integrate de îngrijire a sănătății mintale în 1 000 de locuri, în 50 de reședințe și unități socioprofesionale (sprijin pentru construirea de noi răspunsuri sau extinderea răspunsurilor existente); (V) crearea a până la 100 de locuri în 10 de echipe de sprijin pentru sănătatea mintală la domiciliu (sprijin pentru achiziționarea resurselor materiale necesare și a vehiculelor electrice pentru activitatea echipelor); VI) să extindă rețeaua națională de îngrijire paliativă cu 20 de unități de îngrijire paliativă cu complexitate redusă, pentru a răspunde la 400 de pacienți; și vii) crearea a până la 100 de locuri în 10 echipe comunitare de îngrijire paliativă (sprijin pentru achiziționarea resurselor materiale necesare și a vehiculelor electrice pentru activitatea echipelor).</w:t>
      </w:r>
    </w:p>
    <w:p w14:paraId="0F0BCBC6" w14:textId="77777777"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31 decembrie 2025.</w:t>
      </w:r>
    </w:p>
    <w:p w14:paraId="529517D0" w14:textId="77777777"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RE-C01-i03: Finalizarea reformei în domeniul sănătății mintale și punerea în aplicare a strategiei privind demența</w:t>
      </w:r>
    </w:p>
    <w:p w14:paraId="3CBF58D6" w14:textId="77777777" w:rsidR="00A15990" w:rsidRDefault="00686A62">
      <w:pPr>
        <w:pStyle w:val="P68B1DB1-Normal4"/>
        <w:keepNext/>
        <w:spacing w:before="40" w:after="0" w:line="259" w:lineRule="auto"/>
        <w:jc w:val="both"/>
        <w:rPr>
          <w:rFonts w:eastAsia="Times New Roman" w:cs="Times New Roman"/>
          <w:noProof/>
        </w:rPr>
      </w:pPr>
      <w:r>
        <w:rPr>
          <w:noProof/>
        </w:rPr>
        <w:t>Obiectivul investiției este de a sprijini realizarea reformei serviciilor de îngrijire a sănătății mintale, contribuind astfel la extinderea și consolidarea capacității de răspuns a Serviciului Național de Sănătate în domeniul sănătății mintale.</w:t>
      </w:r>
    </w:p>
    <w:p w14:paraId="13BFCE28" w14:textId="507B011A" w:rsidR="00A15990" w:rsidRDefault="00686A62">
      <w:pPr>
        <w:pStyle w:val="P68B1DB1-Normal4"/>
        <w:keepNext/>
        <w:spacing w:before="40" w:after="0" w:line="259" w:lineRule="auto"/>
        <w:jc w:val="both"/>
        <w:rPr>
          <w:rFonts w:eastAsia="Times New Roman" w:cs="Times New Roman"/>
          <w:noProof/>
        </w:rPr>
      </w:pPr>
      <w:r>
        <w:rPr>
          <w:noProof/>
        </w:rPr>
        <w:t>Investiția constă în subinvestiții complementare în facilități, structuri și resurse umane, și anume: I) crearea de servicii rezidențiale în comunitate care să permită dezinstituționalizarea pacienților care locuiesc în spitale psihiatrice sau în sectorul social și care nu beneficiază de oferta rețelei naționale de îngrijire continuă integrată, inclusiv o creștere cu 500 de locuri pentru îngrijirea sănătății mintale în rețeaua națională de îngrijire continuă integrată în domeniul îngrijirii sănătății mintale; (II) construirea a patru unități cu internare în spitalele generale, eliminând cazarea acută în spitalele psihiatrice; III) crearea a 15 de centre integrate de responsabilitate pentru a depăși obstacolele din calea furnizării de asistență medicală în afara mediului spitalicesc, cu un grad mai mare de autonomie și responsabilitate; IV) renovarea a 20 de unități existente ale serviciilor locale de sănătate mintală; V) formarea a 40 echipe comunitare de sănătate mintală; VI) reproiectarea, extinderea și renovarea serviciilor de psihiatrie criminalistică; și vii) dezvoltarea acțiunilor de sensibilizare și de formare pentru „construirea parcursurilor pacienților” în contextul demențelor.</w:t>
      </w:r>
    </w:p>
    <w:p w14:paraId="405481CA" w14:textId="728AE455"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31 decembrie 2025.</w:t>
      </w:r>
    </w:p>
    <w:p w14:paraId="556692A7" w14:textId="5B150195" w:rsidR="00A15990" w:rsidRDefault="00A15990">
      <w:pPr>
        <w:keepNext/>
        <w:spacing w:before="40" w:after="0" w:line="259" w:lineRule="auto"/>
        <w:jc w:val="both"/>
        <w:rPr>
          <w:rFonts w:ascii="Times New Roman" w:eastAsia="Times New Roman" w:hAnsi="Times New Roman" w:cs="Times New Roman"/>
          <w:noProof/>
          <w:sz w:val="24"/>
        </w:rPr>
      </w:pPr>
    </w:p>
    <w:p w14:paraId="4FEAA711" w14:textId="77777777" w:rsidR="00A15990" w:rsidRDefault="00A15990">
      <w:pPr>
        <w:keepNext/>
        <w:spacing w:before="40" w:after="0" w:line="259" w:lineRule="auto"/>
        <w:jc w:val="both"/>
        <w:rPr>
          <w:rFonts w:ascii="Times New Roman" w:eastAsia="Times New Roman" w:hAnsi="Times New Roman" w:cs="Times New Roman"/>
          <w:noProof/>
          <w:sz w:val="24"/>
        </w:rPr>
      </w:pPr>
    </w:p>
    <w:p w14:paraId="0503F123" w14:textId="15B27731"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RE-C01-i04: Construirea spitalului East Lisabona și echipamente pentru spitalele din Lisabona și Vale do Tejo</w:t>
      </w:r>
    </w:p>
    <w:p w14:paraId="03467B86" w14:textId="790B987B" w:rsidR="00A15990" w:rsidRDefault="00686A62">
      <w:pPr>
        <w:pStyle w:val="P68B1DB1-Normal4"/>
        <w:keepNext/>
        <w:spacing w:before="40" w:after="0" w:line="259" w:lineRule="auto"/>
        <w:jc w:val="both"/>
        <w:rPr>
          <w:rFonts w:eastAsia="Times New Roman" w:cs="Times New Roman"/>
          <w:noProof/>
        </w:rPr>
      </w:pPr>
      <w:r>
        <w:rPr>
          <w:noProof/>
        </w:rPr>
        <w:t>Obiectivul investiției este de a finaliza construcția unei părți a spitalului planificat din Lisabona de Est și de a dota spitalele din Lisabona și Vale do Tejo, consolidând astfel rețeaua spitalicească și furnizarea de asistență medicală spitalicească într-o regiune foarte populată, în care cererea de servicii de asistență medicală este considerabilă. Scopul său este de a asigura un acces mai bun la asistență medicală pentru o parte semnificativă a populației și de a contribui la reducerea inegalităților și la coeziunea socială în regiune.</w:t>
      </w:r>
    </w:p>
    <w:p w14:paraId="119C3D2D" w14:textId="68C14379" w:rsidR="00A15990" w:rsidRDefault="00686A62">
      <w:pPr>
        <w:pStyle w:val="P68B1DB1-Normal4"/>
        <w:keepNext/>
        <w:spacing w:before="40" w:after="0" w:line="259" w:lineRule="auto"/>
        <w:jc w:val="both"/>
        <w:rPr>
          <w:rFonts w:eastAsia="Times New Roman" w:cs="Times New Roman"/>
          <w:noProof/>
        </w:rPr>
      </w:pPr>
      <w:r>
        <w:rPr>
          <w:noProof/>
        </w:rPr>
        <w:t>Investiția constă în:</w:t>
      </w:r>
    </w:p>
    <w:p w14:paraId="25F5E9CC" w14:textId="7585701E" w:rsidR="00A15990" w:rsidRDefault="00686A62">
      <w:pPr>
        <w:pStyle w:val="ListParagraph"/>
        <w:numPr>
          <w:ilvl w:val="0"/>
          <w:numId w:val="72"/>
        </w:numPr>
        <w:spacing w:before="40" w:after="0"/>
        <w:rPr>
          <w:rFonts w:eastAsia="Times New Roman"/>
          <w:noProof/>
        </w:rPr>
      </w:pPr>
      <w:r>
        <w:rPr>
          <w:noProof/>
        </w:rPr>
        <w:t xml:space="preserve"> construirea unei părți a Spitalului de Est din Lisabona, și anume (i) turnul Poente, care este unul dintre cele cinci turnuri ale clădirii principale a spitalului, (ii) clădirea din parcela B, care este dedicată, printre altele, zonelor administrative, sănătății mintale, medicinei fizice și de reabilitare și (iii) clădirii din parcela C, care este dedicată, printre altele, cercetării și educației; </w:t>
      </w:r>
    </w:p>
    <w:p w14:paraId="7C5B0F72" w14:textId="2D36EDF8" w:rsidR="00A15990" w:rsidRDefault="00686A62">
      <w:pPr>
        <w:pStyle w:val="ListParagraph"/>
        <w:numPr>
          <w:ilvl w:val="0"/>
          <w:numId w:val="72"/>
        </w:numPr>
        <w:spacing w:before="40" w:after="0"/>
        <w:rPr>
          <w:rFonts w:eastAsia="Times New Roman"/>
          <w:noProof/>
        </w:rPr>
      </w:pPr>
      <w:r>
        <w:rPr>
          <w:noProof/>
        </w:rPr>
        <w:t xml:space="preserve">achiziționarea de echipamente care urmează să fie instalate în Spitalul de Est din Lisabona și în noul spital din Sintra și </w:t>
      </w:r>
    </w:p>
    <w:p w14:paraId="4C6CEAA9" w14:textId="7DDA0E9B" w:rsidR="00A15990" w:rsidRDefault="00686A62">
      <w:pPr>
        <w:pStyle w:val="ListParagraph"/>
        <w:numPr>
          <w:ilvl w:val="0"/>
          <w:numId w:val="72"/>
        </w:numPr>
        <w:spacing w:before="40" w:after="0"/>
        <w:rPr>
          <w:rFonts w:eastAsia="Times New Roman"/>
          <w:noProof/>
        </w:rPr>
      </w:pPr>
      <w:r>
        <w:rPr>
          <w:noProof/>
        </w:rPr>
        <w:t>achiziționarea de echipamente medicale grele care urmează să fie instalate în spitalele din Lisabona și din regiunea Vale do Tejo.</w:t>
      </w:r>
    </w:p>
    <w:p w14:paraId="41FD72CF" w14:textId="14FAD427" w:rsidR="00A15990" w:rsidRDefault="00686A62">
      <w:pPr>
        <w:pStyle w:val="P68B1DB1-Normal4"/>
        <w:spacing w:before="40" w:after="0"/>
        <w:ind w:left="420"/>
        <w:rPr>
          <w:rFonts w:eastAsia="Times New Roman" w:cs="Times New Roman"/>
          <w:noProof/>
        </w:rPr>
      </w:pPr>
      <w:r>
        <w:rPr>
          <w:noProof/>
        </w:rPr>
        <w:t>Echipamentele care urmează să fie instalate în Spitalul de Est din Lisabona și în noul spital din Sintra includ: echipamente clinice, medicale și de înaltă tehnologie; II) echipamente generale, inclusiv mobilier specializat; și iii) echipamente informatice.</w:t>
      </w:r>
    </w:p>
    <w:p w14:paraId="6CDC5B0F" w14:textId="21852E7C" w:rsidR="00A15990" w:rsidRDefault="00686A62">
      <w:pPr>
        <w:pStyle w:val="P68B1DB1-Normal4"/>
        <w:spacing w:before="40" w:after="0"/>
        <w:ind w:left="420"/>
        <w:rPr>
          <w:rFonts w:eastAsia="Times New Roman" w:cs="Times New Roman"/>
          <w:noProof/>
        </w:rPr>
        <w:sectPr w:rsidR="00A15990" w:rsidSect="00787826">
          <w:headerReference w:type="even" r:id="rId24"/>
          <w:headerReference w:type="default" r:id="rId25"/>
          <w:footerReference w:type="even" r:id="rId26"/>
          <w:footerReference w:type="default" r:id="rId27"/>
          <w:headerReference w:type="first" r:id="rId28"/>
          <w:footerReference w:type="first" r:id="rId29"/>
          <w:pgSz w:w="11907" w:h="16839"/>
          <w:pgMar w:top="1134" w:right="1134" w:bottom="1134" w:left="1134" w:header="567" w:footer="567" w:gutter="0"/>
          <w:cols w:space="720"/>
          <w:docGrid w:linePitch="360"/>
        </w:sectPr>
      </w:pPr>
      <w:r>
        <w:rPr>
          <w:noProof/>
        </w:rPr>
        <w:t>Punerea în aplicare a investiției se va finaliza până la 30 iunie 2026.</w:t>
      </w:r>
    </w:p>
    <w:p w14:paraId="5E298467" w14:textId="77777777" w:rsidR="00A15990" w:rsidRDefault="00A15990">
      <w:pPr>
        <w:spacing w:before="40" w:after="0"/>
        <w:ind w:left="420"/>
        <w:rPr>
          <w:rFonts w:ascii="Times New Roman" w:eastAsia="Times New Roman" w:hAnsi="Times New Roman" w:cs="Times New Roman"/>
          <w:noProof/>
          <w:sz w:val="24"/>
        </w:rPr>
      </w:pPr>
    </w:p>
    <w:p w14:paraId="65A51627" w14:textId="77777777" w:rsidR="00A15990" w:rsidRDefault="00A15990">
      <w:pPr>
        <w:spacing w:before="40" w:after="0"/>
        <w:ind w:left="420"/>
        <w:rPr>
          <w:rFonts w:ascii="Times New Roman" w:eastAsia="Times New Roman" w:hAnsi="Times New Roman" w:cs="Times New Roman"/>
          <w:noProof/>
          <w:sz w:val="24"/>
        </w:rPr>
      </w:pPr>
    </w:p>
    <w:p w14:paraId="222CB904" w14:textId="77777777" w:rsidR="00A15990" w:rsidRDefault="00A15990">
      <w:pPr>
        <w:spacing w:before="40" w:after="0"/>
        <w:ind w:left="420"/>
        <w:rPr>
          <w:rFonts w:ascii="Times New Roman" w:eastAsia="Times New Roman" w:hAnsi="Times New Roman" w:cs="Times New Roman"/>
          <w:noProof/>
          <w:sz w:val="24"/>
        </w:rPr>
      </w:pPr>
    </w:p>
    <w:p w14:paraId="79B3BC9F" w14:textId="77777777"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RE-C01-i05-RAM: Consolidarea serviciului regional de sănătate din Madeira</w:t>
      </w:r>
    </w:p>
    <w:p w14:paraId="7F581BEA" w14:textId="77777777" w:rsidR="00A15990" w:rsidRDefault="00686A62">
      <w:pPr>
        <w:pStyle w:val="P68B1DB1-Normal4"/>
        <w:keepNext/>
        <w:spacing w:before="40" w:after="0" w:line="259" w:lineRule="auto"/>
        <w:jc w:val="both"/>
        <w:rPr>
          <w:rFonts w:eastAsia="Times New Roman" w:cs="Times New Roman"/>
          <w:noProof/>
        </w:rPr>
      </w:pPr>
      <w:r>
        <w:rPr>
          <w:noProof/>
        </w:rPr>
        <w:t>Obiectivul acestei investiții este de a pune în aplicare Planul strategic pentru sistemul de sănătate regional al Regiunii Autonome Madeira și Strategia regională pentru promovarea sănătății mintale.</w:t>
      </w:r>
    </w:p>
    <w:p w14:paraId="7233DF75" w14:textId="75A994D0" w:rsidR="00A15990" w:rsidRDefault="00686A62">
      <w:pPr>
        <w:pStyle w:val="P68B1DB1-Normal4"/>
        <w:keepNext/>
        <w:spacing w:before="40" w:after="0" w:line="259" w:lineRule="auto"/>
        <w:jc w:val="both"/>
        <w:rPr>
          <w:rFonts w:eastAsia="Times New Roman" w:cs="Times New Roman"/>
          <w:noProof/>
        </w:rPr>
      </w:pPr>
      <w:r>
        <w:rPr>
          <w:noProof/>
        </w:rPr>
        <w:t>Investiția constă în două subinvestiții. În primul rând, aceasta include o subinvestiție pentru extinderea, dezvoltarea și îmbunătățirea rețelei regionale de îngrijire integrată continuă, inclusiv prin renovarea și extinderea numărului de locuri în toate tipologiile lor, în conformitate cu principiul dezinstituționalizării, în cooperare cu sectorul privat și cu cel social, și în zonele caracterizate de o îmbătrânire demografică mai acută și/sau de o capacitate instalată mai redusă. În al doilea rând, aceasta cuprinde, de asemenea, o subinvestiție menită să consolideze capacitatea de reacție în domeniul sănătății mintale și al demenței asociate îmbătrânirii, inclusiv modernizarea infrastructurii și a echipamentelor din unitățile de asistență medicală spitalicească și primară, furnizarea de noi locuri pentru spitalizarea la domiciliu și servicii spitalicești de zi, precum și crearea de echipe comunitare de sănătate mintală.</w:t>
      </w:r>
    </w:p>
    <w:p w14:paraId="4B108AA8" w14:textId="77777777"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30 iunie 2026.</w:t>
      </w:r>
    </w:p>
    <w:p w14:paraId="54A4324F" w14:textId="77777777"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RE-C01-i06: Tranziția digitală în domeniul sănătății</w:t>
      </w:r>
    </w:p>
    <w:p w14:paraId="3A2AF464" w14:textId="77777777" w:rsidR="00A15990" w:rsidRDefault="00686A62">
      <w:pPr>
        <w:pStyle w:val="P68B1DB1-Normal4"/>
        <w:keepNext/>
        <w:spacing w:before="40" w:after="0" w:line="259" w:lineRule="auto"/>
        <w:jc w:val="both"/>
        <w:rPr>
          <w:rFonts w:eastAsia="Times New Roman" w:cs="Times New Roman"/>
          <w:noProof/>
        </w:rPr>
      </w:pPr>
      <w:r>
        <w:rPr>
          <w:noProof/>
        </w:rPr>
        <w:t>Acest obiectiv al investiției este de a aborda blocajele care împiedică tranziția digitală în cadrul Serviciului Național de Sănătate, inclusiv lipsa de hardware și software adecvat la dispoziția lucrătorilor din domeniul sănătății, de a consolida standardizarea sistemelor de informații din cadrul Serviciului Național de Sănătate și de a îmbunătăți experiența utilizatorilor și accesul la date.</w:t>
      </w:r>
    </w:p>
    <w:p w14:paraId="1CEE6531" w14:textId="77777777" w:rsidR="00A15990" w:rsidRDefault="00686A62">
      <w:pPr>
        <w:pStyle w:val="P68B1DB1-Normal4"/>
        <w:keepNext/>
        <w:spacing w:before="40" w:after="0" w:line="259" w:lineRule="auto"/>
        <w:jc w:val="both"/>
        <w:rPr>
          <w:rFonts w:eastAsia="Times New Roman" w:cs="Times New Roman"/>
          <w:noProof/>
        </w:rPr>
      </w:pPr>
      <w:r>
        <w:rPr>
          <w:noProof/>
        </w:rPr>
        <w:t>Investiția constă în patru subinvestiții. În primul rând, rețeaua de date privind sănătatea va fi consolidată în vederea îmbunătățirii calității serviciului și a rezilienței sistemelor informatice disponibile în cadrul Serviciului Național de Sănătate, a facilitării utilizării datelor în sistemele de asistență decizională, a asigurării interoperabilității între diferitele sisteme de informații și a respectării principiilor de securitate corespunzătoare. În al doilea rând, comunicarea dintre cetățeni și unitățile medicale este simplificată, standardizată și digitalizată prin instrumente electronice, cum ar fi o platformă centrată pe cetățean și instrumente de telesănătate pentru a spori accesul la asistență medicală. În al treilea rând, instrumente modernizate și interoperabile puse la dispoziția cadrelor medicale (de exemplu, platforme de telemonitorizare și de reabilitare la distanță și sisteme care sporesc portabilitatea datelor între asistența medicală primară, spitale și unitățile integrate de îngrijire continuă) și formare relevantă privind competențele digitale. În al patrulea rând, se promovează digitalizarea evidențelor clinice, în vederea desfășurării activităților de monitorizare a performanței Serviciului Național de Sănătate.</w:t>
      </w:r>
    </w:p>
    <w:p w14:paraId="00ACB982" w14:textId="05BED5B2"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30 iunie 2025.</w:t>
      </w:r>
    </w:p>
    <w:p w14:paraId="7D55663F"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RE-C01-i07-RAM: Digitalizarea Serviciului regional de sănătate din Madeira</w:t>
      </w:r>
    </w:p>
    <w:p w14:paraId="50407DAA" w14:textId="6CE36D09" w:rsidR="00A15990" w:rsidRDefault="00686A62">
      <w:pPr>
        <w:pStyle w:val="P68B1DB1-Normal4"/>
        <w:keepNext/>
        <w:spacing w:before="40" w:after="0" w:line="259" w:lineRule="auto"/>
        <w:jc w:val="both"/>
        <w:rPr>
          <w:rFonts w:eastAsia="Times New Roman" w:cs="Times New Roman"/>
          <w:noProof/>
        </w:rPr>
      </w:pPr>
      <w:r>
        <w:rPr>
          <w:noProof/>
        </w:rPr>
        <w:t>Obiectivul acestei investiții este de a promova digitalizarea serviciului regional de sănătate din Madeira, prin implementarea tehnologiilor digitale pentru a sprijini calitatea și eficiența serviciilor de sănătate și capacitarea profesioniștilor din domeniul sănătății și a cetățenilor.</w:t>
      </w:r>
    </w:p>
    <w:p w14:paraId="5521D506" w14:textId="0518B0F6" w:rsidR="00A15990" w:rsidRDefault="00686A62">
      <w:pPr>
        <w:pStyle w:val="P68B1DB1-Normal4"/>
        <w:keepNext/>
        <w:spacing w:before="40" w:after="0" w:line="259" w:lineRule="auto"/>
        <w:jc w:val="both"/>
        <w:rPr>
          <w:rFonts w:eastAsia="Times New Roman" w:cs="Times New Roman"/>
          <w:noProof/>
        </w:rPr>
      </w:pPr>
      <w:r>
        <w:rPr>
          <w:noProof/>
        </w:rPr>
        <w:t>Investiția constă în mai multe proiecte, printre care: I) punerea în aplicare a tehnologiilor digitale pentru a sprijini monitorizarea pacienților, intensificarea programărilor de la telesănătate și telemonitorizarea situației cetățenilor în materie de sănătate; II) consolidarea tehnologiilor digitale și a inteligenței artificiale pentru supravegherea epidemiologică; creșterea gradului de digitalizare a sănătății și îmbunătățirea interoperabilității sistemelor de informații; IV) îmbunătățirea accesului cetățenilor la informații și servicii de sănătate prin mijloace digitale; și v) formarea cetățenilor și a părților interesate în vederea utilizării resurselor digitale în domeniul sănătății.</w:t>
      </w:r>
    </w:p>
    <w:p w14:paraId="4184B02B" w14:textId="548FE233"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31 decembrie 2024.</w:t>
      </w:r>
    </w:p>
    <w:p w14:paraId="36606E5C" w14:textId="77777777"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RE-C01-i08-RAA: Spitalul digital din Azore</w:t>
      </w:r>
    </w:p>
    <w:p w14:paraId="2C7694B1" w14:textId="77777777" w:rsidR="00A15990" w:rsidRDefault="00686A62">
      <w:pPr>
        <w:pStyle w:val="P68B1DB1-Normal4"/>
        <w:keepNext/>
        <w:spacing w:before="40" w:after="0" w:line="259" w:lineRule="auto"/>
        <w:jc w:val="both"/>
        <w:rPr>
          <w:rFonts w:eastAsia="Times New Roman" w:cs="Times New Roman"/>
          <w:noProof/>
        </w:rPr>
      </w:pPr>
      <w:r>
        <w:rPr>
          <w:noProof/>
        </w:rPr>
        <w:t>Obiectivul investiției este de a intensifica oferta de asistență medicală și de a asigura un acces mai bun la asistență medicală în Azore, prin digitalizarea serviciului său regional de sănătate.</w:t>
      </w:r>
    </w:p>
    <w:p w14:paraId="5C3318E6" w14:textId="77777777" w:rsidR="00A15990" w:rsidRDefault="00686A62">
      <w:pPr>
        <w:pStyle w:val="P68B1DB1-Normal4"/>
        <w:keepNext/>
        <w:spacing w:before="40" w:after="0" w:line="259" w:lineRule="auto"/>
        <w:jc w:val="both"/>
        <w:rPr>
          <w:rFonts w:eastAsia="Times New Roman" w:cs="Times New Roman"/>
          <w:noProof/>
        </w:rPr>
      </w:pPr>
      <w:r>
        <w:rPr>
          <w:noProof/>
        </w:rPr>
        <w:t>Investiția constă în crearea unui dosar electronic de sănătate pentru fiecare cetățean, în creșterea interoperabilității sistemelor de informații pentru a permite schimbul de informații clinice între cadrele medicale, în îmbunătățirea accesibilității asistenței medicale în insulele cele mai izolate fără spital prin efectuarea de consultații de telemedicină și în furnizarea hardware-ului, software-ului și sistemelor informatice necesare.</w:t>
      </w:r>
    </w:p>
    <w:p w14:paraId="2F4F1E26" w14:textId="77777777"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30 septembrie 2025.</w:t>
      </w:r>
    </w:p>
    <w:p w14:paraId="0944758B" w14:textId="77777777"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RE-C01-i09: Sistemul universal de asistență pentru viața activă</w:t>
      </w:r>
    </w:p>
    <w:p w14:paraId="225E11E4" w14:textId="77777777" w:rsidR="00A15990" w:rsidRDefault="00686A62">
      <w:pPr>
        <w:pStyle w:val="P68B1DB1-Normal4"/>
        <w:keepNext/>
        <w:spacing w:before="40" w:after="0" w:line="259" w:lineRule="auto"/>
        <w:jc w:val="both"/>
        <w:rPr>
          <w:rFonts w:eastAsia="Times New Roman" w:cs="Times New Roman"/>
          <w:noProof/>
        </w:rPr>
      </w:pPr>
      <w:r>
        <w:rPr>
          <w:noProof/>
        </w:rPr>
        <w:t>Obiectivul investiției este de a promova bunăstarea fizică și emoțională în Portugalia prin creșterea nivelurilor scăzute de activitate fizică din țară și prin contribuția la o mai bună prevenire și gestionare a poverii reprezentate de bolile netransmisibile.</w:t>
      </w:r>
    </w:p>
    <w:p w14:paraId="0DE11ABE" w14:textId="77777777" w:rsidR="00A15990" w:rsidRDefault="00686A62">
      <w:pPr>
        <w:pStyle w:val="P68B1DB1-Normal4"/>
        <w:keepNext/>
        <w:spacing w:before="40" w:after="0" w:line="259" w:lineRule="auto"/>
        <w:jc w:val="both"/>
        <w:rPr>
          <w:rFonts w:eastAsia="Times New Roman" w:cs="Times New Roman"/>
          <w:noProof/>
        </w:rPr>
      </w:pPr>
      <w:r>
        <w:rPr>
          <w:noProof/>
        </w:rPr>
        <w:t>Investiția constă în: o campanie națională și o platformă tehnologică pentru promovarea activității fizice, sporind cunoștințele cetățenilor cu privire la beneficiile activității fizice regulate la toate vârstele, prescrierea exercițiilor în funcție de capacitățile lor și încurajând adoptarea unor stiluri de viață mai sănătoase; II) extinderea sportului școlar la comunitate prin promovarea mobilității active, de la vârste mai fragede și pe tot parcursul vieții, precum și a sportului în context familial, ca mijloc de promovare a succesului elevilor și a unui stil de viață mai sănătos; și iii) încurajarea practicării activității fizice la locul de muncă, promovarea punerii în aplicare a măsurilor și a programelor, precum și asigurarea de spații și echipamente pentru practicarea activității fizice.</w:t>
      </w:r>
    </w:p>
    <w:p w14:paraId="0FCBA65F" w14:textId="77777777"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30 septembrie 2025.</w:t>
      </w:r>
    </w:p>
    <w:p w14:paraId="7D908420" w14:textId="0634E12D" w:rsidR="00A15990" w:rsidRDefault="00686A62">
      <w:pPr>
        <w:pStyle w:val="P68B1DB1-Normal5"/>
        <w:keepNext/>
        <w:spacing w:before="240" w:after="0" w:line="259" w:lineRule="auto"/>
        <w:ind w:left="851"/>
        <w:jc w:val="both"/>
        <w:outlineLvl w:val="2"/>
        <w:rPr>
          <w:rFonts w:eastAsia="Times New Roman" w:cs="Times New Roman"/>
          <w:noProof/>
        </w:rPr>
      </w:pPr>
      <w:bookmarkStart w:id="2" w:name="_Toc137472436"/>
      <w:r>
        <w:rPr>
          <w:noProof/>
        </w:rPr>
        <w:t xml:space="preserve">Investiția RE-C01-i10: </w:t>
      </w:r>
      <w:bookmarkEnd w:id="2"/>
      <w:r>
        <w:rPr>
          <w:noProof/>
        </w:rPr>
        <w:t>Programul de modernizare a tehnologiei NHS</w:t>
      </w:r>
    </w:p>
    <w:p w14:paraId="2C29C380" w14:textId="183EDF89" w:rsidR="00A15990" w:rsidRDefault="00686A62">
      <w:pPr>
        <w:pStyle w:val="P68B1DB1-Normal4"/>
        <w:keepNext/>
        <w:spacing w:before="40" w:after="0" w:line="259" w:lineRule="auto"/>
        <w:jc w:val="both"/>
        <w:rPr>
          <w:rFonts w:eastAsia="Times New Roman" w:cs="Times New Roman"/>
          <w:noProof/>
        </w:rPr>
      </w:pPr>
      <w:r>
        <w:rPr>
          <w:noProof/>
        </w:rPr>
        <w:t>Obiectivul acestei investiții este de a îmbunătăți parcul tehnologic al serviciului național de sănătate (NHS), contribuind la îmbunătățirea serviciilor de asistență medicală.</w:t>
      </w:r>
    </w:p>
    <w:p w14:paraId="593DD359" w14:textId="13C9F938" w:rsidR="00A15990" w:rsidRDefault="00686A62">
      <w:pPr>
        <w:pStyle w:val="P68B1DB1-Normal4"/>
        <w:keepNext/>
        <w:spacing w:before="40" w:after="0" w:line="259" w:lineRule="auto"/>
        <w:jc w:val="both"/>
        <w:rPr>
          <w:rFonts w:eastAsia="Times New Roman" w:cs="Times New Roman"/>
          <w:noProof/>
        </w:rPr>
      </w:pPr>
      <w:r>
        <w:rPr>
          <w:noProof/>
        </w:rPr>
        <w:t xml:space="preserve">Această investiție va asigura achiziționarea de echipamente medicale grele pentru spitalele NHS, pe baza unui raport aprobat de Ministerul Sănătății care identifică nevoile de echipamente ale acestor spitale, din următoarele categorii: sisteme de angiografie, scanere tomografice cu emisie unică de fotoni, scanere tomografice cu emisie de pozitron, sisteme de imagistică prin rezonanță magnetică, scanere tomografice computerizate, acceleratoare liniare și roboți chirurgicali. </w:t>
      </w:r>
    </w:p>
    <w:p w14:paraId="7E32F4AC" w14:textId="77777777" w:rsidR="00A15990" w:rsidRDefault="00686A62">
      <w:pPr>
        <w:pStyle w:val="P68B1DB1-Normal4"/>
        <w:keepNext/>
        <w:spacing w:before="40" w:after="0" w:line="259" w:lineRule="auto"/>
        <w:jc w:val="both"/>
        <w:rPr>
          <w:rFonts w:eastAsia="Times New Roman" w:cs="Times New Roman"/>
          <w:noProof/>
        </w:rPr>
      </w:pPr>
      <w:r>
        <w:rPr>
          <w:noProof/>
        </w:rPr>
        <w:t>Spitalele NHS și unitățile de asistență medicală primară din cadrul NHS care primesc finanțare în cadrul investițiilor RE-C01-i04 și, respectiv, RE-C01-i01 sunt excluse din această investiție.</w:t>
      </w:r>
    </w:p>
    <w:p w14:paraId="03E16FDC" w14:textId="77777777"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30 iunie 2026.</w:t>
      </w:r>
    </w:p>
    <w:p w14:paraId="3F70E244" w14:textId="77777777" w:rsidR="00A15990" w:rsidRDefault="00A15990">
      <w:pPr>
        <w:keepNext/>
        <w:spacing w:before="40" w:after="0" w:line="259" w:lineRule="auto"/>
        <w:jc w:val="both"/>
        <w:rPr>
          <w:rFonts w:ascii="Times New Roman" w:eastAsia="Times New Roman" w:hAnsi="Times New Roman" w:cs="Times New Roman"/>
          <w:noProof/>
          <w:sz w:val="24"/>
        </w:rPr>
      </w:pPr>
    </w:p>
    <w:p w14:paraId="6B39DFAD"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3A4E8AF1" w14:textId="512DF5C1" w:rsidR="00A15990" w:rsidRDefault="00A15990">
      <w:pPr>
        <w:keepNext/>
        <w:spacing w:before="40" w:after="0" w:line="259" w:lineRule="auto"/>
        <w:jc w:val="both"/>
        <w:rPr>
          <w:rFonts w:ascii="Times New Roman" w:eastAsiaTheme="minorEastAsia" w:hAnsi="Times New Roman" w:cs="Times New Roman"/>
          <w:noProof/>
          <w:sz w:val="24"/>
        </w:rPr>
        <w:sectPr w:rsidR="00A15990" w:rsidSect="00CA5ACC">
          <w:headerReference w:type="even" r:id="rId30"/>
          <w:headerReference w:type="default" r:id="rId31"/>
          <w:footerReference w:type="even" r:id="rId32"/>
          <w:footerReference w:type="default" r:id="rId33"/>
          <w:headerReference w:type="first" r:id="rId34"/>
          <w:footerReference w:type="first" r:id="rId35"/>
          <w:type w:val="continuous"/>
          <w:pgSz w:w="11907" w:h="16839"/>
          <w:pgMar w:top="1134" w:right="1134" w:bottom="1134" w:left="1134" w:header="567" w:footer="567" w:gutter="0"/>
          <w:cols w:space="720"/>
          <w:docGrid w:linePitch="360"/>
        </w:sectPr>
      </w:pPr>
    </w:p>
    <w:p w14:paraId="723522AE"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7B8052F6" w14:textId="4383A929"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A.2. Obiective de etapă, ținte, indicatori și calendar pentru monitorizarea și punerea în aplicare a sprijinului financiar nerambursabil</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992"/>
        <w:gridCol w:w="1843"/>
        <w:gridCol w:w="1418"/>
        <w:gridCol w:w="1164"/>
        <w:gridCol w:w="962"/>
        <w:gridCol w:w="805"/>
        <w:gridCol w:w="9"/>
        <w:gridCol w:w="824"/>
        <w:gridCol w:w="901"/>
        <w:gridCol w:w="3981"/>
      </w:tblGrid>
      <w:tr w:rsidR="00A15990" w14:paraId="7B628CE4" w14:textId="77777777">
        <w:trPr>
          <w:trHeight w:val="910"/>
          <w:tblHeader/>
        </w:trPr>
        <w:tc>
          <w:tcPr>
            <w:tcW w:w="1135" w:type="dxa"/>
            <w:vMerge w:val="restart"/>
            <w:shd w:val="clear" w:color="auto" w:fill="BDD6EE"/>
            <w:noWrap/>
            <w:vAlign w:val="center"/>
            <w:hideMark/>
          </w:tcPr>
          <w:p w14:paraId="43757383"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noWrap/>
            <w:vAlign w:val="center"/>
            <w:hideMark/>
          </w:tcPr>
          <w:p w14:paraId="0BDD4AC0"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992" w:type="dxa"/>
            <w:vMerge w:val="restart"/>
            <w:shd w:val="clear" w:color="auto" w:fill="BDD6EE"/>
            <w:noWrap/>
            <w:vAlign w:val="center"/>
            <w:hideMark/>
          </w:tcPr>
          <w:p w14:paraId="43895947" w14:textId="12E1DEA9" w:rsidR="00A15990" w:rsidRDefault="00686A62">
            <w:pPr>
              <w:pStyle w:val="P68B1DB1-Normal6"/>
              <w:spacing w:after="0" w:line="240" w:lineRule="auto"/>
              <w:jc w:val="center"/>
              <w:rPr>
                <w:rFonts w:eastAsia="Times New Roman" w:cs="Times New Roman"/>
                <w:noProof/>
              </w:rPr>
            </w:pPr>
            <w:r>
              <w:rPr>
                <w:noProof/>
              </w:rPr>
              <w:t>Etapă/Obiectiv</w:t>
            </w:r>
          </w:p>
        </w:tc>
        <w:tc>
          <w:tcPr>
            <w:tcW w:w="1843" w:type="dxa"/>
            <w:vMerge w:val="restart"/>
            <w:shd w:val="clear" w:color="auto" w:fill="BDD6EE"/>
            <w:noWrap/>
            <w:vAlign w:val="center"/>
            <w:hideMark/>
          </w:tcPr>
          <w:p w14:paraId="0732D51C" w14:textId="77777777" w:rsidR="00A15990" w:rsidRDefault="00686A62">
            <w:pPr>
              <w:pStyle w:val="P68B1DB1-Normal6"/>
              <w:spacing w:after="0" w:line="240" w:lineRule="auto"/>
              <w:jc w:val="center"/>
              <w:rPr>
                <w:rFonts w:eastAsia="Times New Roman" w:cs="Times New Roman"/>
                <w:noProof/>
              </w:rPr>
            </w:pPr>
            <w:r>
              <w:rPr>
                <w:noProof/>
              </w:rPr>
              <w:t>Nume</w:t>
            </w:r>
          </w:p>
        </w:tc>
        <w:tc>
          <w:tcPr>
            <w:tcW w:w="1418" w:type="dxa"/>
            <w:vMerge w:val="restart"/>
            <w:shd w:val="clear" w:color="auto" w:fill="BDD6EE"/>
            <w:noWrap/>
            <w:vAlign w:val="center"/>
            <w:hideMark/>
          </w:tcPr>
          <w:p w14:paraId="44263E41"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940" w:type="dxa"/>
            <w:gridSpan w:val="4"/>
            <w:shd w:val="clear" w:color="auto" w:fill="BDD6EE"/>
            <w:noWrap/>
            <w:vAlign w:val="center"/>
            <w:hideMark/>
          </w:tcPr>
          <w:p w14:paraId="0A2F2E77"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725" w:type="dxa"/>
            <w:gridSpan w:val="2"/>
            <w:shd w:val="clear" w:color="auto" w:fill="BDD6EE"/>
            <w:noWrap/>
            <w:vAlign w:val="center"/>
            <w:hideMark/>
          </w:tcPr>
          <w:p w14:paraId="4F163F74"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81" w:type="dxa"/>
            <w:vMerge w:val="restart"/>
            <w:shd w:val="clear" w:color="auto" w:fill="BDD6EE"/>
            <w:noWrap/>
            <w:vAlign w:val="center"/>
            <w:hideMark/>
          </w:tcPr>
          <w:p w14:paraId="238D3622"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775EA2A6" w14:textId="77777777">
        <w:trPr>
          <w:trHeight w:val="300"/>
          <w:tblHeader/>
        </w:trPr>
        <w:tc>
          <w:tcPr>
            <w:tcW w:w="1135" w:type="dxa"/>
            <w:vMerge/>
            <w:vAlign w:val="center"/>
            <w:hideMark/>
          </w:tcPr>
          <w:p w14:paraId="0EC3FF2B"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1020BD4F" w14:textId="77777777" w:rsidR="00A15990" w:rsidRDefault="00A15990">
            <w:pPr>
              <w:spacing w:after="0" w:line="240" w:lineRule="auto"/>
              <w:rPr>
                <w:rFonts w:ascii="Times New Roman" w:eastAsia="Times New Roman" w:hAnsi="Times New Roman" w:cs="Times New Roman"/>
                <w:b/>
                <w:noProof/>
                <w:sz w:val="18"/>
              </w:rPr>
            </w:pPr>
          </w:p>
        </w:tc>
        <w:tc>
          <w:tcPr>
            <w:tcW w:w="992" w:type="dxa"/>
            <w:vMerge/>
            <w:noWrap/>
            <w:vAlign w:val="center"/>
            <w:hideMark/>
          </w:tcPr>
          <w:p w14:paraId="530B4B60" w14:textId="4C0DADAB" w:rsidR="00A15990" w:rsidRDefault="00A15990">
            <w:pPr>
              <w:spacing w:after="0" w:line="240" w:lineRule="auto"/>
              <w:jc w:val="center"/>
              <w:rPr>
                <w:rFonts w:ascii="Times New Roman" w:eastAsia="Times New Roman" w:hAnsi="Times New Roman" w:cs="Times New Roman"/>
                <w:b/>
                <w:noProof/>
                <w:sz w:val="18"/>
              </w:rPr>
            </w:pPr>
          </w:p>
        </w:tc>
        <w:tc>
          <w:tcPr>
            <w:tcW w:w="1843" w:type="dxa"/>
            <w:vMerge/>
            <w:vAlign w:val="center"/>
            <w:hideMark/>
          </w:tcPr>
          <w:p w14:paraId="73578D3F" w14:textId="77777777" w:rsidR="00A15990" w:rsidRDefault="00A15990">
            <w:pPr>
              <w:spacing w:after="0" w:line="240" w:lineRule="auto"/>
              <w:rPr>
                <w:rFonts w:ascii="Times New Roman" w:eastAsia="Times New Roman" w:hAnsi="Times New Roman" w:cs="Times New Roman"/>
                <w:b/>
                <w:noProof/>
                <w:sz w:val="18"/>
              </w:rPr>
            </w:pPr>
          </w:p>
        </w:tc>
        <w:tc>
          <w:tcPr>
            <w:tcW w:w="1418" w:type="dxa"/>
            <w:vMerge/>
            <w:vAlign w:val="center"/>
            <w:hideMark/>
          </w:tcPr>
          <w:p w14:paraId="00D28EE5" w14:textId="77777777" w:rsidR="00A15990" w:rsidRDefault="00A15990">
            <w:pPr>
              <w:spacing w:after="0" w:line="240" w:lineRule="auto"/>
              <w:rPr>
                <w:rFonts w:ascii="Times New Roman" w:eastAsia="Times New Roman" w:hAnsi="Times New Roman" w:cs="Times New Roman"/>
                <w:b/>
                <w:noProof/>
                <w:sz w:val="18"/>
              </w:rPr>
            </w:pPr>
          </w:p>
        </w:tc>
        <w:tc>
          <w:tcPr>
            <w:tcW w:w="1164" w:type="dxa"/>
            <w:shd w:val="clear" w:color="auto" w:fill="BDD6EE"/>
            <w:noWrap/>
            <w:vAlign w:val="center"/>
            <w:hideMark/>
          </w:tcPr>
          <w:p w14:paraId="28C094F9"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62" w:type="dxa"/>
            <w:shd w:val="clear" w:color="auto" w:fill="BDD6EE"/>
            <w:noWrap/>
            <w:vAlign w:val="center"/>
            <w:hideMark/>
          </w:tcPr>
          <w:p w14:paraId="7F1FED9F"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805" w:type="dxa"/>
            <w:shd w:val="clear" w:color="auto" w:fill="BDD6EE"/>
            <w:noWrap/>
            <w:vAlign w:val="center"/>
            <w:hideMark/>
          </w:tcPr>
          <w:p w14:paraId="06EBD7F3"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833" w:type="dxa"/>
            <w:gridSpan w:val="2"/>
            <w:shd w:val="clear" w:color="auto" w:fill="BDD6EE"/>
            <w:noWrap/>
            <w:vAlign w:val="center"/>
            <w:hideMark/>
          </w:tcPr>
          <w:p w14:paraId="20C845CB" w14:textId="77777777" w:rsidR="00A15990" w:rsidRDefault="00686A62">
            <w:pPr>
              <w:pStyle w:val="P68B1DB1-Normal6"/>
              <w:spacing w:after="0" w:line="240" w:lineRule="auto"/>
              <w:jc w:val="center"/>
              <w:rPr>
                <w:rFonts w:eastAsia="Times New Roman" w:cs="Times New Roman"/>
                <w:noProof/>
              </w:rPr>
            </w:pPr>
            <w:r>
              <w:rPr>
                <w:noProof/>
              </w:rPr>
              <w:t>Q</w:t>
            </w:r>
          </w:p>
        </w:tc>
        <w:tc>
          <w:tcPr>
            <w:tcW w:w="901" w:type="dxa"/>
            <w:shd w:val="clear" w:color="auto" w:fill="BDD6EE"/>
            <w:noWrap/>
            <w:vAlign w:val="center"/>
            <w:hideMark/>
          </w:tcPr>
          <w:p w14:paraId="3E2A3F48"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81" w:type="dxa"/>
            <w:vMerge/>
            <w:vAlign w:val="center"/>
            <w:hideMark/>
          </w:tcPr>
          <w:p w14:paraId="75CA9262" w14:textId="77777777" w:rsidR="00A15990" w:rsidRDefault="00A15990">
            <w:pPr>
              <w:spacing w:after="0" w:line="240" w:lineRule="auto"/>
              <w:rPr>
                <w:rFonts w:ascii="Times New Roman" w:eastAsia="Times New Roman" w:hAnsi="Times New Roman" w:cs="Times New Roman"/>
                <w:b/>
                <w:noProof/>
                <w:sz w:val="18"/>
              </w:rPr>
            </w:pPr>
          </w:p>
        </w:tc>
      </w:tr>
      <w:tr w:rsidR="00A15990" w14:paraId="121D32D4" w14:textId="77777777">
        <w:trPr>
          <w:trHeight w:val="1270"/>
        </w:trPr>
        <w:tc>
          <w:tcPr>
            <w:tcW w:w="1135" w:type="dxa"/>
            <w:shd w:val="clear" w:color="auto" w:fill="C4EFCE"/>
            <w:noWrap/>
            <w:vAlign w:val="center"/>
            <w:hideMark/>
          </w:tcPr>
          <w:p w14:paraId="0492ADA0" w14:textId="77777777" w:rsidR="00A15990" w:rsidRDefault="00686A62">
            <w:pPr>
              <w:pStyle w:val="P68B1DB1-Normal7"/>
              <w:spacing w:after="0" w:line="240" w:lineRule="auto"/>
              <w:jc w:val="center"/>
              <w:rPr>
                <w:rFonts w:eastAsia="Times New Roman" w:cs="Calibri"/>
                <w:noProof/>
              </w:rPr>
            </w:pPr>
            <w:r>
              <w:rPr>
                <w:noProof/>
              </w:rPr>
              <w:t>1.1</w:t>
            </w:r>
          </w:p>
        </w:tc>
        <w:tc>
          <w:tcPr>
            <w:tcW w:w="1276" w:type="dxa"/>
            <w:shd w:val="clear" w:color="auto" w:fill="C4EFCE"/>
            <w:noWrap/>
            <w:vAlign w:val="center"/>
            <w:hideMark/>
          </w:tcPr>
          <w:p w14:paraId="0A1B7539" w14:textId="77777777" w:rsidR="00A15990" w:rsidRDefault="00686A62">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5A6CB19F"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6E6F728" w14:textId="77777777" w:rsidR="00A15990" w:rsidRDefault="00686A62">
            <w:pPr>
              <w:pStyle w:val="P68B1DB1-Normal8"/>
              <w:spacing w:after="0" w:line="240" w:lineRule="auto"/>
              <w:jc w:val="center"/>
              <w:rPr>
                <w:rFonts w:eastAsia="Times New Roman" w:cs="Calibri"/>
                <w:noProof/>
              </w:rPr>
            </w:pPr>
            <w:r>
              <w:rPr>
                <w:noProof/>
              </w:rPr>
              <w:t>Intrarea în vigoare a actelor juridice în domeniul asistenței medicale primare</w:t>
            </w:r>
          </w:p>
        </w:tc>
        <w:tc>
          <w:tcPr>
            <w:tcW w:w="1418" w:type="dxa"/>
            <w:shd w:val="clear" w:color="auto" w:fill="C4EFCE"/>
            <w:noWrap/>
            <w:vAlign w:val="center"/>
            <w:hideMark/>
          </w:tcPr>
          <w:p w14:paraId="35A47D91" w14:textId="77777777" w:rsidR="00A15990" w:rsidRDefault="00686A62">
            <w:pPr>
              <w:pStyle w:val="P68B1DB1-Normal8"/>
              <w:spacing w:after="0" w:line="240" w:lineRule="auto"/>
              <w:jc w:val="center"/>
              <w:rPr>
                <w:rFonts w:eastAsia="Times New Roman" w:cs="Calibri"/>
                <w:noProof/>
              </w:rPr>
            </w:pPr>
            <w:r>
              <w:rPr>
                <w:noProof/>
              </w:rPr>
              <w:t>Intrarea în vigoare a actelor juridice revizuite</w:t>
            </w:r>
          </w:p>
        </w:tc>
        <w:tc>
          <w:tcPr>
            <w:tcW w:w="1164" w:type="dxa"/>
            <w:shd w:val="clear" w:color="auto" w:fill="C4EFCE"/>
            <w:noWrap/>
            <w:vAlign w:val="center"/>
            <w:hideMark/>
          </w:tcPr>
          <w:p w14:paraId="0271FAD2"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69B00747"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1142975"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D871EE2"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63B8927A" w14:textId="77777777" w:rsidR="00A15990" w:rsidRDefault="00686A62">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AD82C03" w14:textId="77777777" w:rsidR="00A15990" w:rsidRDefault="00686A62">
            <w:pPr>
              <w:pStyle w:val="P68B1DB1-Normal8"/>
              <w:spacing w:after="0" w:line="240" w:lineRule="auto"/>
              <w:jc w:val="both"/>
              <w:rPr>
                <w:rFonts w:eastAsia="Times New Roman" w:cs="Calibri"/>
                <w:noProof/>
              </w:rPr>
            </w:pPr>
            <w:r>
              <w:rPr>
                <w:noProof/>
              </w:rPr>
              <w:t>Revizuirea actelor juridice în domeniul asistenței medicale primare, și anume: I) legislația care stă la baza unităților funcționale ale centrelor de asistență medicală primară (inclusiv Decretul-lege nr. 73/2017 pentru unitățile sanitare familiale Model B, Ordonanța Guvernului nr. 1368/2007, normele și modelul de remunerare ale unităților sanitare familiale Modelul B și actul juridic aferent, precum și actele juridice care stau la baza funcționării altor tipuri de unități de asistență medicală primară); și ii) legislația care stă la baza grupurilor de centre de sănătate (inclusiv actele juridice care stau la baza grupurilor de centre de sănătate, și anume Decretul-lege nr. 28/2008).</w:t>
            </w:r>
          </w:p>
        </w:tc>
      </w:tr>
      <w:tr w:rsidR="00A15990" w14:paraId="50205165" w14:textId="77777777">
        <w:trPr>
          <w:trHeight w:val="1270"/>
        </w:trPr>
        <w:tc>
          <w:tcPr>
            <w:tcW w:w="1135" w:type="dxa"/>
            <w:shd w:val="clear" w:color="auto" w:fill="C4EFCE"/>
            <w:noWrap/>
            <w:vAlign w:val="center"/>
            <w:hideMark/>
          </w:tcPr>
          <w:p w14:paraId="0533AA4A" w14:textId="77777777" w:rsidR="00A15990" w:rsidRDefault="00686A62">
            <w:pPr>
              <w:pStyle w:val="P68B1DB1-Normal7"/>
              <w:spacing w:after="0" w:line="240" w:lineRule="auto"/>
              <w:jc w:val="center"/>
              <w:rPr>
                <w:rFonts w:eastAsia="Times New Roman" w:cs="Calibri"/>
                <w:noProof/>
              </w:rPr>
            </w:pPr>
            <w:r>
              <w:rPr>
                <w:noProof/>
              </w:rPr>
              <w:t>1.2</w:t>
            </w:r>
          </w:p>
        </w:tc>
        <w:tc>
          <w:tcPr>
            <w:tcW w:w="1276" w:type="dxa"/>
            <w:shd w:val="clear" w:color="auto" w:fill="C4EFCE"/>
            <w:noWrap/>
            <w:vAlign w:val="center"/>
            <w:hideMark/>
          </w:tcPr>
          <w:p w14:paraId="2A187FFF" w14:textId="77777777" w:rsidR="00A15990" w:rsidRDefault="00686A62">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08F32C70"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3FC6D25" w14:textId="77777777" w:rsidR="00A15990" w:rsidRDefault="00686A62">
            <w:pPr>
              <w:pStyle w:val="P68B1DB1-Normal8"/>
              <w:spacing w:after="0" w:line="240" w:lineRule="auto"/>
              <w:jc w:val="center"/>
              <w:rPr>
                <w:rFonts w:eastAsia="Times New Roman" w:cs="Calibri"/>
                <w:noProof/>
              </w:rPr>
            </w:pPr>
            <w:r>
              <w:rPr>
                <w:noProof/>
              </w:rPr>
              <w:t>Furnizarea accesului la instrumentul de stratificare a riscurilor pentru a sprijini guvernanța clinică în unitățile funcționale ale grupurilor de centre medicale</w:t>
            </w:r>
          </w:p>
        </w:tc>
        <w:tc>
          <w:tcPr>
            <w:tcW w:w="1418" w:type="dxa"/>
            <w:shd w:val="clear" w:color="auto" w:fill="C4EFCE"/>
            <w:noWrap/>
            <w:vAlign w:val="center"/>
            <w:hideMark/>
          </w:tcPr>
          <w:p w14:paraId="35F427F1"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2AD19FF"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75CB367B"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FF60DCA" w14:textId="77777777" w:rsidR="00A15990" w:rsidRDefault="00686A62">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D7BB0A8"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3D3518AA" w14:textId="77777777" w:rsidR="00A15990" w:rsidRDefault="00686A62">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39000082" w14:textId="77777777" w:rsidR="00A15990" w:rsidRDefault="00686A62">
            <w:pPr>
              <w:pStyle w:val="P68B1DB1-Normal8"/>
              <w:spacing w:after="0" w:line="240" w:lineRule="auto"/>
              <w:jc w:val="both"/>
              <w:rPr>
                <w:rFonts w:eastAsia="Times New Roman" w:cs="Calibri"/>
                <w:noProof/>
              </w:rPr>
            </w:pPr>
            <w:r>
              <w:rPr>
                <w:noProof/>
              </w:rPr>
              <w:t>Numărul de unități funcționale ale centrelor medicale care obțin acces la informațiile din instrumentul de stratificare a riscurilor care acoperă utilizatorii înregistrați. Instrumentul de stratificare a riscurilor trebuie să permită o intervenție proactivă în rândul populațiilor cu risc clinic și vulnerabilitate socială mai mari, asigurând programe de screening și diagnosticare timpurie în rândul populației în întreaga țară, precum și tratamentul în timp util și monitorizarea adecvată a utilizatorilor care suferă de cele mai frecvente boli (cardiovasculare, diabet, cancer, respirator, mental și osteoarticular).</w:t>
            </w:r>
          </w:p>
        </w:tc>
      </w:tr>
      <w:tr w:rsidR="00A15990" w14:paraId="10D6008A" w14:textId="77777777">
        <w:trPr>
          <w:trHeight w:val="1123"/>
        </w:trPr>
        <w:tc>
          <w:tcPr>
            <w:tcW w:w="1135" w:type="dxa"/>
            <w:shd w:val="clear" w:color="auto" w:fill="C4EFCE"/>
            <w:noWrap/>
            <w:vAlign w:val="center"/>
            <w:hideMark/>
          </w:tcPr>
          <w:p w14:paraId="02DF6530" w14:textId="77777777" w:rsidR="00A15990" w:rsidRDefault="00686A62">
            <w:pPr>
              <w:pStyle w:val="P68B1DB1-Normal7"/>
              <w:spacing w:after="0" w:line="240" w:lineRule="auto"/>
              <w:jc w:val="center"/>
              <w:rPr>
                <w:rFonts w:eastAsia="Times New Roman" w:cs="Calibri"/>
                <w:noProof/>
              </w:rPr>
            </w:pPr>
            <w:r>
              <w:rPr>
                <w:noProof/>
              </w:rPr>
              <w:t>1.3</w:t>
            </w:r>
          </w:p>
        </w:tc>
        <w:tc>
          <w:tcPr>
            <w:tcW w:w="1276" w:type="dxa"/>
            <w:shd w:val="clear" w:color="auto" w:fill="C4EFCE"/>
            <w:noWrap/>
            <w:vAlign w:val="center"/>
            <w:hideMark/>
          </w:tcPr>
          <w:p w14:paraId="4F399F94" w14:textId="77777777" w:rsidR="00A15990" w:rsidRDefault="00686A62">
            <w:pPr>
              <w:pStyle w:val="P68B1DB1-Normal8"/>
              <w:spacing w:after="0" w:line="240" w:lineRule="auto"/>
              <w:jc w:val="center"/>
              <w:rPr>
                <w:rFonts w:eastAsia="Times New Roman" w:cs="Calibri"/>
                <w:noProof/>
              </w:rPr>
            </w:pPr>
            <w:r>
              <w:rPr>
                <w:noProof/>
              </w:rPr>
              <w:t>RE-C01-r01</w:t>
            </w:r>
          </w:p>
        </w:tc>
        <w:tc>
          <w:tcPr>
            <w:tcW w:w="992" w:type="dxa"/>
            <w:shd w:val="clear" w:color="auto" w:fill="C4EFCE"/>
            <w:noWrap/>
            <w:vAlign w:val="center"/>
            <w:hideMark/>
          </w:tcPr>
          <w:p w14:paraId="70ABD2FF"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ACA7681" w14:textId="77777777" w:rsidR="00A15990" w:rsidRDefault="00686A62">
            <w:pPr>
              <w:pStyle w:val="P68B1DB1-Normal8"/>
              <w:spacing w:after="0" w:line="240" w:lineRule="auto"/>
              <w:jc w:val="center"/>
              <w:rPr>
                <w:rFonts w:eastAsia="Times New Roman" w:cs="Calibri"/>
                <w:noProof/>
              </w:rPr>
            </w:pPr>
            <w:r>
              <w:rPr>
                <w:noProof/>
              </w:rPr>
              <w:t>Finalizarea procesului de descentralizare a responsabilităților în domeniul sănătății în municipalități</w:t>
            </w:r>
          </w:p>
        </w:tc>
        <w:tc>
          <w:tcPr>
            <w:tcW w:w="1418" w:type="dxa"/>
            <w:shd w:val="clear" w:color="auto" w:fill="C4EFCE"/>
            <w:noWrap/>
            <w:vAlign w:val="center"/>
            <w:hideMark/>
          </w:tcPr>
          <w:p w14:paraId="1430DBB4"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1693BA5"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2D21E5B6"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8763683" w14:textId="77777777" w:rsidR="00A15990" w:rsidRDefault="00686A62">
            <w:pPr>
              <w:pStyle w:val="P68B1DB1-Normal8"/>
              <w:spacing w:after="0" w:line="240" w:lineRule="auto"/>
              <w:jc w:val="center"/>
              <w:rPr>
                <w:rFonts w:eastAsia="Times New Roman" w:cs="Calibri"/>
                <w:noProof/>
              </w:rPr>
            </w:pPr>
            <w:r>
              <w:rPr>
                <w:noProof/>
              </w:rPr>
              <w:t>201</w:t>
            </w:r>
          </w:p>
        </w:tc>
        <w:tc>
          <w:tcPr>
            <w:tcW w:w="833" w:type="dxa"/>
            <w:gridSpan w:val="2"/>
            <w:shd w:val="clear" w:color="auto" w:fill="C4EFCE"/>
            <w:noWrap/>
            <w:vAlign w:val="center"/>
            <w:hideMark/>
          </w:tcPr>
          <w:p w14:paraId="3A15E654"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7531FAD5"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970A0D0" w14:textId="5F4E6DC1" w:rsidR="00A15990" w:rsidRDefault="00686A62">
            <w:pPr>
              <w:pStyle w:val="P68B1DB1-Normal8"/>
              <w:spacing w:after="0" w:line="240" w:lineRule="auto"/>
              <w:jc w:val="both"/>
              <w:rPr>
                <w:rFonts w:eastAsia="Times New Roman" w:cs="Calibri"/>
                <w:noProof/>
              </w:rPr>
            </w:pPr>
            <w:r>
              <w:rPr>
                <w:noProof/>
              </w:rPr>
              <w:t xml:space="preserve">Numărul de noi municipalități în care procesul de descentralizare a responsabilităților în domeniul sănătății a fost finalizat, în conformitate cu Decretul-lege nr. 23/2019 din 30 ianuarie, prin semnarea unui anunț de transfer de către Ministerul Sănătății, administrațiile regionale de sănătate și municipalități. Transferul responsabilităților se referă, în special, la: I) participarea municipalităților la deciziile de planificare, gestionare și investiții ale unităților de asistență medicală primară și ale diviziunilor de intervenție în ceea ce privește comportamentele de dependență și dependențele, în special în ceea ce privește construcția, echipamentele și întreținerea acestora; II) gestionarea, întreținerea și conservarea altor echipamente legate de asistența medicală primară; gestionarea lucrătorilor din domeniul sănătății din categoria asistenților operaționali ai unităților funcționale ale grupurilor centrelor de sănătate și a diviziunilor de intervenție în comportamentele de dependență și dependențele care integrează Serviciul Național de Sănătate; IV) gestionarea serviciilor de sprijin logistic ale grupurilor de centre medicale. </w:t>
            </w:r>
          </w:p>
        </w:tc>
      </w:tr>
      <w:tr w:rsidR="00A15990" w14:paraId="52519A96" w14:textId="77777777">
        <w:trPr>
          <w:trHeight w:val="640"/>
        </w:trPr>
        <w:tc>
          <w:tcPr>
            <w:tcW w:w="1135" w:type="dxa"/>
            <w:shd w:val="clear" w:color="auto" w:fill="C4EFCE"/>
            <w:noWrap/>
            <w:vAlign w:val="center"/>
            <w:hideMark/>
          </w:tcPr>
          <w:p w14:paraId="7CDF71B7" w14:textId="77777777" w:rsidR="00A15990" w:rsidRDefault="00686A62">
            <w:pPr>
              <w:pStyle w:val="P68B1DB1-Normal7"/>
              <w:spacing w:after="0" w:line="240" w:lineRule="auto"/>
              <w:jc w:val="center"/>
              <w:rPr>
                <w:rFonts w:eastAsia="Times New Roman" w:cs="Calibri"/>
                <w:noProof/>
              </w:rPr>
            </w:pPr>
            <w:r>
              <w:rPr>
                <w:noProof/>
              </w:rPr>
              <w:t>1.4</w:t>
            </w:r>
          </w:p>
        </w:tc>
        <w:tc>
          <w:tcPr>
            <w:tcW w:w="1276" w:type="dxa"/>
            <w:shd w:val="clear" w:color="auto" w:fill="C4EFCE"/>
            <w:noWrap/>
            <w:vAlign w:val="center"/>
            <w:hideMark/>
          </w:tcPr>
          <w:p w14:paraId="231A738A" w14:textId="77777777" w:rsidR="00A15990" w:rsidRDefault="00686A62">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48CF4AED"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37A3F1D" w14:textId="77777777" w:rsidR="00A15990" w:rsidRDefault="00686A62">
            <w:pPr>
              <w:pStyle w:val="P68B1DB1-Normal8"/>
              <w:spacing w:after="0" w:line="240" w:lineRule="auto"/>
              <w:jc w:val="center"/>
              <w:rPr>
                <w:rFonts w:eastAsia="Times New Roman" w:cs="Calibri"/>
                <w:noProof/>
              </w:rPr>
            </w:pPr>
            <w:r>
              <w:rPr>
                <w:noProof/>
              </w:rPr>
              <w:t>Intrarea în vigoare a noului Decret-lege privind sănătatea mintală, care stabilește principiile de organizare a serviciilor de îngrijire a sănătății mintale</w:t>
            </w:r>
          </w:p>
        </w:tc>
        <w:tc>
          <w:tcPr>
            <w:tcW w:w="1418" w:type="dxa"/>
            <w:shd w:val="clear" w:color="auto" w:fill="C4EFCE"/>
            <w:noWrap/>
            <w:vAlign w:val="center"/>
            <w:hideMark/>
          </w:tcPr>
          <w:p w14:paraId="13D40D49" w14:textId="77777777" w:rsidR="00A15990" w:rsidRDefault="00686A62">
            <w:pPr>
              <w:pStyle w:val="P68B1DB1-Normal8"/>
              <w:spacing w:after="0" w:line="240" w:lineRule="auto"/>
              <w:jc w:val="center"/>
              <w:rPr>
                <w:rFonts w:eastAsia="Times New Roman" w:cs="Calibri"/>
                <w:noProof/>
              </w:rPr>
            </w:pPr>
            <w:r>
              <w:rPr>
                <w:noProof/>
              </w:rPr>
              <w:t>Intrarea în vigoare a noului Decret-lege privind sănătatea mintală</w:t>
            </w:r>
          </w:p>
        </w:tc>
        <w:tc>
          <w:tcPr>
            <w:tcW w:w="1164" w:type="dxa"/>
            <w:shd w:val="clear" w:color="auto" w:fill="C4EFCE"/>
            <w:noWrap/>
            <w:vAlign w:val="center"/>
            <w:hideMark/>
          </w:tcPr>
          <w:p w14:paraId="490E6384"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80C890F"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F2D094"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35388639"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548204FC" w14:textId="77777777" w:rsidR="00A15990" w:rsidRDefault="00686A62">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1B060DF1" w14:textId="77777777" w:rsidR="00A15990" w:rsidRDefault="00686A62">
            <w:pPr>
              <w:pStyle w:val="P68B1DB1-Normal8"/>
              <w:spacing w:after="0" w:line="240" w:lineRule="auto"/>
              <w:jc w:val="both"/>
              <w:rPr>
                <w:rFonts w:eastAsia="Times New Roman" w:cs="Calibri"/>
                <w:noProof/>
              </w:rPr>
            </w:pPr>
            <w:r>
              <w:rPr>
                <w:noProof/>
              </w:rPr>
              <w:t>Noul decret-lege va reflecta propunerile de modificare făcute de Grupul de lucru instituit prin Ordonanța Guvernului nr. 6324/2020 din 15 iunie, astfel cum a fost modificată prin Ordonanța Guvernului nr. 11485/2020 din 20 noiembrie, în vederea definirii principiilor de organizare a serviciilor de îngrijire a sănătății mintale.</w:t>
            </w:r>
          </w:p>
        </w:tc>
      </w:tr>
      <w:tr w:rsidR="00A15990" w14:paraId="5A9C21C0" w14:textId="77777777">
        <w:trPr>
          <w:trHeight w:val="1966"/>
        </w:trPr>
        <w:tc>
          <w:tcPr>
            <w:tcW w:w="1135" w:type="dxa"/>
            <w:shd w:val="clear" w:color="auto" w:fill="C4EFCE"/>
            <w:noWrap/>
            <w:vAlign w:val="center"/>
            <w:hideMark/>
          </w:tcPr>
          <w:p w14:paraId="1FA443A3" w14:textId="77777777" w:rsidR="00A15990" w:rsidRDefault="00686A62">
            <w:pPr>
              <w:pStyle w:val="P68B1DB1-Normal7"/>
              <w:spacing w:after="0" w:line="240" w:lineRule="auto"/>
              <w:jc w:val="center"/>
              <w:rPr>
                <w:rFonts w:eastAsia="Times New Roman" w:cs="Calibri"/>
                <w:noProof/>
              </w:rPr>
            </w:pPr>
            <w:r>
              <w:rPr>
                <w:noProof/>
              </w:rPr>
              <w:t>1.5</w:t>
            </w:r>
          </w:p>
        </w:tc>
        <w:tc>
          <w:tcPr>
            <w:tcW w:w="1276" w:type="dxa"/>
            <w:shd w:val="clear" w:color="auto" w:fill="C4EFCE"/>
            <w:noWrap/>
            <w:vAlign w:val="center"/>
            <w:hideMark/>
          </w:tcPr>
          <w:p w14:paraId="7BC38134" w14:textId="77777777" w:rsidR="00A15990" w:rsidRDefault="00686A62">
            <w:pPr>
              <w:pStyle w:val="P68B1DB1-Normal8"/>
              <w:spacing w:after="0" w:line="240" w:lineRule="auto"/>
              <w:jc w:val="center"/>
              <w:rPr>
                <w:rFonts w:eastAsia="Times New Roman" w:cs="Calibri"/>
                <w:noProof/>
              </w:rPr>
            </w:pPr>
            <w:r>
              <w:rPr>
                <w:noProof/>
              </w:rPr>
              <w:t>RE-C01-r02</w:t>
            </w:r>
          </w:p>
        </w:tc>
        <w:tc>
          <w:tcPr>
            <w:tcW w:w="992" w:type="dxa"/>
            <w:shd w:val="clear" w:color="auto" w:fill="C4EFCE"/>
            <w:noWrap/>
            <w:vAlign w:val="center"/>
            <w:hideMark/>
          </w:tcPr>
          <w:p w14:paraId="1640A28D"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8A8BC09" w14:textId="77777777" w:rsidR="00A15990" w:rsidRDefault="00686A62">
            <w:pPr>
              <w:pStyle w:val="P68B1DB1-Normal8"/>
              <w:spacing w:after="0" w:line="240" w:lineRule="auto"/>
              <w:jc w:val="center"/>
              <w:rPr>
                <w:rFonts w:eastAsia="Times New Roman" w:cs="Calibri"/>
                <w:noProof/>
              </w:rPr>
            </w:pPr>
            <w:r>
              <w:rPr>
                <w:noProof/>
              </w:rPr>
              <w:t>Intrarea în vigoare a noii Legi privind sănătatea mintală, care stabilește principiile referitoare la drepturile persoanelor cu boli mintale și reglementează spitalizarea sau tratamentul obligatoriu</w:t>
            </w:r>
          </w:p>
        </w:tc>
        <w:tc>
          <w:tcPr>
            <w:tcW w:w="1418" w:type="dxa"/>
            <w:shd w:val="clear" w:color="auto" w:fill="C4EFCE"/>
            <w:noWrap/>
            <w:vAlign w:val="center"/>
            <w:hideMark/>
          </w:tcPr>
          <w:p w14:paraId="0C4283AF" w14:textId="77777777" w:rsidR="00A15990" w:rsidRDefault="00686A62">
            <w:pPr>
              <w:pStyle w:val="P68B1DB1-Normal8"/>
              <w:spacing w:after="0" w:line="240" w:lineRule="auto"/>
              <w:jc w:val="center"/>
              <w:rPr>
                <w:rFonts w:eastAsia="Times New Roman" w:cs="Calibri"/>
                <w:noProof/>
              </w:rPr>
            </w:pPr>
            <w:r>
              <w:rPr>
                <w:noProof/>
              </w:rPr>
              <w:t>Intrarea în vigoare a noii legi privind sănătatea mintală</w:t>
            </w:r>
          </w:p>
        </w:tc>
        <w:tc>
          <w:tcPr>
            <w:tcW w:w="1164" w:type="dxa"/>
            <w:shd w:val="clear" w:color="auto" w:fill="C4EFCE"/>
            <w:noWrap/>
            <w:vAlign w:val="center"/>
            <w:hideMark/>
          </w:tcPr>
          <w:p w14:paraId="6EC27EF4"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68D4131"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40AB3AA"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99B69D0" w14:textId="77777777" w:rsidR="00A15990" w:rsidRDefault="00686A62">
            <w:pPr>
              <w:pStyle w:val="P68B1DB1-Normal8"/>
              <w:spacing w:after="0" w:line="240" w:lineRule="auto"/>
              <w:jc w:val="center"/>
              <w:rPr>
                <w:rFonts w:eastAsia="Times New Roman" w:cs="Calibri"/>
                <w:noProof/>
              </w:rPr>
            </w:pPr>
            <w:r>
              <w:rPr>
                <w:noProof/>
              </w:rPr>
              <w:t>TRIMESTRUL 1</w:t>
            </w:r>
          </w:p>
        </w:tc>
        <w:tc>
          <w:tcPr>
            <w:tcW w:w="901" w:type="dxa"/>
            <w:shd w:val="clear" w:color="auto" w:fill="C4EFCE"/>
            <w:noWrap/>
            <w:vAlign w:val="center"/>
            <w:hideMark/>
          </w:tcPr>
          <w:p w14:paraId="2A36F701" w14:textId="77777777" w:rsidR="00A15990" w:rsidRDefault="00686A62">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19AE9BCF" w14:textId="77777777" w:rsidR="00A15990" w:rsidRDefault="00686A62">
            <w:pPr>
              <w:pStyle w:val="P68B1DB1-Normal8"/>
              <w:spacing w:after="0" w:line="240" w:lineRule="auto"/>
              <w:jc w:val="both"/>
              <w:rPr>
                <w:rFonts w:eastAsia="Times New Roman" w:cs="Calibri"/>
                <w:noProof/>
              </w:rPr>
            </w:pPr>
            <w:r>
              <w:rPr>
                <w:noProof/>
              </w:rPr>
              <w:t>Noua Lege privind sănătatea mintală va reflecta propunerile de modificare formulate de Grupul de lucru constituit prin Ordonanța Guvernului nr. 6324/2020 din 15 iunie, astfel cum a fost modificată prin Ordonanța Guvernului nr. 11485/2020 din 20 noiembrie, în vederea stabilirii principiilor referitoare la drepturile persoanelor cu boli mintale și a reglementării spitalizării sau tratamentului obligatoriu.</w:t>
            </w:r>
          </w:p>
        </w:tc>
      </w:tr>
      <w:tr w:rsidR="00A15990" w14:paraId="30477D5B" w14:textId="77777777">
        <w:trPr>
          <w:trHeight w:val="850"/>
        </w:trPr>
        <w:tc>
          <w:tcPr>
            <w:tcW w:w="1135" w:type="dxa"/>
            <w:shd w:val="clear" w:color="auto" w:fill="C4EFCE"/>
            <w:noWrap/>
            <w:vAlign w:val="center"/>
            <w:hideMark/>
          </w:tcPr>
          <w:p w14:paraId="32C79C84" w14:textId="77777777" w:rsidR="00A15990" w:rsidRDefault="00686A62">
            <w:pPr>
              <w:pStyle w:val="P68B1DB1-Normal7"/>
              <w:spacing w:after="0" w:line="240" w:lineRule="auto"/>
              <w:jc w:val="center"/>
              <w:rPr>
                <w:rFonts w:eastAsia="Times New Roman" w:cs="Calibri"/>
                <w:noProof/>
              </w:rPr>
            </w:pPr>
            <w:r>
              <w:rPr>
                <w:noProof/>
              </w:rPr>
              <w:t>1.6</w:t>
            </w:r>
          </w:p>
        </w:tc>
        <w:tc>
          <w:tcPr>
            <w:tcW w:w="1276" w:type="dxa"/>
            <w:shd w:val="clear" w:color="auto" w:fill="C4EFCE"/>
            <w:noWrap/>
            <w:vAlign w:val="center"/>
            <w:hideMark/>
          </w:tcPr>
          <w:p w14:paraId="2ECC3EA8" w14:textId="77777777" w:rsidR="00A15990" w:rsidRDefault="00686A62">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6C8C908A"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791F258" w14:textId="77777777" w:rsidR="00A15990" w:rsidRDefault="00686A62">
            <w:pPr>
              <w:pStyle w:val="P68B1DB1-Normal8"/>
              <w:spacing w:after="0" w:line="240" w:lineRule="auto"/>
              <w:jc w:val="center"/>
              <w:rPr>
                <w:rFonts w:eastAsia="Times New Roman" w:cs="Calibri"/>
                <w:noProof/>
              </w:rPr>
            </w:pPr>
            <w:r>
              <w:rPr>
                <w:noProof/>
              </w:rPr>
              <w:t xml:space="preserve">Intrarea în vigoare a noului model de contract de gestionare </w:t>
            </w:r>
          </w:p>
        </w:tc>
        <w:tc>
          <w:tcPr>
            <w:tcW w:w="1418" w:type="dxa"/>
            <w:shd w:val="clear" w:color="auto" w:fill="C4EFCE"/>
            <w:noWrap/>
            <w:vAlign w:val="center"/>
            <w:hideMark/>
          </w:tcPr>
          <w:p w14:paraId="650B0FAE" w14:textId="77777777" w:rsidR="00A15990" w:rsidRDefault="00686A62">
            <w:pPr>
              <w:pStyle w:val="P68B1DB1-Normal8"/>
              <w:spacing w:after="0" w:line="240" w:lineRule="auto"/>
              <w:jc w:val="center"/>
              <w:rPr>
                <w:rFonts w:eastAsia="Times New Roman" w:cs="Calibri"/>
                <w:noProof/>
              </w:rPr>
            </w:pPr>
            <w:r>
              <w:rPr>
                <w:noProof/>
              </w:rPr>
              <w:t>Intrarea în vigoare a noului model de contract de gestionare</w:t>
            </w:r>
          </w:p>
        </w:tc>
        <w:tc>
          <w:tcPr>
            <w:tcW w:w="1164" w:type="dxa"/>
            <w:shd w:val="clear" w:color="auto" w:fill="C4EFCE"/>
            <w:noWrap/>
            <w:vAlign w:val="center"/>
            <w:hideMark/>
          </w:tcPr>
          <w:p w14:paraId="74656DC2"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230ACBA"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05F4225"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17978E7"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5C203299"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5A41FB03" w14:textId="77777777" w:rsidR="00A15990" w:rsidRDefault="00686A62">
            <w:pPr>
              <w:pStyle w:val="P68B1DB1-Normal8"/>
              <w:spacing w:after="0" w:line="240" w:lineRule="auto"/>
              <w:jc w:val="both"/>
              <w:rPr>
                <w:rFonts w:eastAsia="Times New Roman" w:cs="Calibri"/>
                <w:noProof/>
              </w:rPr>
            </w:pPr>
            <w:r>
              <w:rPr>
                <w:noProof/>
              </w:rPr>
              <w:t>Intrarea în vigoare, prin aprobarea în comun de către ministerele sănătății și finanțelor, a noului model de contract de gestionare. Noul model trebuie respectat de toate contractele viitoare de gestionare care urmează să fie semnate de toți administratorii publici ai întreprinderilor de stat din sistemul de sănătate, pentru a consolida responsabilitatea și a încuraja practicile de gestionare bazate pe performanță.</w:t>
            </w:r>
          </w:p>
        </w:tc>
      </w:tr>
      <w:tr w:rsidR="00A15990" w14:paraId="62CE5DDB" w14:textId="77777777">
        <w:trPr>
          <w:trHeight w:val="556"/>
        </w:trPr>
        <w:tc>
          <w:tcPr>
            <w:tcW w:w="1135" w:type="dxa"/>
            <w:shd w:val="clear" w:color="auto" w:fill="C4EFCE"/>
            <w:noWrap/>
            <w:vAlign w:val="center"/>
            <w:hideMark/>
          </w:tcPr>
          <w:p w14:paraId="41A0C8AD" w14:textId="77777777" w:rsidR="00A15990" w:rsidRDefault="00686A62">
            <w:pPr>
              <w:pStyle w:val="P68B1DB1-Normal7"/>
              <w:spacing w:after="0" w:line="240" w:lineRule="auto"/>
              <w:jc w:val="center"/>
              <w:rPr>
                <w:rFonts w:eastAsia="Times New Roman" w:cs="Calibri"/>
                <w:noProof/>
              </w:rPr>
            </w:pPr>
            <w:r>
              <w:rPr>
                <w:noProof/>
              </w:rPr>
              <w:t>1.7</w:t>
            </w:r>
          </w:p>
        </w:tc>
        <w:tc>
          <w:tcPr>
            <w:tcW w:w="1276" w:type="dxa"/>
            <w:shd w:val="clear" w:color="auto" w:fill="C4EFCE"/>
            <w:noWrap/>
            <w:vAlign w:val="center"/>
            <w:hideMark/>
          </w:tcPr>
          <w:p w14:paraId="503F6CAA" w14:textId="77777777" w:rsidR="00A15990" w:rsidRDefault="00686A62">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C388B1A"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03D3A04" w14:textId="77777777" w:rsidR="00A15990" w:rsidRDefault="00686A62">
            <w:pPr>
              <w:pStyle w:val="P68B1DB1-Normal8"/>
              <w:spacing w:after="0" w:line="240" w:lineRule="auto"/>
              <w:jc w:val="center"/>
              <w:rPr>
                <w:rFonts w:eastAsia="Times New Roman" w:cs="Calibri"/>
                <w:noProof/>
              </w:rPr>
            </w:pPr>
            <w:r>
              <w:rPr>
                <w:noProof/>
              </w:rPr>
              <w:t>Intrarea în vigoare a noului Plan de Contabilitate Management al Serviciului Național de Sănătate</w:t>
            </w:r>
          </w:p>
        </w:tc>
        <w:tc>
          <w:tcPr>
            <w:tcW w:w="1418" w:type="dxa"/>
            <w:shd w:val="clear" w:color="auto" w:fill="C4EFCE"/>
            <w:noWrap/>
            <w:vAlign w:val="center"/>
            <w:hideMark/>
          </w:tcPr>
          <w:p w14:paraId="17E76F91" w14:textId="77777777" w:rsidR="00A15990" w:rsidRDefault="00686A62">
            <w:pPr>
              <w:pStyle w:val="P68B1DB1-Normal8"/>
              <w:spacing w:after="0" w:line="240" w:lineRule="auto"/>
              <w:jc w:val="center"/>
              <w:rPr>
                <w:rFonts w:eastAsia="Times New Roman" w:cs="Calibri"/>
                <w:noProof/>
              </w:rPr>
            </w:pPr>
            <w:r>
              <w:rPr>
                <w:noProof/>
              </w:rPr>
              <w:t>Intrarea în vigoare a noului plan de gestiune contabilă</w:t>
            </w:r>
          </w:p>
        </w:tc>
        <w:tc>
          <w:tcPr>
            <w:tcW w:w="1164" w:type="dxa"/>
            <w:shd w:val="clear" w:color="auto" w:fill="C4EFCE"/>
            <w:noWrap/>
            <w:vAlign w:val="center"/>
            <w:hideMark/>
          </w:tcPr>
          <w:p w14:paraId="24AFC56D"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06359F79"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52339343"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FA554EC" w14:textId="77777777" w:rsidR="00A15990" w:rsidRDefault="00686A62">
            <w:pPr>
              <w:pStyle w:val="P68B1DB1-Normal8"/>
              <w:spacing w:after="0" w:line="240" w:lineRule="auto"/>
              <w:jc w:val="center"/>
              <w:rPr>
                <w:rFonts w:eastAsia="Times New Roman" w:cs="Calibri"/>
                <w:noProof/>
              </w:rPr>
            </w:pPr>
            <w:r>
              <w:rPr>
                <w:noProof/>
              </w:rPr>
              <w:t>TRIMESTRUL 1</w:t>
            </w:r>
          </w:p>
        </w:tc>
        <w:tc>
          <w:tcPr>
            <w:tcW w:w="901" w:type="dxa"/>
            <w:shd w:val="clear" w:color="auto" w:fill="C4EFCE"/>
            <w:noWrap/>
            <w:vAlign w:val="center"/>
            <w:hideMark/>
          </w:tcPr>
          <w:p w14:paraId="24B7A493" w14:textId="77777777" w:rsidR="00A15990" w:rsidRDefault="00686A62">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4314FC7" w14:textId="77777777" w:rsidR="00A15990" w:rsidRDefault="00686A62">
            <w:pPr>
              <w:pStyle w:val="P68B1DB1-Normal8"/>
              <w:spacing w:after="0" w:line="240" w:lineRule="auto"/>
              <w:jc w:val="both"/>
              <w:rPr>
                <w:rFonts w:eastAsia="Times New Roman" w:cs="Calibri"/>
                <w:noProof/>
              </w:rPr>
            </w:pPr>
            <w:r>
              <w:rPr>
                <w:noProof/>
              </w:rPr>
              <w:t>Stabilirea unui plan contabil de management pentru Serviciul Național de Sănătate, în vederea colectării, la nivel național, a informațiilor privind costurile, veniturile și rezultatele serviciilor spitalicești, îmbunătățind astfel alocarea resurselor în cadrul Serviciului Național de Sănătate, analiza comparativă și identificarea domeniilor care ar putea fi îmbunătățite în ceea ce privește eficiența operațională a entităților sanitare. Noul plan de gestiune contabilă este difuzat printr-o circulară normativă de către administrația centrală a sistemului de sănătate.</w:t>
            </w:r>
          </w:p>
        </w:tc>
      </w:tr>
      <w:tr w:rsidR="00A15990" w14:paraId="32CD0FC0" w14:textId="77777777">
        <w:trPr>
          <w:trHeight w:val="509"/>
        </w:trPr>
        <w:tc>
          <w:tcPr>
            <w:tcW w:w="1135" w:type="dxa"/>
            <w:shd w:val="clear" w:color="auto" w:fill="C4EFCE"/>
            <w:noWrap/>
            <w:vAlign w:val="center"/>
            <w:hideMark/>
          </w:tcPr>
          <w:p w14:paraId="21F38F39" w14:textId="77777777" w:rsidR="00A15990" w:rsidRDefault="00686A62">
            <w:pPr>
              <w:pStyle w:val="P68B1DB1-Normal7"/>
              <w:spacing w:after="0" w:line="240" w:lineRule="auto"/>
              <w:jc w:val="center"/>
              <w:rPr>
                <w:rFonts w:eastAsia="Times New Roman" w:cs="Calibri"/>
                <w:noProof/>
              </w:rPr>
            </w:pPr>
            <w:r>
              <w:rPr>
                <w:noProof/>
              </w:rPr>
              <w:t>1.8</w:t>
            </w:r>
          </w:p>
        </w:tc>
        <w:tc>
          <w:tcPr>
            <w:tcW w:w="1276" w:type="dxa"/>
            <w:shd w:val="clear" w:color="auto" w:fill="C4EFCE"/>
            <w:noWrap/>
            <w:vAlign w:val="center"/>
            <w:hideMark/>
          </w:tcPr>
          <w:p w14:paraId="17CA506E" w14:textId="77777777" w:rsidR="00A15990" w:rsidRDefault="00686A62">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77C53D1"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07A85A30" w14:textId="77777777" w:rsidR="00A15990" w:rsidRDefault="00686A62">
            <w:pPr>
              <w:pStyle w:val="P68B1DB1-Normal8"/>
              <w:spacing w:after="0" w:line="240" w:lineRule="auto"/>
              <w:jc w:val="center"/>
              <w:rPr>
                <w:rFonts w:eastAsia="Times New Roman" w:cs="Calibri"/>
                <w:noProof/>
              </w:rPr>
            </w:pPr>
            <w:r>
              <w:rPr>
                <w:noProof/>
              </w:rPr>
              <w:t>Înființarea de noi centre integrate de responsabilitate în spitalele Serviciului Național de Sănătate</w:t>
            </w:r>
          </w:p>
        </w:tc>
        <w:tc>
          <w:tcPr>
            <w:tcW w:w="1418" w:type="dxa"/>
            <w:shd w:val="clear" w:color="auto" w:fill="C4EFCE"/>
            <w:noWrap/>
            <w:vAlign w:val="center"/>
            <w:hideMark/>
          </w:tcPr>
          <w:p w14:paraId="60988E12"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8F2FF0"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2B2EFD81"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4C0063E" w14:textId="77777777" w:rsidR="00A15990" w:rsidRDefault="00686A62">
            <w:pPr>
              <w:pStyle w:val="P68B1DB1-Normal8"/>
              <w:spacing w:after="0" w:line="240" w:lineRule="auto"/>
              <w:jc w:val="center"/>
              <w:rPr>
                <w:rFonts w:eastAsia="Times New Roman" w:cs="Calibri"/>
                <w:noProof/>
              </w:rPr>
            </w:pPr>
            <w:r>
              <w:rPr>
                <w:noProof/>
              </w:rPr>
              <w:t>10</w:t>
            </w:r>
          </w:p>
        </w:tc>
        <w:tc>
          <w:tcPr>
            <w:tcW w:w="833" w:type="dxa"/>
            <w:gridSpan w:val="2"/>
            <w:shd w:val="clear" w:color="auto" w:fill="C4EFCE"/>
            <w:noWrap/>
            <w:vAlign w:val="center"/>
            <w:hideMark/>
          </w:tcPr>
          <w:p w14:paraId="15BC6433"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775CACAD"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95952DF" w14:textId="77777777" w:rsidR="00A15990" w:rsidRDefault="00686A62">
            <w:pPr>
              <w:pStyle w:val="P68B1DB1-Normal8"/>
              <w:spacing w:after="0" w:line="240" w:lineRule="auto"/>
              <w:jc w:val="both"/>
              <w:rPr>
                <w:rFonts w:eastAsia="Times New Roman" w:cs="Calibri"/>
                <w:noProof/>
              </w:rPr>
            </w:pPr>
            <w:r>
              <w:rPr>
                <w:noProof/>
              </w:rPr>
              <w:t>Înființarea de noi centre integrate de responsabilitate în spitalele Serviciului Național de Sănătate pentru: I) îmbunătățirea accesului la servicii de îngrijire a sănătății, precum și a calității și eficienței în furnizarea acestora; II) consolidarea guvernanței clinice, a autonomiei și a responsabilității serviciilor de asistență medicală; să încurajeze profesioniștii din domeniul sănătății să continue să lucreze în spitalele publice; IV) partajează riscurile și beneficiile între serviciile de asistență medicală și spitale; V) evaluarea misiunii fiecărui serviciu de asistență medicală și a fiecărui spital în contextul regional și național al Serviciului Național de Sănătate.</w:t>
            </w:r>
          </w:p>
        </w:tc>
      </w:tr>
      <w:tr w:rsidR="00A15990" w14:paraId="1939BFC6" w14:textId="77777777">
        <w:trPr>
          <w:trHeight w:val="1270"/>
        </w:trPr>
        <w:tc>
          <w:tcPr>
            <w:tcW w:w="1135" w:type="dxa"/>
            <w:shd w:val="clear" w:color="auto" w:fill="C4EFCE"/>
            <w:noWrap/>
            <w:vAlign w:val="center"/>
            <w:hideMark/>
          </w:tcPr>
          <w:p w14:paraId="3C32EC3C" w14:textId="77777777" w:rsidR="00A15990" w:rsidRDefault="00686A62">
            <w:pPr>
              <w:pStyle w:val="P68B1DB1-Normal7"/>
              <w:spacing w:after="0" w:line="240" w:lineRule="auto"/>
              <w:jc w:val="center"/>
              <w:rPr>
                <w:rFonts w:eastAsia="Times New Roman" w:cs="Calibri"/>
                <w:noProof/>
              </w:rPr>
            </w:pPr>
            <w:r>
              <w:rPr>
                <w:noProof/>
              </w:rPr>
              <w:t>1.9</w:t>
            </w:r>
          </w:p>
        </w:tc>
        <w:tc>
          <w:tcPr>
            <w:tcW w:w="1276" w:type="dxa"/>
            <w:shd w:val="clear" w:color="auto" w:fill="C4EFCE"/>
            <w:noWrap/>
            <w:vAlign w:val="center"/>
            <w:hideMark/>
          </w:tcPr>
          <w:p w14:paraId="089D7CDD" w14:textId="77777777" w:rsidR="00A15990" w:rsidRDefault="00686A62">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CCBCD34"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18C1018" w14:textId="77777777" w:rsidR="00A15990" w:rsidRDefault="00686A62">
            <w:pPr>
              <w:pStyle w:val="P68B1DB1-Normal8"/>
              <w:spacing w:after="0" w:line="240" w:lineRule="auto"/>
              <w:jc w:val="center"/>
              <w:rPr>
                <w:rFonts w:eastAsia="Times New Roman" w:cs="Calibri"/>
                <w:noProof/>
              </w:rPr>
            </w:pPr>
            <w:r>
              <w:rPr>
                <w:noProof/>
              </w:rPr>
              <w:t>Înființarea de noi centre integrate de responsabilitate în spitalele Serviciului Național de Sănătate</w:t>
            </w:r>
          </w:p>
        </w:tc>
        <w:tc>
          <w:tcPr>
            <w:tcW w:w="1418" w:type="dxa"/>
            <w:shd w:val="clear" w:color="auto" w:fill="C4EFCE"/>
            <w:noWrap/>
            <w:vAlign w:val="center"/>
            <w:hideMark/>
          </w:tcPr>
          <w:p w14:paraId="05523826"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E40AB99"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5203E359" w14:textId="77777777" w:rsidR="00A15990" w:rsidRDefault="00686A62">
            <w:pPr>
              <w:pStyle w:val="P68B1DB1-Normal8"/>
              <w:spacing w:after="0" w:line="240" w:lineRule="auto"/>
              <w:jc w:val="center"/>
              <w:rPr>
                <w:rFonts w:eastAsia="Times New Roman" w:cs="Calibri"/>
                <w:noProof/>
              </w:rPr>
            </w:pPr>
            <w:r>
              <w:rPr>
                <w:noProof/>
              </w:rPr>
              <w:t>10</w:t>
            </w:r>
          </w:p>
        </w:tc>
        <w:tc>
          <w:tcPr>
            <w:tcW w:w="805" w:type="dxa"/>
            <w:shd w:val="clear" w:color="auto" w:fill="C4EFCE"/>
            <w:noWrap/>
            <w:vAlign w:val="center"/>
            <w:hideMark/>
          </w:tcPr>
          <w:p w14:paraId="7A35B435" w14:textId="77777777" w:rsidR="00A15990" w:rsidRDefault="00686A62">
            <w:pPr>
              <w:pStyle w:val="P68B1DB1-Normal8"/>
              <w:spacing w:after="0" w:line="240" w:lineRule="auto"/>
              <w:jc w:val="center"/>
              <w:rPr>
                <w:rFonts w:eastAsia="Times New Roman" w:cs="Calibri"/>
                <w:noProof/>
              </w:rPr>
            </w:pPr>
            <w:r>
              <w:rPr>
                <w:noProof/>
              </w:rPr>
              <w:t>25</w:t>
            </w:r>
          </w:p>
        </w:tc>
        <w:tc>
          <w:tcPr>
            <w:tcW w:w="833" w:type="dxa"/>
            <w:gridSpan w:val="2"/>
            <w:shd w:val="clear" w:color="auto" w:fill="C4EFCE"/>
            <w:noWrap/>
            <w:vAlign w:val="center"/>
            <w:hideMark/>
          </w:tcPr>
          <w:p w14:paraId="794F3E26"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70104365" w14:textId="77777777"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AF662D1" w14:textId="77777777" w:rsidR="00A15990" w:rsidRDefault="00686A62">
            <w:pPr>
              <w:pStyle w:val="P68B1DB1-Normal8"/>
              <w:spacing w:after="0" w:line="240" w:lineRule="auto"/>
              <w:jc w:val="both"/>
              <w:rPr>
                <w:rFonts w:eastAsia="Times New Roman" w:cs="Calibri"/>
                <w:noProof/>
              </w:rPr>
            </w:pPr>
            <w:r>
              <w:rPr>
                <w:noProof/>
              </w:rPr>
              <w:t>Înființarea de noi centre integrate de responsabilitate în spitalele Serviciului Național de Sănătate pentru: I) îmbunătățirea accesului la servicii de îngrijire a sănătății, precum și a calității și eficienței în furnizarea acestora; II) consolidarea guvernanței clinice, a autonomiei și a responsabilității serviciilor de asistență medicală; să încurajeze profesioniștii din domeniul sănătății să continue să lucreze în spitalele publice; IV) partajează riscurile și beneficiile între serviciile de asistență medicală și spitale; V) evaluarea misiunii fiecărui serviciu de asistență medicală și a fiecărui spital în contextul regional și național al Serviciului Național de Sănătate.</w:t>
            </w:r>
          </w:p>
        </w:tc>
      </w:tr>
      <w:tr w:rsidR="00A15990" w14:paraId="42C580F2" w14:textId="77777777">
        <w:trPr>
          <w:trHeight w:val="1270"/>
        </w:trPr>
        <w:tc>
          <w:tcPr>
            <w:tcW w:w="1135" w:type="dxa"/>
            <w:shd w:val="clear" w:color="auto" w:fill="C4EFCE"/>
            <w:noWrap/>
            <w:vAlign w:val="center"/>
            <w:hideMark/>
          </w:tcPr>
          <w:p w14:paraId="577ECC38" w14:textId="77777777" w:rsidR="00A15990" w:rsidRDefault="00686A62">
            <w:pPr>
              <w:pStyle w:val="P68B1DB1-Normal7"/>
              <w:spacing w:after="0" w:line="240" w:lineRule="auto"/>
              <w:jc w:val="center"/>
              <w:rPr>
                <w:rFonts w:eastAsia="Times New Roman" w:cs="Calibri"/>
                <w:noProof/>
              </w:rPr>
            </w:pPr>
            <w:r>
              <w:rPr>
                <w:noProof/>
              </w:rPr>
              <w:t>1.10</w:t>
            </w:r>
          </w:p>
        </w:tc>
        <w:tc>
          <w:tcPr>
            <w:tcW w:w="1276" w:type="dxa"/>
            <w:shd w:val="clear" w:color="auto" w:fill="C4EFCE"/>
            <w:noWrap/>
            <w:vAlign w:val="center"/>
            <w:hideMark/>
          </w:tcPr>
          <w:p w14:paraId="366D7083" w14:textId="77777777" w:rsidR="00A15990" w:rsidRDefault="00686A62">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1F822836"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4D5231" w14:textId="77777777" w:rsidR="00A15990" w:rsidRDefault="00686A62">
            <w:pPr>
              <w:pStyle w:val="P68B1DB1-Normal8"/>
              <w:spacing w:after="0" w:line="240" w:lineRule="auto"/>
              <w:jc w:val="center"/>
              <w:rPr>
                <w:rFonts w:eastAsia="Times New Roman" w:cs="Calibri"/>
                <w:noProof/>
              </w:rPr>
            </w:pPr>
            <w:r>
              <w:rPr>
                <w:noProof/>
              </w:rPr>
              <w:t>Consolidarea răspunsurilor de spitalizare la domiciliu în spitalele Serviciului Național de Sănătate</w:t>
            </w:r>
          </w:p>
        </w:tc>
        <w:tc>
          <w:tcPr>
            <w:tcW w:w="1418" w:type="dxa"/>
            <w:shd w:val="clear" w:color="auto" w:fill="C4EFCE"/>
            <w:noWrap/>
            <w:vAlign w:val="center"/>
            <w:hideMark/>
          </w:tcPr>
          <w:p w14:paraId="345712F2"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B7E8C08"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10CED8A4"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A59B4DD" w14:textId="77777777" w:rsidR="00A15990" w:rsidRDefault="00686A62">
            <w:pPr>
              <w:pStyle w:val="P68B1DB1-Normal8"/>
              <w:spacing w:after="0" w:line="240" w:lineRule="auto"/>
              <w:jc w:val="center"/>
              <w:rPr>
                <w:rFonts w:eastAsia="Times New Roman" w:cs="Calibri"/>
                <w:noProof/>
              </w:rPr>
            </w:pPr>
            <w:r>
              <w:rPr>
                <w:noProof/>
              </w:rPr>
              <w:t>5 000</w:t>
            </w:r>
          </w:p>
        </w:tc>
        <w:tc>
          <w:tcPr>
            <w:tcW w:w="833" w:type="dxa"/>
            <w:gridSpan w:val="2"/>
            <w:shd w:val="clear" w:color="auto" w:fill="C4EFCE"/>
            <w:noWrap/>
            <w:vAlign w:val="center"/>
            <w:hideMark/>
          </w:tcPr>
          <w:p w14:paraId="0E7C5F59"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5462A3BC" w14:textId="77777777" w:rsidR="00A15990" w:rsidRDefault="00686A62">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7304B4C" w14:textId="77777777" w:rsidR="00A15990" w:rsidRDefault="00686A62">
            <w:pPr>
              <w:pStyle w:val="P68B1DB1-Normal8"/>
              <w:spacing w:after="0" w:line="240" w:lineRule="auto"/>
              <w:jc w:val="both"/>
              <w:rPr>
                <w:rFonts w:eastAsia="Times New Roman" w:cs="Calibri"/>
                <w:noProof/>
              </w:rPr>
            </w:pPr>
            <w:r>
              <w:rPr>
                <w:noProof/>
              </w:rPr>
              <w:t>Să sporească capacitatea de răspuns în spitalizarea la domiciliu, permițând furnizarea, la domiciliu, a unor servicii de asistență medicală cu diferențiere, complexitate și intensitate spitalelor, pentru o perioadă limitată, în strânsă legătură cu serviciile de asistență medicală primară, cu rețeaua națională de îngrijire continuă integrată, cu sectorul social și cu comunitatea în sens larg, măsurată în funcție de numărul de noi episoade de spitalizare la domiciliu (definită ca un set de îngrijiri acordate în perioada în care pacientul se află sub responsabilitatea unității de spitalizare la domiciliu, care funcționează neîntrerupt de la data internării până la data externării, cu excepția zilei de externare).</w:t>
            </w:r>
          </w:p>
        </w:tc>
      </w:tr>
      <w:tr w:rsidR="00A15990" w14:paraId="1699988C" w14:textId="77777777">
        <w:trPr>
          <w:trHeight w:val="548"/>
        </w:trPr>
        <w:tc>
          <w:tcPr>
            <w:tcW w:w="1135" w:type="dxa"/>
            <w:shd w:val="clear" w:color="auto" w:fill="C4EFCE"/>
            <w:noWrap/>
            <w:vAlign w:val="center"/>
            <w:hideMark/>
          </w:tcPr>
          <w:p w14:paraId="2DF091B1" w14:textId="77777777" w:rsidR="00A15990" w:rsidRDefault="00686A62">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0111FB9C" w14:textId="77777777" w:rsidR="00A15990" w:rsidRDefault="00686A62">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29EE4E04"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633A7BA" w14:textId="77777777" w:rsidR="00A15990" w:rsidRDefault="00686A62">
            <w:pPr>
              <w:pStyle w:val="P68B1DB1-Normal8"/>
              <w:spacing w:after="0" w:line="240" w:lineRule="auto"/>
              <w:jc w:val="center"/>
              <w:rPr>
                <w:rFonts w:eastAsia="Times New Roman" w:cs="Calibri"/>
                <w:noProof/>
              </w:rPr>
            </w:pPr>
            <w:r>
              <w:rPr>
                <w:noProof/>
              </w:rPr>
              <w:t>Intrarea în vigoare a planului de acțiune pentru consolidarea mecanismelor centralizate de achiziție a medicamentelor</w:t>
            </w:r>
          </w:p>
        </w:tc>
        <w:tc>
          <w:tcPr>
            <w:tcW w:w="1418" w:type="dxa"/>
            <w:shd w:val="clear" w:color="auto" w:fill="C4EFCE"/>
            <w:noWrap/>
            <w:vAlign w:val="center"/>
            <w:hideMark/>
          </w:tcPr>
          <w:p w14:paraId="76B6595B" w14:textId="77777777" w:rsidR="00A15990" w:rsidRDefault="00686A62">
            <w:pPr>
              <w:pStyle w:val="P68B1DB1-Normal8"/>
              <w:spacing w:after="0" w:line="240" w:lineRule="auto"/>
              <w:jc w:val="center"/>
              <w:rPr>
                <w:rFonts w:eastAsia="Times New Roman" w:cs="Calibri"/>
                <w:noProof/>
              </w:rPr>
            </w:pPr>
            <w:r>
              <w:rPr>
                <w:noProof/>
              </w:rPr>
              <w:t>Intrarea în vigoare a planului de acțiune pentru consolidarea mecanismelor centralizate de achiziție a medicamentelor</w:t>
            </w:r>
          </w:p>
        </w:tc>
        <w:tc>
          <w:tcPr>
            <w:tcW w:w="1164" w:type="dxa"/>
            <w:shd w:val="clear" w:color="auto" w:fill="C4EFCE"/>
            <w:noWrap/>
            <w:vAlign w:val="center"/>
            <w:hideMark/>
          </w:tcPr>
          <w:p w14:paraId="4C8EE4DB"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0EE7582"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71ECECB"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73F04864"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64160DE6" w14:textId="77777777" w:rsidR="00A15990" w:rsidRDefault="00686A62">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3D202E36" w14:textId="77777777" w:rsidR="00A15990" w:rsidRDefault="00686A62">
            <w:pPr>
              <w:pStyle w:val="P68B1DB1-Normal8"/>
              <w:spacing w:after="0" w:line="240" w:lineRule="auto"/>
              <w:jc w:val="both"/>
              <w:rPr>
                <w:rFonts w:eastAsia="Times New Roman" w:cs="Calibri"/>
                <w:noProof/>
              </w:rPr>
            </w:pPr>
            <w:r>
              <w:rPr>
                <w:noProof/>
              </w:rPr>
              <w:t>Intrarea în vigoare a planului de acțiune pentru consolidarea mecanismelor centralizate de achiziționare a medicamentelor, pentru punerea în aplicare a recomandărilor evaluării independente a achizițiilor centralizate de medicamente în Portugalia, realizată de Institutul Național de Sănătate Publică din Austria în cadrul Programului de sprijin pentru reforme structurale.</w:t>
            </w:r>
          </w:p>
        </w:tc>
      </w:tr>
      <w:tr w:rsidR="00A15990" w14:paraId="240E4FD9" w14:textId="77777777">
        <w:trPr>
          <w:trHeight w:val="430"/>
        </w:trPr>
        <w:tc>
          <w:tcPr>
            <w:tcW w:w="1135" w:type="dxa"/>
            <w:shd w:val="clear" w:color="auto" w:fill="C4EFCE"/>
            <w:noWrap/>
            <w:vAlign w:val="center"/>
            <w:hideMark/>
          </w:tcPr>
          <w:p w14:paraId="1D7DFEEA" w14:textId="77777777" w:rsidR="00A15990" w:rsidRDefault="00686A62">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05A91880" w14:textId="77777777" w:rsidR="00A15990" w:rsidRDefault="00686A62">
            <w:pPr>
              <w:pStyle w:val="P68B1DB1-Normal8"/>
              <w:spacing w:after="0" w:line="240" w:lineRule="auto"/>
              <w:jc w:val="center"/>
              <w:rPr>
                <w:rFonts w:eastAsia="Times New Roman" w:cs="Calibri"/>
                <w:noProof/>
              </w:rPr>
            </w:pPr>
            <w:r>
              <w:rPr>
                <w:noProof/>
              </w:rPr>
              <w:t>RE-C01-r03</w:t>
            </w:r>
          </w:p>
        </w:tc>
        <w:tc>
          <w:tcPr>
            <w:tcW w:w="992" w:type="dxa"/>
            <w:shd w:val="clear" w:color="auto" w:fill="C4EFCE"/>
            <w:noWrap/>
            <w:vAlign w:val="center"/>
            <w:hideMark/>
          </w:tcPr>
          <w:p w14:paraId="431D9089"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3EADC9" w14:textId="5ED57581" w:rsidR="00A15990" w:rsidRDefault="00686A62">
            <w:pPr>
              <w:pStyle w:val="P68B1DB1-Normal8"/>
              <w:spacing w:after="0" w:line="240" w:lineRule="auto"/>
              <w:jc w:val="center"/>
              <w:rPr>
                <w:rFonts w:eastAsia="Times New Roman" w:cs="Calibri"/>
                <w:noProof/>
              </w:rPr>
            </w:pPr>
            <w:r>
              <w:rPr>
                <w:noProof/>
              </w:rPr>
              <w:t>Intrarea în vigoare a noului regim de angajare în cadrul Serviciului Național de Sănătate</w:t>
            </w:r>
          </w:p>
        </w:tc>
        <w:tc>
          <w:tcPr>
            <w:tcW w:w="1418" w:type="dxa"/>
            <w:shd w:val="clear" w:color="auto" w:fill="C4EFCE"/>
            <w:noWrap/>
            <w:vAlign w:val="center"/>
            <w:hideMark/>
          </w:tcPr>
          <w:p w14:paraId="5F9DE5F0" w14:textId="3E09C163" w:rsidR="00A15990" w:rsidRDefault="00686A62">
            <w:pPr>
              <w:pStyle w:val="P68B1DB1-Normal8"/>
              <w:spacing w:after="0" w:line="240" w:lineRule="auto"/>
              <w:jc w:val="center"/>
              <w:rPr>
                <w:rFonts w:eastAsia="Times New Roman" w:cs="Calibri"/>
                <w:noProof/>
              </w:rPr>
            </w:pPr>
            <w:r>
              <w:rPr>
                <w:noProof/>
              </w:rPr>
              <w:t>Intrarea în vigoare a noului regim de angajare deplină</w:t>
            </w:r>
          </w:p>
        </w:tc>
        <w:tc>
          <w:tcPr>
            <w:tcW w:w="1164" w:type="dxa"/>
            <w:shd w:val="clear" w:color="auto" w:fill="C4EFCE"/>
            <w:noWrap/>
            <w:vAlign w:val="center"/>
            <w:hideMark/>
          </w:tcPr>
          <w:p w14:paraId="478B13EF"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3D88994E"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3C6E2B3D"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697D9E32" w14:textId="77777777" w:rsidR="00A15990" w:rsidRDefault="00686A62">
            <w:pPr>
              <w:pStyle w:val="P68B1DB1-Normal8"/>
              <w:spacing w:after="0" w:line="240" w:lineRule="auto"/>
              <w:jc w:val="center"/>
              <w:rPr>
                <w:rFonts w:eastAsia="Times New Roman" w:cs="Calibri"/>
                <w:noProof/>
              </w:rPr>
            </w:pPr>
            <w:r>
              <w:rPr>
                <w:noProof/>
              </w:rPr>
              <w:t>TRIMESTRUL 1</w:t>
            </w:r>
          </w:p>
        </w:tc>
        <w:tc>
          <w:tcPr>
            <w:tcW w:w="901" w:type="dxa"/>
            <w:shd w:val="clear" w:color="auto" w:fill="C4EFCE"/>
            <w:noWrap/>
            <w:vAlign w:val="center"/>
            <w:hideMark/>
          </w:tcPr>
          <w:p w14:paraId="132AD89B" w14:textId="77777777" w:rsidR="00A15990" w:rsidRDefault="00686A62">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hideMark/>
          </w:tcPr>
          <w:p w14:paraId="6DC4701F" w14:textId="174CBF8B" w:rsidR="00A15990" w:rsidRDefault="00686A62">
            <w:pPr>
              <w:pStyle w:val="P68B1DB1-Normal8"/>
              <w:spacing w:after="0" w:line="240" w:lineRule="auto"/>
              <w:jc w:val="both"/>
              <w:rPr>
                <w:rFonts w:eastAsia="Times New Roman" w:cs="Calibri"/>
                <w:noProof/>
              </w:rPr>
            </w:pPr>
            <w:r>
              <w:rPr>
                <w:noProof/>
              </w:rPr>
              <w:t>Un nou regim de angajare completă pentru profesioniștii din domeniul sănătății din cadrul Serviciului Național de Sănătate, care include mecanisme adecvate pentru organizarea timpului de lucru și a tabelelor de remunerare.</w:t>
            </w:r>
          </w:p>
        </w:tc>
      </w:tr>
      <w:tr w:rsidR="00A15990" w14:paraId="00BADC6F" w14:textId="77777777">
        <w:trPr>
          <w:trHeight w:val="640"/>
        </w:trPr>
        <w:tc>
          <w:tcPr>
            <w:tcW w:w="1135" w:type="dxa"/>
            <w:shd w:val="clear" w:color="auto" w:fill="C4EFCE"/>
            <w:noWrap/>
            <w:vAlign w:val="center"/>
            <w:hideMark/>
          </w:tcPr>
          <w:p w14:paraId="5419F19A" w14:textId="77777777" w:rsidR="00A15990" w:rsidRDefault="00686A62">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02567C83" w14:textId="77777777" w:rsidR="00A15990" w:rsidRDefault="00686A62">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AF35FB7"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5ABDD2D" w14:textId="77777777" w:rsidR="00A15990" w:rsidRDefault="00686A62">
            <w:pPr>
              <w:pStyle w:val="P68B1DB1-Normal8"/>
              <w:spacing w:after="0" w:line="240" w:lineRule="auto"/>
              <w:jc w:val="center"/>
              <w:rPr>
                <w:rFonts w:eastAsia="Times New Roman" w:cs="Calibri"/>
                <w:noProof/>
              </w:rPr>
            </w:pPr>
            <w:r>
              <w:rPr>
                <w:noProof/>
              </w:rPr>
              <w:t>Intrarea în vigoare a condițiilor pentru corelarea episoadelor de urgență testate în alb, albastru sau verde în serviciile de urgență spitalicești pentru alte tipuri de servicii de asistență medicală, inclusiv servicii de asistență medicală primară</w:t>
            </w:r>
          </w:p>
        </w:tc>
        <w:tc>
          <w:tcPr>
            <w:tcW w:w="1418" w:type="dxa"/>
            <w:shd w:val="clear" w:color="auto" w:fill="C4EFCE"/>
            <w:noWrap/>
            <w:vAlign w:val="center"/>
            <w:hideMark/>
          </w:tcPr>
          <w:p w14:paraId="5D50F531" w14:textId="77777777" w:rsidR="00A15990" w:rsidRDefault="00686A62">
            <w:pPr>
              <w:pStyle w:val="P68B1DB1-Normal8"/>
              <w:spacing w:after="0" w:line="240" w:lineRule="auto"/>
              <w:jc w:val="center"/>
              <w:rPr>
                <w:rFonts w:eastAsia="Times New Roman" w:cs="Calibri"/>
                <w:noProof/>
              </w:rPr>
            </w:pPr>
            <w:r>
              <w:rPr>
                <w:noProof/>
              </w:rPr>
              <w:t xml:space="preserve">Intrarea în vigoare a termenilor pentru referențierea episoadelor de urgență </w:t>
            </w:r>
          </w:p>
        </w:tc>
        <w:tc>
          <w:tcPr>
            <w:tcW w:w="1164" w:type="dxa"/>
            <w:shd w:val="clear" w:color="auto" w:fill="C4EFCE"/>
            <w:noWrap/>
            <w:vAlign w:val="center"/>
            <w:hideMark/>
          </w:tcPr>
          <w:p w14:paraId="05DB3DBC"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46DBFC1C"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0639B76"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84FB6D1" w14:textId="77777777" w:rsidR="00A15990" w:rsidRDefault="00686A62">
            <w:pPr>
              <w:pStyle w:val="P68B1DB1-Normal8"/>
              <w:spacing w:after="0" w:line="240" w:lineRule="auto"/>
              <w:jc w:val="center"/>
              <w:rPr>
                <w:rFonts w:eastAsia="Times New Roman" w:cs="Calibri"/>
                <w:noProof/>
              </w:rPr>
            </w:pPr>
            <w:r>
              <w:rPr>
                <w:noProof/>
              </w:rPr>
              <w:t>TRIMESTRUL 1</w:t>
            </w:r>
          </w:p>
        </w:tc>
        <w:tc>
          <w:tcPr>
            <w:tcW w:w="901" w:type="dxa"/>
            <w:shd w:val="clear" w:color="auto" w:fill="C4EFCE"/>
            <w:noWrap/>
            <w:vAlign w:val="center"/>
            <w:hideMark/>
          </w:tcPr>
          <w:p w14:paraId="75252533"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D11035D" w14:textId="77777777" w:rsidR="00A15990" w:rsidRDefault="00686A62">
            <w:pPr>
              <w:pStyle w:val="P68B1DB1-Normal8"/>
              <w:spacing w:after="0" w:line="240" w:lineRule="auto"/>
              <w:jc w:val="both"/>
              <w:rPr>
                <w:rFonts w:eastAsia="Times New Roman" w:cs="Calibri"/>
                <w:noProof/>
              </w:rPr>
            </w:pPr>
            <w:r>
              <w:rPr>
                <w:noProof/>
              </w:rPr>
              <w:t>Intrarea în vigoare a procedurilor și a normelor administrative ale procesului de sesizare pentru utilizatorii cu episoade de urgență verificate în alb, albastru sau verde în serviciile de urgență spitalicești pentru alte tipuri de asistență medicală, servicii, și anume pentru serviciile de asistență medicală primară, cu programarea directă a programărilor.</w:t>
            </w:r>
          </w:p>
        </w:tc>
      </w:tr>
      <w:tr w:rsidR="00A15990" w14:paraId="38EF775A" w14:textId="77777777">
        <w:trPr>
          <w:trHeight w:val="850"/>
        </w:trPr>
        <w:tc>
          <w:tcPr>
            <w:tcW w:w="1135" w:type="dxa"/>
            <w:shd w:val="clear" w:color="auto" w:fill="C4EFCE"/>
            <w:noWrap/>
            <w:vAlign w:val="center"/>
            <w:hideMark/>
          </w:tcPr>
          <w:p w14:paraId="1BA7330B" w14:textId="77777777" w:rsidR="00A15990" w:rsidRDefault="00686A62">
            <w:pPr>
              <w:pStyle w:val="P68B1DB1-Normal7"/>
              <w:spacing w:after="0" w:line="240" w:lineRule="auto"/>
              <w:jc w:val="center"/>
              <w:rPr>
                <w:rFonts w:eastAsia="Times New Roman" w:cs="Calibri"/>
                <w:noProof/>
              </w:rPr>
            </w:pPr>
            <w:r>
              <w:rPr>
                <w:noProof/>
              </w:rPr>
              <w:t>1.14</w:t>
            </w:r>
          </w:p>
        </w:tc>
        <w:tc>
          <w:tcPr>
            <w:tcW w:w="1276" w:type="dxa"/>
            <w:shd w:val="clear" w:color="auto" w:fill="C4EFCE"/>
            <w:noWrap/>
            <w:vAlign w:val="center"/>
            <w:hideMark/>
          </w:tcPr>
          <w:p w14:paraId="785DE09F" w14:textId="77777777" w:rsidR="00A15990" w:rsidRDefault="00686A62">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447F1EDF"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BD030D8" w14:textId="77777777" w:rsidR="00A15990" w:rsidRDefault="00686A62">
            <w:pPr>
              <w:pStyle w:val="P68B1DB1-Normal8"/>
              <w:spacing w:after="0" w:line="240" w:lineRule="auto"/>
              <w:jc w:val="center"/>
              <w:rPr>
                <w:rFonts w:eastAsia="Times New Roman" w:cs="Calibri"/>
                <w:noProof/>
              </w:rPr>
            </w:pPr>
            <w:r>
              <w:rPr>
                <w:noProof/>
              </w:rPr>
              <w:t>Construirea de noi unități sanitare</w:t>
            </w:r>
          </w:p>
        </w:tc>
        <w:tc>
          <w:tcPr>
            <w:tcW w:w="1418" w:type="dxa"/>
            <w:shd w:val="clear" w:color="auto" w:fill="C4EFCE"/>
            <w:noWrap/>
            <w:vAlign w:val="center"/>
            <w:hideMark/>
          </w:tcPr>
          <w:p w14:paraId="5CEEB485"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C903B4A"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543F7214"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21084E32" w14:textId="77777777" w:rsidR="00A15990" w:rsidRDefault="00686A62">
            <w:pPr>
              <w:pStyle w:val="P68B1DB1-Normal8"/>
              <w:spacing w:after="0" w:line="240" w:lineRule="auto"/>
              <w:jc w:val="center"/>
              <w:rPr>
                <w:rFonts w:eastAsia="Times New Roman" w:cs="Calibri"/>
                <w:noProof/>
              </w:rPr>
            </w:pPr>
            <w:r>
              <w:rPr>
                <w:noProof/>
              </w:rPr>
              <w:t>20</w:t>
            </w:r>
          </w:p>
        </w:tc>
        <w:tc>
          <w:tcPr>
            <w:tcW w:w="833" w:type="dxa"/>
            <w:gridSpan w:val="2"/>
            <w:shd w:val="clear" w:color="auto" w:fill="C4EFCE"/>
            <w:noWrap/>
            <w:vAlign w:val="center"/>
            <w:hideMark/>
          </w:tcPr>
          <w:p w14:paraId="56ACA157"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37B663E4" w14:textId="765D0365" w:rsidR="00A15990" w:rsidRDefault="00686A62">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6B230122" w14:textId="695839F7" w:rsidR="00A15990" w:rsidRDefault="00686A62">
            <w:pPr>
              <w:pStyle w:val="P68B1DB1-Normal8"/>
              <w:spacing w:after="0" w:line="240" w:lineRule="auto"/>
              <w:jc w:val="both"/>
              <w:rPr>
                <w:rFonts w:eastAsia="Times New Roman" w:cs="Calibri"/>
                <w:noProof/>
              </w:rPr>
            </w:pPr>
            <w:r>
              <w:rPr>
                <w:noProof/>
              </w:rPr>
              <w:t>Numărul de noi unități de sănătate construite, asigurând accesibilitatea, calitatea, confortul și siguranța utilizatorilor și a profesioniștilor din domeniul sănătății și adaptându-le la noile modele de asistență medicală. Noile unități se construiesc pentru a înlocui clădirile necorespunzătoare, iar clădirile noi au o cerere de energie primară cu cel puțin 20 % sub cerințele clădirilor al căror consum de energie este aproape egal cu zero.</w:t>
            </w:r>
          </w:p>
        </w:tc>
      </w:tr>
      <w:tr w:rsidR="00A15990" w14:paraId="73A0E506" w14:textId="77777777">
        <w:trPr>
          <w:trHeight w:val="850"/>
        </w:trPr>
        <w:tc>
          <w:tcPr>
            <w:tcW w:w="1135" w:type="dxa"/>
            <w:shd w:val="clear" w:color="auto" w:fill="C4EFCE"/>
            <w:noWrap/>
            <w:vAlign w:val="center"/>
            <w:hideMark/>
          </w:tcPr>
          <w:p w14:paraId="55C2973A" w14:textId="77777777" w:rsidR="00A15990" w:rsidRDefault="00686A62">
            <w:pPr>
              <w:pStyle w:val="P68B1DB1-Normal7"/>
              <w:spacing w:after="0" w:line="240" w:lineRule="auto"/>
              <w:jc w:val="center"/>
              <w:rPr>
                <w:rFonts w:eastAsia="Times New Roman" w:cs="Calibri"/>
                <w:noProof/>
              </w:rPr>
            </w:pPr>
            <w:r>
              <w:rPr>
                <w:noProof/>
              </w:rPr>
              <w:t>1.15</w:t>
            </w:r>
          </w:p>
        </w:tc>
        <w:tc>
          <w:tcPr>
            <w:tcW w:w="1276" w:type="dxa"/>
            <w:shd w:val="clear" w:color="auto" w:fill="C4EFCE"/>
            <w:noWrap/>
            <w:vAlign w:val="center"/>
            <w:hideMark/>
          </w:tcPr>
          <w:p w14:paraId="25307C9D" w14:textId="77777777" w:rsidR="00A15990" w:rsidRDefault="00686A62">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0296621"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5F3FEAAF" w14:textId="77777777" w:rsidR="00A15990" w:rsidRDefault="00686A62">
            <w:pPr>
              <w:pStyle w:val="P68B1DB1-Normal8"/>
              <w:spacing w:after="0" w:line="240" w:lineRule="auto"/>
              <w:jc w:val="center"/>
              <w:rPr>
                <w:rFonts w:eastAsia="Times New Roman" w:cs="Calibri"/>
                <w:noProof/>
              </w:rPr>
            </w:pPr>
            <w:r>
              <w:rPr>
                <w:noProof/>
              </w:rPr>
              <w:t>Construirea de noi unități sanitare</w:t>
            </w:r>
          </w:p>
        </w:tc>
        <w:tc>
          <w:tcPr>
            <w:tcW w:w="1418" w:type="dxa"/>
            <w:shd w:val="clear" w:color="auto" w:fill="C4EFCE"/>
            <w:noWrap/>
            <w:vAlign w:val="center"/>
            <w:hideMark/>
          </w:tcPr>
          <w:p w14:paraId="321B2E97"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7D729BA"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74689A5C" w14:textId="77777777" w:rsidR="00A15990" w:rsidRDefault="00686A62">
            <w:pPr>
              <w:pStyle w:val="P68B1DB1-Normal8"/>
              <w:spacing w:after="0" w:line="240" w:lineRule="auto"/>
              <w:jc w:val="center"/>
              <w:rPr>
                <w:rFonts w:eastAsia="Times New Roman" w:cs="Calibri"/>
                <w:noProof/>
              </w:rPr>
            </w:pPr>
            <w:r>
              <w:rPr>
                <w:noProof/>
              </w:rPr>
              <w:t>20</w:t>
            </w:r>
          </w:p>
        </w:tc>
        <w:tc>
          <w:tcPr>
            <w:tcW w:w="805" w:type="dxa"/>
            <w:shd w:val="clear" w:color="auto" w:fill="C4EFCE"/>
            <w:noWrap/>
            <w:vAlign w:val="center"/>
            <w:hideMark/>
          </w:tcPr>
          <w:p w14:paraId="6BF6BACC" w14:textId="78B4B7BB" w:rsidR="00A15990" w:rsidRDefault="00686A62">
            <w:pPr>
              <w:pStyle w:val="P68B1DB1-Normal8"/>
              <w:spacing w:after="0" w:line="240" w:lineRule="auto"/>
              <w:jc w:val="center"/>
              <w:rPr>
                <w:rFonts w:eastAsia="Times New Roman" w:cs="Calibri"/>
                <w:noProof/>
              </w:rPr>
            </w:pPr>
            <w:r>
              <w:rPr>
                <w:noProof/>
              </w:rPr>
              <w:t>124</w:t>
            </w:r>
          </w:p>
        </w:tc>
        <w:tc>
          <w:tcPr>
            <w:tcW w:w="833" w:type="dxa"/>
            <w:gridSpan w:val="2"/>
            <w:shd w:val="clear" w:color="auto" w:fill="C4EFCE"/>
            <w:noWrap/>
            <w:vAlign w:val="center"/>
            <w:hideMark/>
          </w:tcPr>
          <w:p w14:paraId="73691C37"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226C70C7"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52F5371" w14:textId="47F97C91" w:rsidR="00A15990" w:rsidRDefault="00686A62">
            <w:pPr>
              <w:pStyle w:val="P68B1DB1-Normal8"/>
              <w:spacing w:after="0" w:line="240" w:lineRule="auto"/>
              <w:jc w:val="both"/>
              <w:rPr>
                <w:rFonts w:eastAsia="Times New Roman" w:cs="Calibri"/>
                <w:noProof/>
              </w:rPr>
            </w:pPr>
            <w:r>
              <w:rPr>
                <w:noProof/>
              </w:rPr>
              <w:t>Numărul de noi unități de sănătate construite, asigurând accesibilitatea, calitatea, confortul și siguranța utilizatorilor și a profesioniștilor din domeniul sănătății și adaptându-le la noile modele de asistență medicală. Noile unități se construiesc pentru a înlocui clădirile necorespunzătoare, iar clădirile noi au o cerere de energie primară cu cel puțin 20 % sub cerințele clădirilor al căror consum de energie este aproape egal cu zero.</w:t>
            </w:r>
          </w:p>
        </w:tc>
      </w:tr>
      <w:tr w:rsidR="00A15990" w14:paraId="230D0958" w14:textId="77777777">
        <w:trPr>
          <w:trHeight w:val="1060"/>
        </w:trPr>
        <w:tc>
          <w:tcPr>
            <w:tcW w:w="1135" w:type="dxa"/>
            <w:shd w:val="clear" w:color="auto" w:fill="C4EFCE"/>
            <w:noWrap/>
            <w:vAlign w:val="center"/>
            <w:hideMark/>
          </w:tcPr>
          <w:p w14:paraId="7E7F0240" w14:textId="77777777" w:rsidR="00A15990" w:rsidRDefault="00686A62">
            <w:pPr>
              <w:pStyle w:val="P68B1DB1-Normal7"/>
              <w:spacing w:after="0" w:line="240" w:lineRule="auto"/>
              <w:jc w:val="center"/>
              <w:rPr>
                <w:rFonts w:eastAsia="Times New Roman" w:cs="Calibri"/>
                <w:noProof/>
              </w:rPr>
            </w:pPr>
            <w:r>
              <w:rPr>
                <w:noProof/>
              </w:rPr>
              <w:t>1.16</w:t>
            </w:r>
          </w:p>
        </w:tc>
        <w:tc>
          <w:tcPr>
            <w:tcW w:w="1276" w:type="dxa"/>
            <w:shd w:val="clear" w:color="auto" w:fill="C4EFCE"/>
            <w:noWrap/>
            <w:vAlign w:val="center"/>
            <w:hideMark/>
          </w:tcPr>
          <w:p w14:paraId="698640D1" w14:textId="77777777" w:rsidR="00A15990" w:rsidRDefault="00686A62">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5E717D99"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42EC3118" w14:textId="77777777" w:rsidR="00A15990" w:rsidRDefault="00686A62">
            <w:pPr>
              <w:pStyle w:val="P68B1DB1-Normal8"/>
              <w:spacing w:after="0" w:line="240" w:lineRule="auto"/>
              <w:jc w:val="center"/>
              <w:rPr>
                <w:rFonts w:eastAsia="Times New Roman" w:cs="Calibri"/>
                <w:noProof/>
              </w:rPr>
            </w:pPr>
            <w:r>
              <w:rPr>
                <w:noProof/>
              </w:rPr>
              <w:t>Finalizarea acoperirii naționale a programelor de screening și diagnosticare timpurie în cadrul asistenței medicale primare</w:t>
            </w:r>
          </w:p>
        </w:tc>
        <w:tc>
          <w:tcPr>
            <w:tcW w:w="1418" w:type="dxa"/>
            <w:shd w:val="clear" w:color="auto" w:fill="C4EFCE"/>
            <w:noWrap/>
            <w:vAlign w:val="center"/>
            <w:hideMark/>
          </w:tcPr>
          <w:p w14:paraId="7A244FBD" w14:textId="77777777" w:rsidR="00A15990" w:rsidRDefault="00686A62">
            <w:pPr>
              <w:pStyle w:val="P68B1DB1-Normal8"/>
              <w:spacing w:after="0" w:line="240" w:lineRule="auto"/>
              <w:jc w:val="center"/>
              <w:rPr>
                <w:rFonts w:eastAsia="Times New Roman" w:cs="Calibri"/>
                <w:noProof/>
              </w:rPr>
            </w:pPr>
            <w:r>
              <w:rPr>
                <w:noProof/>
              </w:rPr>
              <w:t>Raport privind finalizarea acoperirii programelor de screening și diagnosticare timpurie în domeniul asistenței medicale primare</w:t>
            </w:r>
          </w:p>
        </w:tc>
        <w:tc>
          <w:tcPr>
            <w:tcW w:w="1164" w:type="dxa"/>
            <w:shd w:val="clear" w:color="auto" w:fill="C4EFCE"/>
            <w:noWrap/>
            <w:vAlign w:val="center"/>
            <w:hideMark/>
          </w:tcPr>
          <w:p w14:paraId="5E1406AF" w14:textId="77777777" w:rsidR="00A15990" w:rsidRDefault="00686A62">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41515FAF" w14:textId="77777777" w:rsidR="00A15990" w:rsidRDefault="00686A62">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69D09CEE" w14:textId="77777777" w:rsidR="00A15990" w:rsidRDefault="00686A62">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032146EF" w14:textId="77777777" w:rsidR="00A15990" w:rsidRDefault="00686A62">
            <w:pPr>
              <w:pStyle w:val="P68B1DB1-Normal8"/>
              <w:spacing w:after="0" w:line="240" w:lineRule="auto"/>
              <w:jc w:val="center"/>
              <w:rPr>
                <w:rFonts w:eastAsia="Times New Roman" w:cs="Calibri"/>
                <w:noProof/>
              </w:rPr>
            </w:pPr>
            <w:r>
              <w:rPr>
                <w:noProof/>
              </w:rPr>
              <w:t>TRIMESTRUL 1</w:t>
            </w:r>
          </w:p>
        </w:tc>
        <w:tc>
          <w:tcPr>
            <w:tcW w:w="901" w:type="dxa"/>
            <w:shd w:val="clear" w:color="auto" w:fill="C4EFCE"/>
            <w:noWrap/>
            <w:vAlign w:val="center"/>
            <w:hideMark/>
          </w:tcPr>
          <w:p w14:paraId="2EAAE497"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103D50" w14:textId="77777777" w:rsidR="00A15990" w:rsidRDefault="00686A62">
            <w:pPr>
              <w:pStyle w:val="P68B1DB1-Normal8"/>
              <w:spacing w:after="0" w:line="240" w:lineRule="auto"/>
              <w:jc w:val="both"/>
              <w:rPr>
                <w:rFonts w:eastAsia="Times New Roman" w:cs="Calibri"/>
                <w:noProof/>
              </w:rPr>
            </w:pPr>
            <w:r>
              <w:rPr>
                <w:noProof/>
              </w:rPr>
              <w:t>Realizarea acestei etape de referință include: I) introducerea screeningului de col uterin în centrele medicale; introducerea screeningului de colon și rect în centrele medicale; III) introducerea screeningului pentru retinopatie diabetică în 300 centre medicale; IV) introducerea examenelor Holter și a monitorizării ambulatorii a tensiunii arteriale în unitățile funcționale; V) introducerea unor instrumente de diagnosticare și tratament pentru astm, boli pulmonare obstructive cronice și fumat (spirometre) în centrele medicale; și vi) introducerea dozei de proteine C reactive în centrele medicale.</w:t>
            </w:r>
          </w:p>
        </w:tc>
      </w:tr>
      <w:tr w:rsidR="00A15990" w14:paraId="4D2FC373" w14:textId="77777777">
        <w:trPr>
          <w:trHeight w:val="1270"/>
        </w:trPr>
        <w:tc>
          <w:tcPr>
            <w:tcW w:w="1135" w:type="dxa"/>
            <w:shd w:val="clear" w:color="auto" w:fill="C4EFCE"/>
            <w:noWrap/>
            <w:vAlign w:val="center"/>
            <w:hideMark/>
          </w:tcPr>
          <w:p w14:paraId="462C425F" w14:textId="77777777" w:rsidR="00A15990" w:rsidRDefault="00686A62">
            <w:pPr>
              <w:pStyle w:val="P68B1DB1-Normal7"/>
              <w:spacing w:after="0" w:line="240" w:lineRule="auto"/>
              <w:jc w:val="center"/>
              <w:rPr>
                <w:rFonts w:eastAsia="Times New Roman" w:cs="Calibri"/>
                <w:noProof/>
              </w:rPr>
            </w:pPr>
            <w:r>
              <w:rPr>
                <w:noProof/>
              </w:rPr>
              <w:t>1.17</w:t>
            </w:r>
          </w:p>
        </w:tc>
        <w:tc>
          <w:tcPr>
            <w:tcW w:w="1276" w:type="dxa"/>
            <w:shd w:val="clear" w:color="auto" w:fill="C4EFCE"/>
            <w:noWrap/>
            <w:vAlign w:val="center"/>
            <w:hideMark/>
          </w:tcPr>
          <w:p w14:paraId="2AFB0257" w14:textId="77777777" w:rsidR="00A15990" w:rsidRDefault="00686A62">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7A95968C"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57BD7BFC" w14:textId="77777777" w:rsidR="00A15990" w:rsidRDefault="00686A62">
            <w:pPr>
              <w:pStyle w:val="P68B1DB1-Normal8"/>
              <w:spacing w:after="0" w:line="240" w:lineRule="auto"/>
              <w:jc w:val="center"/>
              <w:rPr>
                <w:rFonts w:eastAsia="Times New Roman" w:cs="Calibri"/>
                <w:noProof/>
              </w:rPr>
            </w:pPr>
            <w:r>
              <w:rPr>
                <w:noProof/>
              </w:rPr>
              <w:t>Creșterea capacității de răspuns a centrelor medicale primare și extinderea domeniilor lor de intervenție</w:t>
            </w:r>
          </w:p>
        </w:tc>
        <w:tc>
          <w:tcPr>
            <w:tcW w:w="1418" w:type="dxa"/>
            <w:shd w:val="clear" w:color="auto" w:fill="C4EFCE"/>
            <w:noWrap/>
            <w:vAlign w:val="center"/>
            <w:hideMark/>
          </w:tcPr>
          <w:p w14:paraId="1B4A4798" w14:textId="77777777" w:rsidR="00A15990" w:rsidRDefault="00686A62">
            <w:pPr>
              <w:pStyle w:val="P68B1DB1-Normal8"/>
              <w:spacing w:after="0" w:line="240" w:lineRule="auto"/>
              <w:jc w:val="center"/>
              <w:rPr>
                <w:rFonts w:eastAsia="Times New Roman" w:cs="Calibri"/>
                <w:noProof/>
              </w:rPr>
            </w:pPr>
            <w:r>
              <w:rPr>
                <w:noProof/>
              </w:rPr>
              <w:t>Raport privind creșterea capacității de răspuns a centrelor medicale primare și extinderea zonelor lor de intervenție</w:t>
            </w:r>
          </w:p>
        </w:tc>
        <w:tc>
          <w:tcPr>
            <w:tcW w:w="1164" w:type="dxa"/>
            <w:shd w:val="clear" w:color="auto" w:fill="C4EFCE"/>
            <w:noWrap/>
            <w:vAlign w:val="center"/>
            <w:hideMark/>
          </w:tcPr>
          <w:p w14:paraId="0BA94BEB" w14:textId="77777777" w:rsidR="00A15990" w:rsidRDefault="00686A62">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78D22499" w14:textId="77777777" w:rsidR="00A15990" w:rsidRDefault="00686A62">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30D3048F" w14:textId="77777777" w:rsidR="00A15990" w:rsidRDefault="00686A62">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2A62A8E8"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25F6A6A6" w14:textId="77777777" w:rsidR="00A15990" w:rsidRDefault="00686A62">
            <w:pPr>
              <w:pStyle w:val="P68B1DB1-Normal8"/>
              <w:spacing w:after="0" w:line="240" w:lineRule="auto"/>
              <w:jc w:val="both"/>
              <w:rPr>
                <w:rFonts w:eastAsia="Times New Roman" w:cs="Calibri"/>
                <w:noProof/>
              </w:rPr>
            </w:pPr>
            <w:r>
              <w:rPr>
                <w:noProof/>
              </w:rPr>
              <w:t>2026</w:t>
            </w:r>
          </w:p>
        </w:tc>
        <w:tc>
          <w:tcPr>
            <w:tcW w:w="3981" w:type="dxa"/>
            <w:shd w:val="clear" w:color="auto" w:fill="C4EFCE"/>
            <w:noWrap/>
            <w:vAlign w:val="center"/>
            <w:hideMark/>
          </w:tcPr>
          <w:p w14:paraId="0263E408" w14:textId="14BC938F" w:rsidR="00A15990" w:rsidRDefault="00686A62">
            <w:pPr>
              <w:pStyle w:val="P68B1DB1-Normal8"/>
              <w:spacing w:after="0" w:line="240" w:lineRule="auto"/>
              <w:jc w:val="both"/>
              <w:rPr>
                <w:rFonts w:eastAsia="Times New Roman" w:cs="Calibri"/>
                <w:noProof/>
              </w:rPr>
            </w:pPr>
            <w:r>
              <w:rPr>
                <w:noProof/>
              </w:rPr>
              <w:t>Realizarea acestei etape de referință include: I) extinderea consultațiilor privind picioarele diabetice la grupurile din centrele medicale; II) crearea de oficii stomatologice în centrele medicale; III) crearea de centre integrate de diagnosticare (cu mijloace complementare de diagnosticare și terapie, cu raze X și analize clinice de complexitate redusă) în grupuri de centre medicale; IV) crearea de birouri de mutare și reabilitare în cadrul grupurilor de centre de sănătate; V) furnizarea de echipamente (sac de urgență, defibrilator și monitor pentru indicatoare vitale) pentru un răspuns calificat în situații de urgență (asistență de bază pentru viață) către centrele medicale; (VI) protocoale de sesizare în zonele de îngrijire cele mai căutate, și anume oftalmologie, otorhinolaringologie, ortopedie și urologie.</w:t>
            </w:r>
          </w:p>
        </w:tc>
      </w:tr>
      <w:tr w:rsidR="00A15990" w14:paraId="38332BEC" w14:textId="77777777">
        <w:trPr>
          <w:trHeight w:val="1256"/>
        </w:trPr>
        <w:tc>
          <w:tcPr>
            <w:tcW w:w="1135" w:type="dxa"/>
            <w:shd w:val="clear" w:color="auto" w:fill="C4EFCE"/>
            <w:noWrap/>
            <w:vAlign w:val="center"/>
            <w:hideMark/>
          </w:tcPr>
          <w:p w14:paraId="3C69E3A1" w14:textId="77777777" w:rsidR="00A15990" w:rsidRDefault="00686A62">
            <w:pPr>
              <w:pStyle w:val="P68B1DB1-Normal7"/>
              <w:spacing w:after="0" w:line="240" w:lineRule="auto"/>
              <w:jc w:val="center"/>
              <w:rPr>
                <w:rFonts w:eastAsia="Times New Roman" w:cs="Calibri"/>
                <w:noProof/>
              </w:rPr>
            </w:pPr>
            <w:r>
              <w:rPr>
                <w:noProof/>
              </w:rPr>
              <w:t>1.18</w:t>
            </w:r>
          </w:p>
        </w:tc>
        <w:tc>
          <w:tcPr>
            <w:tcW w:w="1276" w:type="dxa"/>
            <w:shd w:val="clear" w:color="auto" w:fill="C4EFCE"/>
            <w:noWrap/>
            <w:vAlign w:val="center"/>
            <w:hideMark/>
          </w:tcPr>
          <w:p w14:paraId="454E6198" w14:textId="77777777" w:rsidR="00A15990" w:rsidRDefault="00686A62">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B02D058"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5FFAEC9" w14:textId="77777777" w:rsidR="00A15990" w:rsidRDefault="00686A62">
            <w:pPr>
              <w:pStyle w:val="P68B1DB1-Normal8"/>
              <w:spacing w:after="0" w:line="240" w:lineRule="auto"/>
              <w:jc w:val="center"/>
              <w:rPr>
                <w:rFonts w:eastAsia="Times New Roman" w:cs="Calibri"/>
                <w:noProof/>
              </w:rPr>
            </w:pPr>
            <w:r>
              <w:rPr>
                <w:noProof/>
              </w:rPr>
              <w:t>Renovarea unităților și echipamentelor medicale pentru a asigura condiții de accesibilitate, calitate și siguranță în centrele medicale primare</w:t>
            </w:r>
          </w:p>
        </w:tc>
        <w:tc>
          <w:tcPr>
            <w:tcW w:w="1418" w:type="dxa"/>
            <w:shd w:val="clear" w:color="auto" w:fill="C4EFCE"/>
            <w:noWrap/>
            <w:vAlign w:val="center"/>
            <w:hideMark/>
          </w:tcPr>
          <w:p w14:paraId="1CE147BD" w14:textId="77777777" w:rsidR="00A15990" w:rsidRDefault="00686A62">
            <w:pPr>
              <w:pStyle w:val="P68B1DB1-Normal8"/>
              <w:spacing w:after="0" w:line="240" w:lineRule="auto"/>
              <w:jc w:val="center"/>
              <w:rPr>
                <w:rFonts w:eastAsia="Times New Roman" w:cs="Calibri"/>
                <w:noProof/>
              </w:rPr>
            </w:pPr>
            <w:r>
              <w:rPr>
                <w:noProof/>
              </w:rPr>
              <w:t>Raport privind renovarea unităților și echipamentelor medicale</w:t>
            </w:r>
          </w:p>
        </w:tc>
        <w:tc>
          <w:tcPr>
            <w:tcW w:w="1164" w:type="dxa"/>
            <w:shd w:val="clear" w:color="auto" w:fill="C4EFCE"/>
            <w:noWrap/>
            <w:vAlign w:val="center"/>
            <w:hideMark/>
          </w:tcPr>
          <w:p w14:paraId="0989D4A9" w14:textId="77777777" w:rsidR="00A15990" w:rsidRDefault="00686A62">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07B01750" w14:textId="77777777" w:rsidR="00A15990" w:rsidRDefault="00686A62">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097B0938" w14:textId="77777777" w:rsidR="00A15990" w:rsidRDefault="00686A62">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01D62D0"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1264AB9E"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3B188F03" w14:textId="514EFA7B" w:rsidR="00A15990" w:rsidRDefault="00686A62">
            <w:pPr>
              <w:pStyle w:val="P68B1DB1-Normal8"/>
              <w:spacing w:after="0" w:line="240" w:lineRule="auto"/>
              <w:jc w:val="both"/>
              <w:rPr>
                <w:rFonts w:eastAsia="Times New Roman" w:cs="Calibri"/>
                <w:noProof/>
              </w:rPr>
            </w:pPr>
            <w:r>
              <w:rPr>
                <w:noProof/>
              </w:rPr>
              <w:t>Realizarea acestei etape de referință include: I) renovarea sau adaptarea a 347 de unități medicale pentru a spori eficiența energetică, pentru a respecta planurile de urgență și/sau pentru a asigura accesibilitatea, siguranța și confortul utilizatorilor și al profesioniștilor din domeniul sănătății, din care un sprijin sub formă de granturi în valoare de cel puțin 170 838 136 EUR se referă la renovarea în vederea eficienței energetice, iar sprijinul sub formă de granturi de cel puțin 13 046 589 EUR se referă la renovarea în vederea realizării, în medie, a unei renovări de nivel cel puțin mediu, astfel cum este definită în Recomandarea Comisiei privind renovarea clădirilor (UE) 2019/786 (cerințele pentru îmbunătățirea performanței energetice a clădirilor sunt incluse în procedurile de achiziții publice și sunt asigurate în caietul de sarcini); și ii) modernizarea echipamentelor (inclusiv, printre altele, a echipamentelor clinice de bază, a echipamentelor de tehnologie a informației și comunicațiilor, a echipamentelor de eficiență energetică și a echipamentelor de siguranță).</w:t>
            </w:r>
          </w:p>
        </w:tc>
      </w:tr>
      <w:tr w:rsidR="00A15990" w14:paraId="454852B5" w14:textId="77777777">
        <w:trPr>
          <w:trHeight w:val="640"/>
        </w:trPr>
        <w:tc>
          <w:tcPr>
            <w:tcW w:w="1135" w:type="dxa"/>
            <w:shd w:val="clear" w:color="auto" w:fill="C4EFCE"/>
            <w:noWrap/>
            <w:vAlign w:val="center"/>
            <w:hideMark/>
          </w:tcPr>
          <w:p w14:paraId="1E28E1AA" w14:textId="77777777" w:rsidR="00A15990" w:rsidRDefault="00686A62">
            <w:pPr>
              <w:pStyle w:val="P68B1DB1-Normal7"/>
              <w:spacing w:after="0" w:line="240" w:lineRule="auto"/>
              <w:jc w:val="center"/>
              <w:rPr>
                <w:rFonts w:eastAsia="Times New Roman" w:cs="Calibri"/>
                <w:noProof/>
              </w:rPr>
            </w:pPr>
            <w:r>
              <w:rPr>
                <w:noProof/>
              </w:rPr>
              <w:t>1.19</w:t>
            </w:r>
          </w:p>
        </w:tc>
        <w:tc>
          <w:tcPr>
            <w:tcW w:w="1276" w:type="dxa"/>
            <w:shd w:val="clear" w:color="auto" w:fill="C4EFCE"/>
            <w:noWrap/>
            <w:vAlign w:val="center"/>
            <w:hideMark/>
          </w:tcPr>
          <w:p w14:paraId="216603F0" w14:textId="77777777" w:rsidR="00A15990" w:rsidRDefault="00686A62">
            <w:pPr>
              <w:pStyle w:val="P68B1DB1-Normal8"/>
              <w:spacing w:after="0" w:line="240" w:lineRule="auto"/>
              <w:jc w:val="center"/>
              <w:rPr>
                <w:rFonts w:eastAsia="Times New Roman" w:cs="Calibri"/>
                <w:noProof/>
              </w:rPr>
            </w:pPr>
            <w:r>
              <w:rPr>
                <w:noProof/>
              </w:rPr>
              <w:t>RE-C01-i01</w:t>
            </w:r>
          </w:p>
        </w:tc>
        <w:tc>
          <w:tcPr>
            <w:tcW w:w="992" w:type="dxa"/>
            <w:shd w:val="clear" w:color="auto" w:fill="C4EFCE"/>
            <w:noWrap/>
            <w:vAlign w:val="center"/>
            <w:hideMark/>
          </w:tcPr>
          <w:p w14:paraId="61B1C51C"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BE3A27A" w14:textId="77777777" w:rsidR="00A15990" w:rsidRDefault="00686A62">
            <w:pPr>
              <w:pStyle w:val="P68B1DB1-Normal8"/>
              <w:spacing w:after="0" w:line="240" w:lineRule="auto"/>
              <w:jc w:val="center"/>
              <w:rPr>
                <w:rFonts w:eastAsia="Times New Roman" w:cs="Calibri"/>
                <w:noProof/>
              </w:rPr>
            </w:pPr>
            <w:r>
              <w:rPr>
                <w:noProof/>
              </w:rPr>
              <w:t>Consolidarea asistenței comunitare, a intervențiilor la domiciliu și comunitare</w:t>
            </w:r>
          </w:p>
        </w:tc>
        <w:tc>
          <w:tcPr>
            <w:tcW w:w="1418" w:type="dxa"/>
            <w:shd w:val="clear" w:color="auto" w:fill="C4EFCE"/>
            <w:noWrap/>
            <w:vAlign w:val="center"/>
            <w:hideMark/>
          </w:tcPr>
          <w:p w14:paraId="66DD2452" w14:textId="77777777" w:rsidR="00A15990" w:rsidRDefault="00686A62">
            <w:pPr>
              <w:pStyle w:val="P68B1DB1-Normal8"/>
              <w:spacing w:after="0" w:line="240" w:lineRule="auto"/>
              <w:jc w:val="center"/>
              <w:rPr>
                <w:rFonts w:eastAsia="Times New Roman" w:cs="Calibri"/>
                <w:noProof/>
              </w:rPr>
            </w:pPr>
            <w:r>
              <w:rPr>
                <w:noProof/>
              </w:rPr>
              <w:t>Raport referitor la consolidarea asistenței comunitare, a intervențiilor la domiciliu și comunitare</w:t>
            </w:r>
          </w:p>
        </w:tc>
        <w:tc>
          <w:tcPr>
            <w:tcW w:w="1164" w:type="dxa"/>
            <w:shd w:val="clear" w:color="auto" w:fill="C4EFCE"/>
            <w:noWrap/>
            <w:vAlign w:val="center"/>
            <w:hideMark/>
          </w:tcPr>
          <w:p w14:paraId="4CC73D52" w14:textId="77777777" w:rsidR="00A15990" w:rsidRDefault="00686A62">
            <w:pPr>
              <w:pStyle w:val="P68B1DB1-Normal9"/>
              <w:spacing w:after="0" w:line="240" w:lineRule="auto"/>
              <w:rPr>
                <w:rFonts w:eastAsia="Times New Roman" w:cs="Calibri"/>
                <w:noProof/>
              </w:rPr>
            </w:pPr>
            <w:r>
              <w:rPr>
                <w:noProof/>
              </w:rPr>
              <w:t> </w:t>
            </w:r>
          </w:p>
        </w:tc>
        <w:tc>
          <w:tcPr>
            <w:tcW w:w="962" w:type="dxa"/>
            <w:shd w:val="clear" w:color="auto" w:fill="C4EFCE"/>
            <w:noWrap/>
            <w:vAlign w:val="center"/>
            <w:hideMark/>
          </w:tcPr>
          <w:p w14:paraId="12886356" w14:textId="77777777" w:rsidR="00A15990" w:rsidRDefault="00686A62">
            <w:pPr>
              <w:pStyle w:val="P68B1DB1-Normal9"/>
              <w:spacing w:after="0" w:line="240" w:lineRule="auto"/>
              <w:rPr>
                <w:rFonts w:eastAsia="Times New Roman" w:cs="Calibri"/>
                <w:noProof/>
              </w:rPr>
            </w:pPr>
            <w:r>
              <w:rPr>
                <w:noProof/>
              </w:rPr>
              <w:t> </w:t>
            </w:r>
          </w:p>
        </w:tc>
        <w:tc>
          <w:tcPr>
            <w:tcW w:w="805" w:type="dxa"/>
            <w:shd w:val="clear" w:color="auto" w:fill="C4EFCE"/>
            <w:noWrap/>
            <w:vAlign w:val="center"/>
            <w:hideMark/>
          </w:tcPr>
          <w:p w14:paraId="155786FA" w14:textId="77777777" w:rsidR="00A15990" w:rsidRDefault="00686A62">
            <w:pPr>
              <w:pStyle w:val="P68B1DB1-Normal9"/>
              <w:spacing w:after="0" w:line="240" w:lineRule="auto"/>
              <w:rPr>
                <w:rFonts w:eastAsia="Times New Roman" w:cs="Calibri"/>
                <w:noProof/>
              </w:rPr>
            </w:pPr>
            <w:r>
              <w:rPr>
                <w:noProof/>
              </w:rPr>
              <w:t> </w:t>
            </w:r>
          </w:p>
        </w:tc>
        <w:tc>
          <w:tcPr>
            <w:tcW w:w="833" w:type="dxa"/>
            <w:gridSpan w:val="2"/>
            <w:shd w:val="clear" w:color="auto" w:fill="C4EFCE"/>
            <w:noWrap/>
            <w:vAlign w:val="center"/>
            <w:hideMark/>
          </w:tcPr>
          <w:p w14:paraId="59E1E927"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4ABA702F"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D6E8DF1" w14:textId="77777777" w:rsidR="00A15990" w:rsidRDefault="00686A62">
            <w:pPr>
              <w:pStyle w:val="P68B1DB1-Normal8"/>
              <w:spacing w:after="0" w:line="240" w:lineRule="auto"/>
              <w:jc w:val="both"/>
              <w:rPr>
                <w:rFonts w:eastAsia="Times New Roman" w:cs="Calibri"/>
                <w:noProof/>
              </w:rPr>
            </w:pPr>
            <w:r>
              <w:rPr>
                <w:noProof/>
              </w:rPr>
              <w:t>Realizarea acestei etape de referință include: furnizarea a cel puțin 770 de vehicule electrice pentru a sprijini furnizarea de servicii de îngrijire la domiciliu de către centrele de sănătate; și ii) extinderea numărului de unități mobile noi cu cel puțin încă 34 pentru a acoperi regiunile cu densitate scăzută.</w:t>
            </w:r>
          </w:p>
        </w:tc>
      </w:tr>
      <w:tr w:rsidR="00A15990" w14:paraId="1E7E7401" w14:textId="77777777">
        <w:trPr>
          <w:trHeight w:val="430"/>
        </w:trPr>
        <w:tc>
          <w:tcPr>
            <w:tcW w:w="1135" w:type="dxa"/>
            <w:shd w:val="clear" w:color="auto" w:fill="C4EFCE"/>
            <w:noWrap/>
            <w:vAlign w:val="center"/>
            <w:hideMark/>
          </w:tcPr>
          <w:p w14:paraId="0299C2D9" w14:textId="77777777" w:rsidR="00A15990" w:rsidRDefault="00686A62">
            <w:pPr>
              <w:pStyle w:val="P68B1DB1-Normal7"/>
              <w:spacing w:after="0" w:line="240" w:lineRule="auto"/>
              <w:jc w:val="center"/>
              <w:rPr>
                <w:rFonts w:eastAsia="Times New Roman" w:cs="Calibri"/>
                <w:noProof/>
              </w:rPr>
            </w:pPr>
            <w:r>
              <w:rPr>
                <w:noProof/>
              </w:rPr>
              <w:t>1.20</w:t>
            </w:r>
          </w:p>
        </w:tc>
        <w:tc>
          <w:tcPr>
            <w:tcW w:w="1276" w:type="dxa"/>
            <w:shd w:val="clear" w:color="auto" w:fill="C4EFCE"/>
            <w:noWrap/>
            <w:vAlign w:val="center"/>
            <w:hideMark/>
          </w:tcPr>
          <w:p w14:paraId="5FD4B12F" w14:textId="77777777" w:rsidR="00A15990" w:rsidRDefault="00686A62">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7D9E344F"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949C28C" w14:textId="77777777" w:rsidR="00A15990" w:rsidRDefault="00686A62">
            <w:pPr>
              <w:pStyle w:val="P68B1DB1-Normal8"/>
              <w:spacing w:after="0" w:line="240" w:lineRule="auto"/>
              <w:jc w:val="center"/>
              <w:rPr>
                <w:rFonts w:eastAsia="Times New Roman" w:cs="Calibri"/>
                <w:noProof/>
              </w:rPr>
            </w:pPr>
            <w:r>
              <w:rPr>
                <w:noProof/>
              </w:rPr>
              <w:t>Intrarea în vigoare a regulamentului privind alocarea sprijinului financiar de către autoritățile regionale din domeniul sănătății</w:t>
            </w:r>
          </w:p>
        </w:tc>
        <w:tc>
          <w:tcPr>
            <w:tcW w:w="1418" w:type="dxa"/>
            <w:shd w:val="clear" w:color="auto" w:fill="C4EFCE"/>
            <w:noWrap/>
            <w:vAlign w:val="center"/>
            <w:hideMark/>
          </w:tcPr>
          <w:p w14:paraId="5DB93479" w14:textId="77777777" w:rsidR="00A15990" w:rsidRDefault="00686A62">
            <w:pPr>
              <w:pStyle w:val="P68B1DB1-Normal8"/>
              <w:spacing w:after="0" w:line="240" w:lineRule="auto"/>
              <w:jc w:val="center"/>
              <w:rPr>
                <w:rFonts w:eastAsia="Times New Roman" w:cs="Calibri"/>
                <w:noProof/>
              </w:rPr>
            </w:pPr>
            <w:r>
              <w:rPr>
                <w:noProof/>
              </w:rPr>
              <w:t>Intrarea în vigoare a regulamentului privind alocarea sprijinului financiar</w:t>
            </w:r>
          </w:p>
        </w:tc>
        <w:tc>
          <w:tcPr>
            <w:tcW w:w="1164" w:type="dxa"/>
            <w:shd w:val="clear" w:color="auto" w:fill="C4EFCE"/>
            <w:noWrap/>
            <w:vAlign w:val="center"/>
            <w:hideMark/>
          </w:tcPr>
          <w:p w14:paraId="251EE7F7"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DB5B8B0"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F7AF621"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1B4120B0" w14:textId="77777777" w:rsidR="00A15990" w:rsidRDefault="00686A62">
            <w:pPr>
              <w:pStyle w:val="P68B1DB1-Normal8"/>
              <w:spacing w:after="0" w:line="240" w:lineRule="auto"/>
              <w:jc w:val="center"/>
              <w:rPr>
                <w:rFonts w:eastAsia="Times New Roman" w:cs="Calibri"/>
                <w:noProof/>
              </w:rPr>
            </w:pPr>
            <w:r>
              <w:rPr>
                <w:noProof/>
              </w:rPr>
              <w:t>TRIMESTRUL 1</w:t>
            </w:r>
          </w:p>
        </w:tc>
        <w:tc>
          <w:tcPr>
            <w:tcW w:w="901" w:type="dxa"/>
            <w:shd w:val="clear" w:color="auto" w:fill="C4EFCE"/>
            <w:noWrap/>
            <w:vAlign w:val="center"/>
            <w:hideMark/>
          </w:tcPr>
          <w:p w14:paraId="2C8FCB77"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237D71AB" w14:textId="77777777" w:rsidR="00A15990" w:rsidRDefault="00686A62">
            <w:pPr>
              <w:pStyle w:val="P68B1DB1-Normal8"/>
              <w:spacing w:after="0" w:line="240" w:lineRule="auto"/>
              <w:jc w:val="both"/>
              <w:rPr>
                <w:rFonts w:eastAsia="Times New Roman" w:cs="Calibri"/>
                <w:noProof/>
              </w:rPr>
            </w:pPr>
            <w:r>
              <w:rPr>
                <w:noProof/>
              </w:rPr>
              <w:t>Intrarea în vigoare a regulamentului privind alocarea sprijinului financiar de către autoritățile regionale din domeniul sănătății, care definește modelul de guvernanță al programului și cerințele respective ale solicitanților.</w:t>
            </w:r>
          </w:p>
        </w:tc>
      </w:tr>
      <w:tr w:rsidR="00A15990" w14:paraId="7F7C84BA" w14:textId="77777777">
        <w:trPr>
          <w:trHeight w:val="1690"/>
        </w:trPr>
        <w:tc>
          <w:tcPr>
            <w:tcW w:w="1135" w:type="dxa"/>
            <w:shd w:val="clear" w:color="auto" w:fill="C4EFCE"/>
            <w:noWrap/>
            <w:vAlign w:val="center"/>
            <w:hideMark/>
          </w:tcPr>
          <w:p w14:paraId="74351DC1" w14:textId="77777777" w:rsidR="00A15990" w:rsidRDefault="00686A62">
            <w:pPr>
              <w:pStyle w:val="P68B1DB1-Normal7"/>
              <w:spacing w:after="0" w:line="240" w:lineRule="auto"/>
              <w:jc w:val="center"/>
              <w:rPr>
                <w:rFonts w:eastAsia="Times New Roman" w:cs="Calibri"/>
                <w:noProof/>
              </w:rPr>
            </w:pPr>
            <w:r>
              <w:rPr>
                <w:noProof/>
              </w:rPr>
              <w:t>1.21</w:t>
            </w:r>
          </w:p>
        </w:tc>
        <w:tc>
          <w:tcPr>
            <w:tcW w:w="1276" w:type="dxa"/>
            <w:shd w:val="clear" w:color="auto" w:fill="C4EFCE"/>
            <w:noWrap/>
            <w:vAlign w:val="center"/>
            <w:hideMark/>
          </w:tcPr>
          <w:p w14:paraId="34C37BAF" w14:textId="77777777" w:rsidR="00A15990" w:rsidRDefault="00686A62">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4A6CCB1B"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AB89F2D" w14:textId="77777777" w:rsidR="00A15990" w:rsidRDefault="00686A62">
            <w:pPr>
              <w:pStyle w:val="P68B1DB1-Normal8"/>
              <w:spacing w:after="0" w:line="240" w:lineRule="auto"/>
              <w:jc w:val="center"/>
              <w:rPr>
                <w:rFonts w:eastAsia="Times New Roman" w:cs="Calibri"/>
                <w:noProof/>
              </w:rPr>
            </w:pPr>
            <w:r>
              <w:rPr>
                <w:noProof/>
              </w:rPr>
              <w:t>Consolidarea capacității de răspuns a rețelelor naționale de servicii integrate de îngrijire continuă și de îngrijire paliativă în cadrul îngrijirii spitalicești și ambulatorii</w:t>
            </w:r>
          </w:p>
        </w:tc>
        <w:tc>
          <w:tcPr>
            <w:tcW w:w="1418" w:type="dxa"/>
            <w:shd w:val="clear" w:color="auto" w:fill="C4EFCE"/>
            <w:noWrap/>
            <w:vAlign w:val="center"/>
            <w:hideMark/>
          </w:tcPr>
          <w:p w14:paraId="27BF6F6B"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76222F30"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1879440B" w14:textId="77777777" w:rsidR="00A15990" w:rsidRDefault="00686A62">
            <w:pPr>
              <w:pStyle w:val="P68B1DB1-Normal8"/>
              <w:spacing w:after="0" w:line="240" w:lineRule="auto"/>
              <w:jc w:val="center"/>
              <w:rPr>
                <w:rFonts w:eastAsia="Times New Roman" w:cs="Calibri"/>
                <w:noProof/>
              </w:rPr>
            </w:pPr>
            <w:r>
              <w:rPr>
                <w:noProof/>
              </w:rPr>
              <w:t> 0</w:t>
            </w:r>
          </w:p>
        </w:tc>
        <w:tc>
          <w:tcPr>
            <w:tcW w:w="805" w:type="dxa"/>
            <w:shd w:val="clear" w:color="auto" w:fill="C4EFCE"/>
            <w:noWrap/>
            <w:vAlign w:val="center"/>
            <w:hideMark/>
          </w:tcPr>
          <w:p w14:paraId="7F341A5B" w14:textId="77777777" w:rsidR="00A15990" w:rsidRDefault="00686A62">
            <w:pPr>
              <w:pStyle w:val="P68B1DB1-Normal8"/>
              <w:spacing w:after="0" w:line="240" w:lineRule="auto"/>
              <w:jc w:val="center"/>
              <w:rPr>
                <w:rFonts w:eastAsia="Times New Roman" w:cs="Calibri"/>
                <w:noProof/>
              </w:rPr>
            </w:pPr>
            <w:r>
              <w:rPr>
                <w:noProof/>
              </w:rPr>
              <w:t>7 400</w:t>
            </w:r>
          </w:p>
        </w:tc>
        <w:tc>
          <w:tcPr>
            <w:tcW w:w="833" w:type="dxa"/>
            <w:gridSpan w:val="2"/>
            <w:shd w:val="clear" w:color="auto" w:fill="C4EFCE"/>
            <w:noWrap/>
            <w:vAlign w:val="center"/>
            <w:hideMark/>
          </w:tcPr>
          <w:p w14:paraId="0CE41663"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253B9B39" w14:textId="77777777"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7ABEA994" w14:textId="5DEC19EC" w:rsidR="00A15990" w:rsidRDefault="00686A62">
            <w:pPr>
              <w:pStyle w:val="P68B1DB1-Normal8"/>
              <w:spacing w:after="0" w:line="240" w:lineRule="auto"/>
              <w:jc w:val="both"/>
              <w:rPr>
                <w:rFonts w:eastAsia="Times New Roman" w:cs="Calibri"/>
                <w:noProof/>
              </w:rPr>
            </w:pPr>
            <w:r>
              <w:rPr>
                <w:noProof/>
              </w:rPr>
              <w:t>Consolidarea capacității de răspuns a rețelelor naționale de servicii integrate de îngrijire continuă și de îngrijire paliativă în cadrul îngrijirii spitalicești și ambulatorii prin crearea următoarelor noi locuri: (I) noi 5 500 paturi de spitalizare în rețeaua națională de servicii integrate de îngrijire continuă, în cadrul rețelei generale; (II) noi 500 de locuri în unitățile de zi de promovare a autonomiei în cadrul rețelei naționale de servicii integrate de îngrijire continuă; III) noi 1 000 de locuri în servicii integrate de îngrijire continuă în domeniul sănătății mintale; și iv) noi 400 paturi de spitalizare cu grad redus de complexitate în rețeaua națională de servicii de îngrijire paliativă. Aceasta include utilizarea unui sprijin sub formă de granturi în valoare de cel puțin 226 730 193 EUR pentru construirea de noi infrastructuri de sănătate. Aceste clădiri noi trebuie să aibă o cerere de energie primară cu cel puțin 20 % sub cerințele clădirilor al căror consum de energie este aproape egal cu zero.</w:t>
            </w:r>
          </w:p>
        </w:tc>
      </w:tr>
      <w:tr w:rsidR="00A15990" w14:paraId="5AE6F182" w14:textId="77777777">
        <w:trPr>
          <w:trHeight w:val="1060"/>
        </w:trPr>
        <w:tc>
          <w:tcPr>
            <w:tcW w:w="1135" w:type="dxa"/>
            <w:shd w:val="clear" w:color="auto" w:fill="C4EFCE"/>
            <w:noWrap/>
            <w:vAlign w:val="center"/>
            <w:hideMark/>
          </w:tcPr>
          <w:p w14:paraId="66FCDE69" w14:textId="77777777" w:rsidR="00A15990" w:rsidRDefault="00686A62">
            <w:pPr>
              <w:pStyle w:val="P68B1DB1-Normal7"/>
              <w:spacing w:after="0" w:line="240" w:lineRule="auto"/>
              <w:jc w:val="center"/>
              <w:rPr>
                <w:rFonts w:eastAsia="Times New Roman" w:cs="Calibri"/>
                <w:noProof/>
              </w:rPr>
            </w:pPr>
            <w:r>
              <w:rPr>
                <w:noProof/>
              </w:rPr>
              <w:t>1.22</w:t>
            </w:r>
          </w:p>
        </w:tc>
        <w:tc>
          <w:tcPr>
            <w:tcW w:w="1276" w:type="dxa"/>
            <w:shd w:val="clear" w:color="auto" w:fill="C4EFCE"/>
            <w:noWrap/>
            <w:vAlign w:val="center"/>
            <w:hideMark/>
          </w:tcPr>
          <w:p w14:paraId="0DED5251" w14:textId="77777777" w:rsidR="00A15990" w:rsidRDefault="00686A62">
            <w:pPr>
              <w:pStyle w:val="P68B1DB1-Normal8"/>
              <w:spacing w:after="0" w:line="240" w:lineRule="auto"/>
              <w:jc w:val="center"/>
              <w:rPr>
                <w:rFonts w:eastAsia="Times New Roman" w:cs="Calibri"/>
                <w:noProof/>
              </w:rPr>
            </w:pPr>
            <w:r>
              <w:rPr>
                <w:noProof/>
              </w:rPr>
              <w:t>RE-C01-i02</w:t>
            </w:r>
          </w:p>
        </w:tc>
        <w:tc>
          <w:tcPr>
            <w:tcW w:w="992" w:type="dxa"/>
            <w:shd w:val="clear" w:color="auto" w:fill="C4EFCE"/>
            <w:noWrap/>
            <w:vAlign w:val="center"/>
            <w:hideMark/>
          </w:tcPr>
          <w:p w14:paraId="647B9DAD"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55CF526" w14:textId="77777777" w:rsidR="00A15990" w:rsidRDefault="00686A62">
            <w:pPr>
              <w:pStyle w:val="P68B1DB1-Normal8"/>
              <w:spacing w:after="0" w:line="240" w:lineRule="auto"/>
              <w:jc w:val="center"/>
              <w:rPr>
                <w:rFonts w:eastAsia="Times New Roman" w:cs="Calibri"/>
                <w:noProof/>
              </w:rPr>
            </w:pPr>
            <w:r>
              <w:rPr>
                <w:noProof/>
              </w:rPr>
              <w:t>Consolidarea capacității de reacție a rețelelor naționale de servicii integrate de îngrijire continuă și de îngrijire paliativă în îngrijirea la domiciliu</w:t>
            </w:r>
          </w:p>
        </w:tc>
        <w:tc>
          <w:tcPr>
            <w:tcW w:w="1418" w:type="dxa"/>
            <w:shd w:val="clear" w:color="auto" w:fill="C4EFCE"/>
            <w:noWrap/>
            <w:vAlign w:val="center"/>
            <w:hideMark/>
          </w:tcPr>
          <w:p w14:paraId="0A35A3F3"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6DF5F8B"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02612F2B"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55B25AA" w14:textId="77777777" w:rsidR="00A15990" w:rsidRDefault="00686A62">
            <w:pPr>
              <w:pStyle w:val="P68B1DB1-Normal8"/>
              <w:spacing w:after="0" w:line="240" w:lineRule="auto"/>
              <w:jc w:val="center"/>
              <w:rPr>
                <w:rFonts w:eastAsia="Times New Roman" w:cs="Calibri"/>
                <w:noProof/>
              </w:rPr>
            </w:pPr>
            <w:r>
              <w:rPr>
                <w:noProof/>
              </w:rPr>
              <w:t>1 200</w:t>
            </w:r>
          </w:p>
        </w:tc>
        <w:tc>
          <w:tcPr>
            <w:tcW w:w="833" w:type="dxa"/>
            <w:gridSpan w:val="2"/>
            <w:shd w:val="clear" w:color="auto" w:fill="C4EFCE"/>
            <w:noWrap/>
            <w:vAlign w:val="center"/>
            <w:hideMark/>
          </w:tcPr>
          <w:p w14:paraId="74C0C891" w14:textId="45AB5963" w:rsidR="00A15990" w:rsidRDefault="00686A62">
            <w:pPr>
              <w:pStyle w:val="P68B1DB1-Normal10"/>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22DB6368" w14:textId="5990FEF5" w:rsidR="00A15990" w:rsidRDefault="00686A62">
            <w:pPr>
              <w:pStyle w:val="P68B1DB1-Normal10"/>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558142A7" w14:textId="77777777" w:rsidR="00A15990" w:rsidRDefault="00686A62">
            <w:pPr>
              <w:pStyle w:val="P68B1DB1-Normal8"/>
              <w:spacing w:after="0" w:line="240" w:lineRule="auto"/>
              <w:jc w:val="both"/>
              <w:rPr>
                <w:rFonts w:eastAsia="Times New Roman" w:cs="Calibri"/>
                <w:noProof/>
              </w:rPr>
            </w:pPr>
            <w:r>
              <w:rPr>
                <w:noProof/>
              </w:rPr>
              <w:t>Consolidarea capacității de reacție a rețelelor naționale de servicii integrate de îngrijire continuă și de îngrijire paliativă în îngrijirea la domiciliu prin crearea următoarelor noi locuri: I) 1 000 de locuri noi în echipe integrate de îngrijire continuă la domiciliu; 100 de noi locuri în echipele de sprijin la domiciliu în domeniul sănătății mintale în cadrul rețelei naționale de servicii integrate de îngrijire continuă; și iii) 100 de locuri noi în echipele comunitare de sprijin pentru îngrijirea paliativă.</w:t>
            </w:r>
          </w:p>
        </w:tc>
      </w:tr>
      <w:tr w:rsidR="00A15990" w14:paraId="59032C88" w14:textId="77777777">
        <w:trPr>
          <w:trHeight w:val="1060"/>
        </w:trPr>
        <w:tc>
          <w:tcPr>
            <w:tcW w:w="1135" w:type="dxa"/>
            <w:shd w:val="clear" w:color="auto" w:fill="C4EFCE"/>
            <w:noWrap/>
            <w:vAlign w:val="center"/>
            <w:hideMark/>
          </w:tcPr>
          <w:p w14:paraId="68CBF731" w14:textId="77777777" w:rsidR="00A15990" w:rsidRDefault="00686A62">
            <w:pPr>
              <w:pStyle w:val="P68B1DB1-Normal7"/>
              <w:spacing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3D71360" w14:textId="77777777" w:rsidR="00A15990" w:rsidRDefault="00686A62">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1D0F3E64"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CD9472F" w14:textId="77777777" w:rsidR="00A15990" w:rsidRDefault="00686A62">
            <w:pPr>
              <w:pStyle w:val="P68B1DB1-Normal8"/>
              <w:spacing w:after="0" w:line="240" w:lineRule="auto"/>
              <w:jc w:val="center"/>
              <w:rPr>
                <w:rFonts w:eastAsia="Times New Roman" w:cs="Calibri"/>
                <w:noProof/>
              </w:rPr>
            </w:pPr>
            <w:r>
              <w:rPr>
                <w:noProof/>
              </w:rPr>
              <w:t>Renovarea unităților și echipamentelor de psihiatrie criminalistică</w:t>
            </w:r>
          </w:p>
        </w:tc>
        <w:tc>
          <w:tcPr>
            <w:tcW w:w="1418" w:type="dxa"/>
            <w:shd w:val="clear" w:color="auto" w:fill="C4EFCE"/>
            <w:noWrap/>
            <w:vAlign w:val="center"/>
            <w:hideMark/>
          </w:tcPr>
          <w:p w14:paraId="668CD381"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39AD866"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266CA769"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15F1F44" w14:textId="77777777" w:rsidR="00A15990" w:rsidRDefault="00686A62">
            <w:pPr>
              <w:pStyle w:val="P68B1DB1-Normal8"/>
              <w:spacing w:after="0" w:line="240" w:lineRule="auto"/>
              <w:jc w:val="center"/>
              <w:rPr>
                <w:rFonts w:eastAsia="Times New Roman" w:cs="Calibri"/>
                <w:noProof/>
              </w:rPr>
            </w:pPr>
            <w:r>
              <w:rPr>
                <w:noProof/>
              </w:rPr>
              <w:t>3</w:t>
            </w:r>
          </w:p>
        </w:tc>
        <w:tc>
          <w:tcPr>
            <w:tcW w:w="833" w:type="dxa"/>
            <w:gridSpan w:val="2"/>
            <w:shd w:val="clear" w:color="auto" w:fill="C4EFCE"/>
            <w:noWrap/>
            <w:vAlign w:val="center"/>
            <w:hideMark/>
          </w:tcPr>
          <w:p w14:paraId="293F4F6B"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7CD67BEE" w14:textId="77777777"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4B5D6547" w14:textId="77777777" w:rsidR="00A15990" w:rsidRDefault="00686A62">
            <w:pPr>
              <w:pStyle w:val="P68B1DB1-Normal8"/>
              <w:spacing w:after="0" w:line="240" w:lineRule="auto"/>
              <w:jc w:val="both"/>
              <w:rPr>
                <w:rFonts w:eastAsia="Times New Roman" w:cs="Calibri"/>
                <w:noProof/>
              </w:rPr>
            </w:pPr>
            <w:r>
              <w:rPr>
                <w:noProof/>
              </w:rPr>
              <w:t xml:space="preserve">Construirea unei noi unități de psihiatrie criminalistică (Sobral Cid) și renovarea altor două unități (Centrul Spitalului Psichiatric din Lisabona și Spitalul Magalhães Lemos) pentru a asigura condiții compatibile cu respectarea drepturilor omului, în special a vieții private, a confortului și a umanizării spațiilor, fără a neglija condițiile de securitate inerente respectării hotărârilor judecătorești, împiedicând noi condamnări ale Republicii Portugheze de către organizații internaționale (Comitetul European pentru Prevenirea Torturii). </w:t>
            </w:r>
          </w:p>
        </w:tc>
      </w:tr>
      <w:tr w:rsidR="00A15990" w14:paraId="79BD555A" w14:textId="77777777">
        <w:trPr>
          <w:trHeight w:val="640"/>
        </w:trPr>
        <w:tc>
          <w:tcPr>
            <w:tcW w:w="1135" w:type="dxa"/>
            <w:shd w:val="clear" w:color="auto" w:fill="C4EFCE"/>
            <w:noWrap/>
            <w:vAlign w:val="center"/>
            <w:hideMark/>
          </w:tcPr>
          <w:p w14:paraId="69D05224" w14:textId="77777777" w:rsidR="00A15990" w:rsidRDefault="00686A62">
            <w:pPr>
              <w:pStyle w:val="P68B1DB1-Normal7"/>
              <w:spacing w:after="0" w:line="240" w:lineRule="auto"/>
              <w:jc w:val="center"/>
              <w:rPr>
                <w:rFonts w:eastAsia="Times New Roman" w:cs="Calibri"/>
                <w:noProof/>
              </w:rPr>
            </w:pPr>
            <w:r>
              <w:rPr>
                <w:noProof/>
              </w:rPr>
              <w:t>1.24</w:t>
            </w:r>
          </w:p>
        </w:tc>
        <w:tc>
          <w:tcPr>
            <w:tcW w:w="1276" w:type="dxa"/>
            <w:shd w:val="clear" w:color="auto" w:fill="C4EFCE"/>
            <w:noWrap/>
            <w:vAlign w:val="center"/>
            <w:hideMark/>
          </w:tcPr>
          <w:p w14:paraId="77EC2F21" w14:textId="77777777" w:rsidR="00A15990" w:rsidRDefault="00686A62">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3AD8EF16"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2F5900A0" w14:textId="77777777" w:rsidR="00A15990" w:rsidRDefault="00686A62">
            <w:pPr>
              <w:pStyle w:val="P68B1DB1-Normal8"/>
              <w:spacing w:after="0" w:line="240" w:lineRule="auto"/>
              <w:jc w:val="center"/>
              <w:rPr>
                <w:rFonts w:eastAsia="Times New Roman" w:cs="Calibri"/>
                <w:noProof/>
              </w:rPr>
            </w:pPr>
            <w:r>
              <w:rPr>
                <w:noProof/>
              </w:rPr>
              <w:t>Dezvoltarea unor acțiuni de sensibilizare și de formare pentru „construirea parcursurilor pacienților” în contextul demențelor</w:t>
            </w:r>
          </w:p>
        </w:tc>
        <w:tc>
          <w:tcPr>
            <w:tcW w:w="1418" w:type="dxa"/>
            <w:shd w:val="clear" w:color="auto" w:fill="C4EFCE"/>
            <w:noWrap/>
            <w:vAlign w:val="center"/>
            <w:hideMark/>
          </w:tcPr>
          <w:p w14:paraId="0479C79B" w14:textId="77777777" w:rsidR="00A15990" w:rsidRDefault="00686A62">
            <w:pPr>
              <w:pStyle w:val="P68B1DB1-Normal8"/>
              <w:spacing w:after="0" w:line="240" w:lineRule="auto"/>
              <w:jc w:val="center"/>
              <w:rPr>
                <w:rFonts w:eastAsia="Times New Roman" w:cs="Calibri"/>
                <w:noProof/>
              </w:rPr>
            </w:pPr>
            <w:r>
              <w:rPr>
                <w:noProof/>
              </w:rPr>
              <w:t>Raport privind desfășurarea de noi acțiuni de sensibilizare și formare și dezvoltarea acestora</w:t>
            </w:r>
          </w:p>
        </w:tc>
        <w:tc>
          <w:tcPr>
            <w:tcW w:w="1164" w:type="dxa"/>
            <w:shd w:val="clear" w:color="auto" w:fill="C4EFCE"/>
            <w:noWrap/>
            <w:vAlign w:val="center"/>
            <w:hideMark/>
          </w:tcPr>
          <w:p w14:paraId="4EEB31BE"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2FE014D9"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428CA5F8"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8C7EC78"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18C7751D"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6E491E2" w14:textId="77777777" w:rsidR="00A15990" w:rsidRDefault="00686A62">
            <w:pPr>
              <w:pStyle w:val="P68B1DB1-Normal8"/>
              <w:spacing w:after="0" w:line="240" w:lineRule="auto"/>
              <w:jc w:val="both"/>
              <w:rPr>
                <w:rFonts w:eastAsia="Times New Roman" w:cs="Calibri"/>
                <w:noProof/>
              </w:rPr>
            </w:pPr>
            <w:r>
              <w:rPr>
                <w:noProof/>
              </w:rPr>
              <w:t>Acțiuni de sensibilizare și de formare privind demențele, în vederea sprijinirii reformelor în domeniul serviciilor sociale și de sănătate, destinate personalului serviciilor sociale și de sănătate sau altor entități care lucrează cu publicul larg în domeniul politicilor sociale și de sănătate, precum și utilizatorilor de servicii sociale și de sănătate.</w:t>
            </w:r>
          </w:p>
        </w:tc>
      </w:tr>
      <w:tr w:rsidR="00A15990" w14:paraId="31A97B40" w14:textId="77777777">
        <w:trPr>
          <w:trHeight w:val="684"/>
        </w:trPr>
        <w:tc>
          <w:tcPr>
            <w:tcW w:w="1135" w:type="dxa"/>
            <w:shd w:val="clear" w:color="auto" w:fill="C4EFCE"/>
            <w:noWrap/>
            <w:vAlign w:val="center"/>
            <w:hideMark/>
          </w:tcPr>
          <w:p w14:paraId="6F805E1F" w14:textId="77777777" w:rsidR="00A15990" w:rsidRDefault="00686A62">
            <w:pPr>
              <w:pStyle w:val="P68B1DB1-Normal7"/>
              <w:spacing w:after="0" w:line="240" w:lineRule="auto"/>
              <w:jc w:val="center"/>
              <w:rPr>
                <w:rFonts w:eastAsia="Times New Roman" w:cs="Calibri"/>
                <w:noProof/>
              </w:rPr>
            </w:pPr>
            <w:r>
              <w:rPr>
                <w:noProof/>
              </w:rPr>
              <w:t>1.25</w:t>
            </w:r>
          </w:p>
        </w:tc>
        <w:tc>
          <w:tcPr>
            <w:tcW w:w="1276" w:type="dxa"/>
            <w:shd w:val="clear" w:color="auto" w:fill="C4EFCE"/>
            <w:noWrap/>
            <w:vAlign w:val="center"/>
            <w:hideMark/>
          </w:tcPr>
          <w:p w14:paraId="2AA7B1FD" w14:textId="77777777" w:rsidR="00A15990" w:rsidRDefault="00686A62">
            <w:pPr>
              <w:pStyle w:val="P68B1DB1-Normal8"/>
              <w:spacing w:after="0" w:line="240" w:lineRule="auto"/>
              <w:jc w:val="center"/>
              <w:rPr>
                <w:rFonts w:eastAsia="Times New Roman" w:cs="Calibri"/>
                <w:noProof/>
              </w:rPr>
            </w:pPr>
            <w:r>
              <w:rPr>
                <w:noProof/>
              </w:rPr>
              <w:t>RE-C01-i03</w:t>
            </w:r>
          </w:p>
        </w:tc>
        <w:tc>
          <w:tcPr>
            <w:tcW w:w="992" w:type="dxa"/>
            <w:shd w:val="clear" w:color="auto" w:fill="C4EFCE"/>
            <w:noWrap/>
            <w:vAlign w:val="center"/>
            <w:hideMark/>
          </w:tcPr>
          <w:p w14:paraId="7E6411F2"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6011655A" w14:textId="77777777" w:rsidR="00A15990" w:rsidRDefault="00686A62">
            <w:pPr>
              <w:pStyle w:val="P68B1DB1-Normal8"/>
              <w:spacing w:after="0" w:line="240" w:lineRule="auto"/>
              <w:jc w:val="center"/>
              <w:rPr>
                <w:rFonts w:eastAsia="Times New Roman" w:cs="Calibri"/>
                <w:noProof/>
              </w:rPr>
            </w:pPr>
            <w:r>
              <w:rPr>
                <w:noProof/>
              </w:rPr>
              <w:t>Finalizarea consolidării rețelei de îngrijire a sănătății mintale</w:t>
            </w:r>
          </w:p>
        </w:tc>
        <w:tc>
          <w:tcPr>
            <w:tcW w:w="1418" w:type="dxa"/>
            <w:shd w:val="clear" w:color="auto" w:fill="C4EFCE"/>
            <w:noWrap/>
            <w:vAlign w:val="center"/>
            <w:hideMark/>
          </w:tcPr>
          <w:p w14:paraId="166A1207" w14:textId="77777777" w:rsidR="00A15990" w:rsidRDefault="00686A62">
            <w:pPr>
              <w:pStyle w:val="P68B1DB1-Normal8"/>
              <w:spacing w:after="0" w:line="240" w:lineRule="auto"/>
              <w:jc w:val="center"/>
              <w:rPr>
                <w:rFonts w:eastAsia="Times New Roman" w:cs="Calibri"/>
                <w:noProof/>
              </w:rPr>
            </w:pPr>
            <w:r>
              <w:rPr>
                <w:noProof/>
              </w:rPr>
              <w:t>Raport privind finalizarea tuturor inițiativelor descrise pentru consolidarea rețelei de îngrijire a sănătății mintale</w:t>
            </w:r>
          </w:p>
        </w:tc>
        <w:tc>
          <w:tcPr>
            <w:tcW w:w="1164" w:type="dxa"/>
            <w:shd w:val="clear" w:color="auto" w:fill="C4EFCE"/>
            <w:noWrap/>
            <w:vAlign w:val="center"/>
            <w:hideMark/>
          </w:tcPr>
          <w:p w14:paraId="7E425255"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515D8522"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0BC945BE"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43853C13"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695E8BA0" w14:textId="77777777"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6B1F7A73" w14:textId="77777777" w:rsidR="00A15990" w:rsidRDefault="00686A62">
            <w:pPr>
              <w:pStyle w:val="P68B1DB1-Normal8"/>
              <w:spacing w:after="0" w:line="240" w:lineRule="auto"/>
              <w:jc w:val="both"/>
              <w:rPr>
                <w:rFonts w:eastAsia="Times New Roman" w:cs="Calibri"/>
                <w:noProof/>
              </w:rPr>
            </w:pPr>
            <w:r>
              <w:rPr>
                <w:noProof/>
              </w:rPr>
              <w:t>Finalizarea tuturor intervențiilor definite pentru consolidarea rețelei de îngrijire a sănătății mintale, inclusiv: I) înființarea a patru noi unități de spitalizare în spitalele generale; II) crearea a 15 de centre de responsabilitate integrată în serviciile de sănătate mintală; recondiționarea a 20 dintre serviciile locale existente în domeniul sănătății mintale; IV) crearea a 500 de răspunsuri la nevoile persoanelor instituționalizate care suferă de boli mintale cronice; V) modernizarea a trei instalații și echipamente de psihiatrie criminalistică; VI) construirea a trei unități rezidențiale de tranziție criminalistică; și vii) dezvoltarea unor acțiuni de formare pentru „construirea parcursurilor pacienților” în contextul demențelor. Aceasta include utilizarea unui sprijin sub formă de granturi în valoare de 58 507 675 EUR pentru renovarea vizând eficiența energetică pentru a realiza, în medie, cel puțin o renovare de amploare medie, astfel cum este definită în Recomandarea Comisiei privind renovarea clădirilor (UE) 2019/786. Cerințele pentru îmbunătățirea performanței energetice a clădirilor sunt incluse în procedurile de achiziții publice și sunt asigurate în caietul de sarcini.</w:t>
            </w:r>
          </w:p>
        </w:tc>
      </w:tr>
      <w:tr w:rsidR="00A15990" w14:paraId="7D601BE3" w14:textId="77777777">
        <w:trPr>
          <w:trHeight w:val="850"/>
        </w:trPr>
        <w:tc>
          <w:tcPr>
            <w:tcW w:w="1135" w:type="dxa"/>
            <w:shd w:val="clear" w:color="auto" w:fill="C4EFCE"/>
            <w:noWrap/>
            <w:vAlign w:val="center"/>
          </w:tcPr>
          <w:p w14:paraId="38167FC7" w14:textId="782B9BD8" w:rsidR="00A15990" w:rsidRDefault="00686A62">
            <w:pPr>
              <w:pStyle w:val="P68B1DB1-Normal7"/>
              <w:spacing w:after="0" w:line="240" w:lineRule="auto"/>
              <w:jc w:val="center"/>
              <w:rPr>
                <w:rFonts w:eastAsia="Times New Roman" w:cs="Calibri"/>
                <w:noProof/>
              </w:rPr>
            </w:pPr>
            <w:r>
              <w:rPr>
                <w:noProof/>
              </w:rPr>
              <w:t>1.40</w:t>
            </w:r>
          </w:p>
        </w:tc>
        <w:tc>
          <w:tcPr>
            <w:tcW w:w="1276" w:type="dxa"/>
            <w:shd w:val="clear" w:color="auto" w:fill="C4EFCE"/>
            <w:noWrap/>
            <w:vAlign w:val="center"/>
          </w:tcPr>
          <w:p w14:paraId="5230C444" w14:textId="3C06B8C3" w:rsidR="00A15990" w:rsidRDefault="00686A62">
            <w:pPr>
              <w:pStyle w:val="P68B1DB1-Normal8"/>
              <w:spacing w:after="0" w:line="240" w:lineRule="auto"/>
              <w:jc w:val="center"/>
              <w:rPr>
                <w:rFonts w:eastAsia="Times New Roman" w:cs="Calibri"/>
                <w:noProof/>
              </w:rPr>
            </w:pPr>
            <w:r>
              <w:rPr>
                <w:noProof/>
              </w:rPr>
              <w:t>RE-C01-i04</w:t>
            </w:r>
          </w:p>
        </w:tc>
        <w:tc>
          <w:tcPr>
            <w:tcW w:w="992" w:type="dxa"/>
            <w:shd w:val="clear" w:color="auto" w:fill="C4EFCE"/>
            <w:noWrap/>
            <w:vAlign w:val="center"/>
          </w:tcPr>
          <w:p w14:paraId="33E64FC7" w14:textId="68EADE1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tcPr>
          <w:p w14:paraId="258F4E6D" w14:textId="3B7B2525" w:rsidR="00A15990" w:rsidRDefault="00686A62">
            <w:pPr>
              <w:pStyle w:val="P68B1DB1-Normal8"/>
              <w:spacing w:after="0" w:line="240" w:lineRule="auto"/>
              <w:jc w:val="center"/>
              <w:rPr>
                <w:rFonts w:eastAsia="Times New Roman" w:cs="Calibri"/>
                <w:noProof/>
              </w:rPr>
            </w:pPr>
            <w:r>
              <w:rPr>
                <w:noProof/>
              </w:rPr>
              <w:t xml:space="preserve">Semnarea contractului de gestionare pentru construirea Spitalului din Lisabona de Est </w:t>
            </w:r>
          </w:p>
        </w:tc>
        <w:tc>
          <w:tcPr>
            <w:tcW w:w="1418" w:type="dxa"/>
            <w:shd w:val="clear" w:color="auto" w:fill="C4EFCE"/>
            <w:noWrap/>
            <w:vAlign w:val="center"/>
          </w:tcPr>
          <w:p w14:paraId="05C069DE" w14:textId="7E4CD3CE" w:rsidR="00A15990" w:rsidRDefault="00686A62">
            <w:pPr>
              <w:pStyle w:val="P68B1DB1-Normal8"/>
              <w:spacing w:after="0" w:line="240" w:lineRule="auto"/>
              <w:jc w:val="center"/>
              <w:rPr>
                <w:rFonts w:eastAsia="Times New Roman" w:cs="Calibri"/>
                <w:noProof/>
              </w:rPr>
            </w:pPr>
            <w:r>
              <w:rPr>
                <w:noProof/>
              </w:rPr>
              <w:t>Semnarea contractului de gestionare pentru construirea Spitalului de Est din Lisabona semnat de autoritățile publice și de SPV</w:t>
            </w:r>
          </w:p>
        </w:tc>
        <w:tc>
          <w:tcPr>
            <w:tcW w:w="1164" w:type="dxa"/>
            <w:shd w:val="clear" w:color="auto" w:fill="C4EFCE"/>
            <w:noWrap/>
            <w:vAlign w:val="center"/>
          </w:tcPr>
          <w:p w14:paraId="41AA1AF4" w14:textId="77777777" w:rsidR="00A15990" w:rsidRDefault="00A15990">
            <w:pPr>
              <w:spacing w:after="0" w:line="240" w:lineRule="auto"/>
              <w:jc w:val="center"/>
              <w:rPr>
                <w:rFonts w:ascii="Calibri" w:eastAsia="Times New Roman" w:hAnsi="Calibri" w:cs="Calibri"/>
                <w:noProof/>
                <w:sz w:val="16"/>
              </w:rPr>
            </w:pPr>
          </w:p>
        </w:tc>
        <w:tc>
          <w:tcPr>
            <w:tcW w:w="962" w:type="dxa"/>
            <w:shd w:val="clear" w:color="auto" w:fill="C4EFCE"/>
            <w:noWrap/>
            <w:vAlign w:val="center"/>
          </w:tcPr>
          <w:p w14:paraId="35D8CA0C" w14:textId="77777777" w:rsidR="00A15990" w:rsidRDefault="00A15990">
            <w:pPr>
              <w:spacing w:after="0" w:line="240" w:lineRule="auto"/>
              <w:jc w:val="center"/>
              <w:rPr>
                <w:rFonts w:ascii="Calibri" w:eastAsia="Times New Roman" w:hAnsi="Calibri" w:cs="Calibri"/>
                <w:noProof/>
                <w:sz w:val="16"/>
              </w:rPr>
            </w:pPr>
          </w:p>
        </w:tc>
        <w:tc>
          <w:tcPr>
            <w:tcW w:w="805" w:type="dxa"/>
            <w:shd w:val="clear" w:color="auto" w:fill="C4EFCE"/>
            <w:noWrap/>
            <w:vAlign w:val="center"/>
          </w:tcPr>
          <w:p w14:paraId="58CC0C2B" w14:textId="77777777" w:rsidR="00A15990" w:rsidRDefault="00A15990">
            <w:pPr>
              <w:spacing w:after="0" w:line="240" w:lineRule="auto"/>
              <w:jc w:val="center"/>
              <w:rPr>
                <w:rFonts w:ascii="Calibri" w:eastAsia="Times New Roman" w:hAnsi="Calibri" w:cs="Calibri"/>
                <w:noProof/>
                <w:sz w:val="16"/>
              </w:rPr>
            </w:pPr>
          </w:p>
        </w:tc>
        <w:tc>
          <w:tcPr>
            <w:tcW w:w="833" w:type="dxa"/>
            <w:gridSpan w:val="2"/>
            <w:shd w:val="clear" w:color="auto" w:fill="C4EFCE"/>
            <w:noWrap/>
            <w:vAlign w:val="center"/>
          </w:tcPr>
          <w:p w14:paraId="26FBB759" w14:textId="55711EEF" w:rsidR="00A15990" w:rsidRDefault="00686A62">
            <w:pPr>
              <w:pStyle w:val="P68B1DB1-Normal8"/>
              <w:spacing w:after="0" w:line="240" w:lineRule="auto"/>
              <w:jc w:val="center"/>
              <w:rPr>
                <w:rFonts w:eastAsia="Times New Roman" w:cs="Calibri"/>
                <w:noProof/>
              </w:rPr>
            </w:pPr>
            <w:r>
              <w:rPr>
                <w:noProof/>
              </w:rPr>
              <w:t>TRIMESTRUL 3</w:t>
            </w:r>
          </w:p>
        </w:tc>
        <w:tc>
          <w:tcPr>
            <w:tcW w:w="901" w:type="dxa"/>
            <w:shd w:val="clear" w:color="auto" w:fill="C4EFCE"/>
            <w:noWrap/>
            <w:vAlign w:val="center"/>
          </w:tcPr>
          <w:p w14:paraId="21B59020" w14:textId="6FBC92C2" w:rsidR="00A15990" w:rsidRDefault="00686A62">
            <w:pPr>
              <w:pStyle w:val="P68B1DB1-Normal8"/>
              <w:spacing w:after="0" w:line="240" w:lineRule="auto"/>
              <w:jc w:val="center"/>
              <w:rPr>
                <w:rFonts w:eastAsia="Times New Roman" w:cs="Calibri"/>
                <w:noProof/>
              </w:rPr>
            </w:pPr>
            <w:r>
              <w:rPr>
                <w:noProof/>
              </w:rPr>
              <w:t>2023</w:t>
            </w:r>
          </w:p>
        </w:tc>
        <w:tc>
          <w:tcPr>
            <w:tcW w:w="3981" w:type="dxa"/>
            <w:shd w:val="clear" w:color="auto" w:fill="C4EFCE"/>
            <w:noWrap/>
            <w:vAlign w:val="center"/>
          </w:tcPr>
          <w:p w14:paraId="18393971" w14:textId="67D0DE31" w:rsidR="00A15990" w:rsidRDefault="00686A62">
            <w:pPr>
              <w:pStyle w:val="P68B1DB1-Normal8"/>
              <w:spacing w:after="0" w:line="240" w:lineRule="auto"/>
              <w:jc w:val="both"/>
              <w:rPr>
                <w:rFonts w:eastAsia="Times New Roman" w:cs="Calibri"/>
                <w:noProof/>
              </w:rPr>
            </w:pPr>
            <w:r>
              <w:rPr>
                <w:noProof/>
              </w:rPr>
              <w:t xml:space="preserve">Semnarea contractului de gestionare de către ACSS și de către vehiculul cu scop special (SPV) pentru construirea Spitalului din Lisabona de Est. Contractul trebuie să reflecte condițiile referitoare la domeniul de aplicare al serviciilor (proiectare, construcție, finanțare, întreținerea infrastructurii, furnizarea și întreținerea echipamentelor generale ale clădirii) și la durată. </w:t>
            </w:r>
          </w:p>
          <w:p w14:paraId="4D66D758" w14:textId="665D6456" w:rsidR="00A15990" w:rsidRDefault="00686A62">
            <w:pPr>
              <w:pStyle w:val="P68B1DB1-Normal8"/>
              <w:spacing w:after="0" w:line="240" w:lineRule="auto"/>
              <w:jc w:val="both"/>
              <w:rPr>
                <w:rFonts w:eastAsia="Times New Roman" w:cs="Calibri"/>
                <w:noProof/>
              </w:rPr>
            </w:pPr>
            <w:r>
              <w:rPr>
                <w:noProof/>
              </w:rPr>
              <w:t>Contractul include, de asemenea, o clauză care specifică faptul că noile clădiri trebuie să aibă o cerere de energie primară cu cel puțin 20 % sub cerințele pentru clădirile al căror consum de energie este aproape egal cu zero.</w:t>
            </w:r>
          </w:p>
        </w:tc>
      </w:tr>
      <w:tr w:rsidR="00A15990" w14:paraId="0DBBA2AD" w14:textId="77777777">
        <w:trPr>
          <w:trHeight w:val="850"/>
        </w:trPr>
        <w:tc>
          <w:tcPr>
            <w:tcW w:w="1135" w:type="dxa"/>
            <w:shd w:val="clear" w:color="auto" w:fill="C4EFCE"/>
            <w:noWrap/>
            <w:vAlign w:val="center"/>
            <w:hideMark/>
          </w:tcPr>
          <w:p w14:paraId="4DEA0843" w14:textId="77777777" w:rsidR="00A15990" w:rsidRDefault="00686A62">
            <w:pPr>
              <w:pStyle w:val="P68B1DB1-Normal7"/>
              <w:spacing w:after="0" w:line="240" w:lineRule="auto"/>
              <w:jc w:val="center"/>
              <w:rPr>
                <w:rFonts w:eastAsia="Times New Roman" w:cs="Calibri"/>
                <w:noProof/>
              </w:rPr>
            </w:pPr>
            <w:r>
              <w:rPr>
                <w:noProof/>
              </w:rPr>
              <w:t>1.26</w:t>
            </w:r>
          </w:p>
        </w:tc>
        <w:tc>
          <w:tcPr>
            <w:tcW w:w="1276" w:type="dxa"/>
            <w:shd w:val="clear" w:color="auto" w:fill="C4EFCE"/>
            <w:noWrap/>
            <w:vAlign w:val="center"/>
            <w:hideMark/>
          </w:tcPr>
          <w:p w14:paraId="264BCD28" w14:textId="77777777" w:rsidR="00A15990" w:rsidRDefault="00686A62">
            <w:pPr>
              <w:pStyle w:val="P68B1DB1-Normal8"/>
              <w:spacing w:after="0" w:line="240" w:lineRule="auto"/>
              <w:jc w:val="center"/>
              <w:rPr>
                <w:rFonts w:eastAsia="Times New Roman" w:cs="Calibri"/>
                <w:noProof/>
              </w:rPr>
            </w:pPr>
            <w:r>
              <w:rPr>
                <w:noProof/>
              </w:rPr>
              <w:t>RE-C01-i04</w:t>
            </w:r>
          </w:p>
        </w:tc>
        <w:tc>
          <w:tcPr>
            <w:tcW w:w="992" w:type="dxa"/>
            <w:shd w:val="clear" w:color="auto" w:fill="C4EFCE"/>
            <w:noWrap/>
            <w:vAlign w:val="center"/>
            <w:hideMark/>
          </w:tcPr>
          <w:p w14:paraId="450A30B4"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32FB3392" w14:textId="3F4D6888" w:rsidR="00A15990" w:rsidRDefault="00686A62">
            <w:pPr>
              <w:pStyle w:val="P68B1DB1-Normal8"/>
              <w:spacing w:after="0" w:line="240" w:lineRule="auto"/>
              <w:jc w:val="center"/>
              <w:rPr>
                <w:rFonts w:eastAsia="Times New Roman" w:cs="Calibri"/>
                <w:noProof/>
              </w:rPr>
            </w:pPr>
            <w:r>
              <w:rPr>
                <w:noProof/>
              </w:rPr>
              <w:t>Construirea spitalului East Lisabona și achiziționarea de echipamente pentru spitalele din Lisabona și Vale do Tejo</w:t>
            </w:r>
          </w:p>
        </w:tc>
        <w:tc>
          <w:tcPr>
            <w:tcW w:w="1418" w:type="dxa"/>
            <w:shd w:val="clear" w:color="auto" w:fill="C4EFCE"/>
            <w:noWrap/>
            <w:vAlign w:val="center"/>
            <w:hideMark/>
          </w:tcPr>
          <w:p w14:paraId="69F63B22" w14:textId="17B00712" w:rsidR="00A15990" w:rsidRDefault="00686A62">
            <w:pPr>
              <w:pStyle w:val="P68B1DB1-Normal8"/>
              <w:spacing w:after="0" w:line="240" w:lineRule="auto"/>
              <w:jc w:val="center"/>
              <w:rPr>
                <w:rFonts w:eastAsia="Times New Roman" w:cs="Calibri"/>
                <w:noProof/>
              </w:rPr>
            </w:pPr>
            <w:r>
              <w:rPr>
                <w:noProof/>
              </w:rPr>
              <w:t>Construirea spitalului East Lisabona și achiziționarea de echipamente pentru spitalele din Lisabona și Vale do Tejo</w:t>
            </w:r>
          </w:p>
        </w:tc>
        <w:tc>
          <w:tcPr>
            <w:tcW w:w="1164" w:type="dxa"/>
            <w:shd w:val="clear" w:color="auto" w:fill="C4EFCE"/>
            <w:noWrap/>
            <w:vAlign w:val="center"/>
            <w:hideMark/>
          </w:tcPr>
          <w:p w14:paraId="2647720D" w14:textId="77777777" w:rsidR="00A15990" w:rsidRDefault="00686A62">
            <w:pPr>
              <w:pStyle w:val="P68B1DB1-Normal10"/>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DEF2960" w14:textId="77777777" w:rsidR="00A15990" w:rsidRDefault="00686A62">
            <w:pPr>
              <w:pStyle w:val="P68B1DB1-Normal10"/>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7B131ABE" w14:textId="77777777" w:rsidR="00A15990" w:rsidRDefault="00686A62">
            <w:pPr>
              <w:pStyle w:val="P68B1DB1-Normal10"/>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6F5E72E"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42B2A8CD"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5B029930" w14:textId="792EA1C2" w:rsidR="00A15990" w:rsidRDefault="00686A62">
            <w:pPr>
              <w:spacing w:after="0" w:line="240" w:lineRule="auto"/>
              <w:jc w:val="both"/>
              <w:rPr>
                <w:noProof/>
              </w:rPr>
            </w:pPr>
            <w:r>
              <w:rPr>
                <w:rFonts w:ascii="Calibri" w:hAnsi="Calibri"/>
                <w:noProof/>
                <w:sz w:val="16"/>
              </w:rPr>
              <w:t>Achiziționarea de echipamente care urmează să fie instalate în spitalele din Lisabona și Vale do Tejo, care implică un sprijin sub formă de granturi în valoare totală de 78 740 000 EUR, și anume echipamente clinice/medicale și de înaltă tehnologie; echipamente generale, care cuprind mobilier adaptat la sarcinile care trebuie îndeplinite în diferite spații și care este ușor de curățat și proiectat ergonomic; și echipamente informatice.</w:t>
            </w:r>
            <w:r>
              <w:rPr>
                <w:rFonts w:ascii="Calibri" w:hAnsi="Calibri"/>
                <w:noProof/>
                <w:sz w:val="16"/>
                <w:shd w:val="clear" w:color="auto" w:fill="E6E6E6"/>
              </w:rPr>
              <w:t xml:space="preserve"> </w:t>
            </w:r>
            <w:r>
              <w:rPr>
                <w:rFonts w:ascii="Calibri" w:hAnsi="Calibri"/>
                <w:noProof/>
                <w:sz w:val="16"/>
              </w:rPr>
              <w:t>Construirea Spitalului de Est din Lisabona, și anume (i) turnul Poente, (ii) clădirea din parcela B și (iii) clădirea din parcela C, care implică un ajutor financiar în valoare totală de 100 000 000 EUR. Aceste clădiri noi trebuie să aibă o cerere de energie primară cu cel puțin 20 % sub cerințele clădirilor al căror consum de energie este aproape egal cu zero</w:t>
            </w:r>
            <w:r>
              <w:rPr>
                <w:noProof/>
              </w:rPr>
              <w:t>.</w:t>
            </w:r>
          </w:p>
        </w:tc>
      </w:tr>
      <w:tr w:rsidR="00A15990" w14:paraId="38A34B61" w14:textId="77777777">
        <w:trPr>
          <w:trHeight w:val="850"/>
        </w:trPr>
        <w:tc>
          <w:tcPr>
            <w:tcW w:w="1135" w:type="dxa"/>
            <w:shd w:val="clear" w:color="auto" w:fill="C4EFCE"/>
            <w:noWrap/>
            <w:vAlign w:val="center"/>
            <w:hideMark/>
          </w:tcPr>
          <w:p w14:paraId="725C9153" w14:textId="77777777" w:rsidR="00A15990" w:rsidRDefault="00686A62">
            <w:pPr>
              <w:pStyle w:val="P68B1DB1-Normal7"/>
              <w:spacing w:after="0" w:line="240" w:lineRule="auto"/>
              <w:jc w:val="center"/>
              <w:rPr>
                <w:rFonts w:eastAsia="Times New Roman" w:cs="Calibri"/>
                <w:noProof/>
              </w:rPr>
            </w:pPr>
            <w:r>
              <w:rPr>
                <w:noProof/>
              </w:rPr>
              <w:t>1.27</w:t>
            </w:r>
          </w:p>
        </w:tc>
        <w:tc>
          <w:tcPr>
            <w:tcW w:w="1276" w:type="dxa"/>
            <w:shd w:val="clear" w:color="auto" w:fill="C4EFCE"/>
            <w:noWrap/>
            <w:vAlign w:val="center"/>
            <w:hideMark/>
          </w:tcPr>
          <w:p w14:paraId="64400C1F" w14:textId="77777777" w:rsidR="00A15990" w:rsidRDefault="00686A62">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81DDB8E"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C7C8556" w14:textId="77777777" w:rsidR="00A15990" w:rsidRDefault="00686A62">
            <w:pPr>
              <w:pStyle w:val="P68B1DB1-Normal8"/>
              <w:spacing w:after="0" w:line="240" w:lineRule="auto"/>
              <w:jc w:val="center"/>
              <w:rPr>
                <w:rFonts w:eastAsia="Times New Roman" w:cs="Calibri"/>
                <w:noProof/>
              </w:rPr>
            </w:pPr>
            <w:r>
              <w:rPr>
                <w:noProof/>
              </w:rPr>
              <w:t>Creșterea numărului de locuri disponibile în sistemul de spitalizare la domiciliu din cadrul serviciului regional de sănătate din Madeira</w:t>
            </w:r>
          </w:p>
        </w:tc>
        <w:tc>
          <w:tcPr>
            <w:tcW w:w="1418" w:type="dxa"/>
            <w:shd w:val="clear" w:color="auto" w:fill="C4EFCE"/>
            <w:noWrap/>
            <w:vAlign w:val="center"/>
            <w:hideMark/>
          </w:tcPr>
          <w:p w14:paraId="501441A2"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3426B467"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4BE39102"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743EDF67" w14:textId="77777777" w:rsidR="00A15990" w:rsidRDefault="00686A62">
            <w:pPr>
              <w:pStyle w:val="P68B1DB1-Normal8"/>
              <w:spacing w:after="0" w:line="240" w:lineRule="auto"/>
              <w:jc w:val="center"/>
              <w:rPr>
                <w:rFonts w:eastAsia="Times New Roman" w:cs="Calibri"/>
                <w:noProof/>
              </w:rPr>
            </w:pPr>
            <w:r>
              <w:rPr>
                <w:noProof/>
              </w:rPr>
              <w:t>1 500</w:t>
            </w:r>
          </w:p>
        </w:tc>
        <w:tc>
          <w:tcPr>
            <w:tcW w:w="833" w:type="dxa"/>
            <w:gridSpan w:val="2"/>
            <w:shd w:val="clear" w:color="auto" w:fill="C4EFCE"/>
            <w:noWrap/>
            <w:vAlign w:val="center"/>
            <w:hideMark/>
          </w:tcPr>
          <w:p w14:paraId="2B0D5EEA"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3AFF1172"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664D2578" w14:textId="0D007B14" w:rsidR="00A15990" w:rsidRDefault="00686A62">
            <w:pPr>
              <w:pStyle w:val="P68B1DB1-Normal8"/>
              <w:spacing w:after="0" w:line="240" w:lineRule="auto"/>
              <w:jc w:val="both"/>
              <w:rPr>
                <w:rFonts w:eastAsia="Times New Roman" w:cs="Calibri"/>
                <w:noProof/>
              </w:rPr>
            </w:pPr>
            <w:r>
              <w:rPr>
                <w:noProof/>
              </w:rPr>
              <w:t>Consolidarea capacității de răspuns a serviciului regional de sănătate din Madeira prin creșterea numărului de locuri disponibile în sistemul de spitalizare la domiciliu, permițând astfel furnizarea, la domiciliu, de servicii de asistență medicală cu diferențiere, complexitate și intensitate la nivelul spitalelor, în strânsă legătură cu asistența medicală primară și cu alte servicii.</w:t>
            </w:r>
          </w:p>
        </w:tc>
      </w:tr>
      <w:tr w:rsidR="00A15990" w14:paraId="68BBE707" w14:textId="77777777">
        <w:trPr>
          <w:trHeight w:val="430"/>
        </w:trPr>
        <w:tc>
          <w:tcPr>
            <w:tcW w:w="1135" w:type="dxa"/>
            <w:shd w:val="clear" w:color="auto" w:fill="C4EFCE"/>
            <w:noWrap/>
            <w:vAlign w:val="center"/>
            <w:hideMark/>
          </w:tcPr>
          <w:p w14:paraId="6B8F9975" w14:textId="77777777" w:rsidR="00A15990" w:rsidRDefault="00686A62">
            <w:pPr>
              <w:pStyle w:val="P68B1DB1-Normal7"/>
              <w:spacing w:after="0" w:line="240" w:lineRule="auto"/>
              <w:jc w:val="center"/>
              <w:rPr>
                <w:rFonts w:eastAsia="Times New Roman" w:cs="Calibri"/>
                <w:noProof/>
              </w:rPr>
            </w:pPr>
            <w:r>
              <w:rPr>
                <w:noProof/>
              </w:rPr>
              <w:t>1.28</w:t>
            </w:r>
          </w:p>
        </w:tc>
        <w:tc>
          <w:tcPr>
            <w:tcW w:w="1276" w:type="dxa"/>
            <w:shd w:val="clear" w:color="auto" w:fill="C4EFCE"/>
            <w:noWrap/>
            <w:vAlign w:val="center"/>
            <w:hideMark/>
          </w:tcPr>
          <w:p w14:paraId="7EFF19CE" w14:textId="77777777" w:rsidR="00A15990" w:rsidRDefault="00686A62">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1B8E013A"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1D1DE9F" w14:textId="77777777" w:rsidR="00A15990" w:rsidRDefault="00686A62">
            <w:pPr>
              <w:pStyle w:val="P68B1DB1-Normal8"/>
              <w:spacing w:after="0" w:line="240" w:lineRule="auto"/>
              <w:jc w:val="center"/>
              <w:rPr>
                <w:rFonts w:eastAsia="Times New Roman" w:cs="Calibri"/>
                <w:noProof/>
              </w:rPr>
            </w:pPr>
            <w:r>
              <w:rPr>
                <w:noProof/>
              </w:rPr>
              <w:t>Înființarea de echipe comunitare de sănătate mintală în cadrul serviciului regional de sănătate din Madeira</w:t>
            </w:r>
          </w:p>
        </w:tc>
        <w:tc>
          <w:tcPr>
            <w:tcW w:w="1418" w:type="dxa"/>
            <w:shd w:val="clear" w:color="auto" w:fill="C4EFCE"/>
            <w:noWrap/>
            <w:vAlign w:val="center"/>
            <w:hideMark/>
          </w:tcPr>
          <w:p w14:paraId="5B56375A"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5965D60"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4488F202"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54B9112A" w14:textId="77777777" w:rsidR="00A15990" w:rsidRDefault="00686A62">
            <w:pPr>
              <w:pStyle w:val="P68B1DB1-Normal8"/>
              <w:spacing w:after="0" w:line="240" w:lineRule="auto"/>
              <w:jc w:val="center"/>
              <w:rPr>
                <w:rFonts w:eastAsia="Times New Roman" w:cs="Calibri"/>
                <w:noProof/>
              </w:rPr>
            </w:pPr>
            <w:r>
              <w:rPr>
                <w:noProof/>
              </w:rPr>
              <w:t>11</w:t>
            </w:r>
          </w:p>
        </w:tc>
        <w:tc>
          <w:tcPr>
            <w:tcW w:w="833" w:type="dxa"/>
            <w:gridSpan w:val="2"/>
            <w:shd w:val="clear" w:color="auto" w:fill="C4EFCE"/>
            <w:noWrap/>
            <w:vAlign w:val="center"/>
            <w:hideMark/>
          </w:tcPr>
          <w:p w14:paraId="5AD45B50"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1FBFEAD9"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0A1580E" w14:textId="77777777" w:rsidR="00A15990" w:rsidRDefault="00686A62">
            <w:pPr>
              <w:pStyle w:val="P68B1DB1-Normal8"/>
              <w:spacing w:after="0" w:line="240" w:lineRule="auto"/>
              <w:jc w:val="both"/>
              <w:rPr>
                <w:rFonts w:eastAsia="Times New Roman" w:cs="Calibri"/>
                <w:noProof/>
              </w:rPr>
            </w:pPr>
            <w:r>
              <w:rPr>
                <w:noProof/>
              </w:rPr>
              <w:t>Consolidarea capacității de reacție a serviciului regional de sănătate din Madeira în domeniul sănătății mintale și al demenței asociate cu îmbătrânirea, prin crearea de echipe comunitare în domeniul sănătății mintale.</w:t>
            </w:r>
          </w:p>
        </w:tc>
      </w:tr>
      <w:tr w:rsidR="00A15990" w14:paraId="601A2D9F" w14:textId="77777777">
        <w:trPr>
          <w:trHeight w:val="640"/>
        </w:trPr>
        <w:tc>
          <w:tcPr>
            <w:tcW w:w="1135" w:type="dxa"/>
            <w:shd w:val="clear" w:color="auto" w:fill="C4EFCE"/>
            <w:noWrap/>
            <w:vAlign w:val="center"/>
            <w:hideMark/>
          </w:tcPr>
          <w:p w14:paraId="0B9ADE7F" w14:textId="77777777" w:rsidR="00A15990" w:rsidRDefault="00686A62">
            <w:pPr>
              <w:pStyle w:val="P68B1DB1-Normal7"/>
              <w:spacing w:after="0" w:line="240" w:lineRule="auto"/>
              <w:jc w:val="center"/>
              <w:rPr>
                <w:rFonts w:eastAsia="Times New Roman" w:cs="Calibri"/>
                <w:noProof/>
              </w:rPr>
            </w:pPr>
            <w:r>
              <w:rPr>
                <w:noProof/>
              </w:rPr>
              <w:t>1.29</w:t>
            </w:r>
          </w:p>
        </w:tc>
        <w:tc>
          <w:tcPr>
            <w:tcW w:w="1276" w:type="dxa"/>
            <w:shd w:val="clear" w:color="auto" w:fill="C4EFCE"/>
            <w:noWrap/>
            <w:vAlign w:val="center"/>
            <w:hideMark/>
          </w:tcPr>
          <w:p w14:paraId="4F5677A4" w14:textId="77777777" w:rsidR="00A15990" w:rsidRDefault="00686A62">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4338AFAF"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70B8B5FF" w14:textId="77777777" w:rsidR="00A15990" w:rsidRDefault="00686A62">
            <w:pPr>
              <w:pStyle w:val="P68B1DB1-Normal8"/>
              <w:spacing w:after="0" w:line="240" w:lineRule="auto"/>
              <w:jc w:val="center"/>
              <w:rPr>
                <w:rFonts w:eastAsia="Times New Roman" w:cs="Calibri"/>
                <w:noProof/>
              </w:rPr>
            </w:pPr>
            <w:r>
              <w:rPr>
                <w:noProof/>
              </w:rPr>
              <w:t>Implementarea sistemului de clasificare, a profilului funcțional și a sistemului de semnalare a utilizatorilor pentru modelul regional de servicii integrate de îngrijire continuă din Madeira</w:t>
            </w:r>
          </w:p>
        </w:tc>
        <w:tc>
          <w:tcPr>
            <w:tcW w:w="1418" w:type="dxa"/>
            <w:shd w:val="clear" w:color="auto" w:fill="C4EFCE"/>
            <w:noWrap/>
            <w:vAlign w:val="center"/>
            <w:hideMark/>
          </w:tcPr>
          <w:p w14:paraId="792AE747" w14:textId="77777777" w:rsidR="00A15990" w:rsidRDefault="00686A62">
            <w:pPr>
              <w:pStyle w:val="P68B1DB1-Normal8"/>
              <w:spacing w:after="0" w:line="240" w:lineRule="auto"/>
              <w:jc w:val="center"/>
              <w:rPr>
                <w:rFonts w:eastAsia="Times New Roman" w:cs="Calibri"/>
                <w:noProof/>
              </w:rPr>
            </w:pPr>
            <w:r>
              <w:rPr>
                <w:noProof/>
              </w:rPr>
              <w:t>Raport privind implementarea sistemului de clasificare, a profilului funcțional și a sistemului de semnalare a utilizatorilor</w:t>
            </w:r>
          </w:p>
        </w:tc>
        <w:tc>
          <w:tcPr>
            <w:tcW w:w="1164" w:type="dxa"/>
            <w:shd w:val="clear" w:color="auto" w:fill="C4EFCE"/>
            <w:noWrap/>
            <w:vAlign w:val="center"/>
            <w:hideMark/>
          </w:tcPr>
          <w:p w14:paraId="7DF78181"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1B3035AA"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238781B8"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208823D9"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21D3F18F" w14:textId="77777777" w:rsidR="00A15990" w:rsidRDefault="00686A62">
            <w:pPr>
              <w:pStyle w:val="P68B1DB1-Normal8"/>
              <w:spacing w:after="0" w:line="240" w:lineRule="auto"/>
              <w:jc w:val="center"/>
              <w:rPr>
                <w:rFonts w:eastAsia="Times New Roman" w:cs="Calibri"/>
                <w:noProof/>
              </w:rPr>
            </w:pPr>
            <w:r>
              <w:rPr>
                <w:noProof/>
              </w:rPr>
              <w:t>2021</w:t>
            </w:r>
          </w:p>
        </w:tc>
        <w:tc>
          <w:tcPr>
            <w:tcW w:w="3981" w:type="dxa"/>
            <w:shd w:val="clear" w:color="auto" w:fill="C4EFCE"/>
            <w:noWrap/>
            <w:vAlign w:val="center"/>
            <w:hideMark/>
          </w:tcPr>
          <w:p w14:paraId="5AE6B77D" w14:textId="77777777" w:rsidR="00A15990" w:rsidRDefault="00686A62">
            <w:pPr>
              <w:pStyle w:val="P68B1DB1-Normal8"/>
              <w:spacing w:after="0" w:line="240" w:lineRule="auto"/>
              <w:jc w:val="both"/>
              <w:rPr>
                <w:rFonts w:eastAsia="Times New Roman" w:cs="Calibri"/>
                <w:noProof/>
              </w:rPr>
            </w:pPr>
            <w:r>
              <w:rPr>
                <w:noProof/>
              </w:rPr>
              <w:t>Implementarea sistemului de clasificare, a profilului funcțional și a sistemului de semnalare a utilizatorilor, în vederea consolidării modelului regional de servicii integrate de îngrijire continuă din Madeira, precum și a coordonării și gestionării tehnice a acestuia.</w:t>
            </w:r>
          </w:p>
        </w:tc>
      </w:tr>
      <w:tr w:rsidR="00A15990" w14:paraId="1098BF06" w14:textId="77777777">
        <w:trPr>
          <w:trHeight w:val="1060"/>
        </w:trPr>
        <w:tc>
          <w:tcPr>
            <w:tcW w:w="1135" w:type="dxa"/>
            <w:shd w:val="clear" w:color="auto" w:fill="C4EFCE"/>
            <w:noWrap/>
            <w:vAlign w:val="center"/>
            <w:hideMark/>
          </w:tcPr>
          <w:p w14:paraId="67550639" w14:textId="77777777" w:rsidR="00A15990" w:rsidRDefault="00686A62">
            <w:pPr>
              <w:pStyle w:val="P68B1DB1-Normal7"/>
              <w:spacing w:after="0" w:line="240" w:lineRule="auto"/>
              <w:jc w:val="center"/>
              <w:rPr>
                <w:rFonts w:eastAsia="Times New Roman" w:cs="Calibri"/>
                <w:noProof/>
              </w:rPr>
            </w:pPr>
            <w:r>
              <w:rPr>
                <w:noProof/>
              </w:rPr>
              <w:t>1.30</w:t>
            </w:r>
          </w:p>
        </w:tc>
        <w:tc>
          <w:tcPr>
            <w:tcW w:w="1276" w:type="dxa"/>
            <w:shd w:val="clear" w:color="auto" w:fill="C4EFCE"/>
            <w:noWrap/>
            <w:vAlign w:val="center"/>
            <w:hideMark/>
          </w:tcPr>
          <w:p w14:paraId="43DCB444" w14:textId="77777777" w:rsidR="00A15990" w:rsidRDefault="00686A62">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04FC5C57"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606F1B98" w14:textId="77777777" w:rsidR="00A15990" w:rsidRDefault="00686A62">
            <w:pPr>
              <w:pStyle w:val="P68B1DB1-Normal8"/>
              <w:spacing w:after="0" w:line="240" w:lineRule="auto"/>
              <w:jc w:val="center"/>
              <w:rPr>
                <w:rFonts w:eastAsia="Times New Roman" w:cs="Calibri"/>
                <w:noProof/>
              </w:rPr>
            </w:pPr>
            <w:r>
              <w:rPr>
                <w:noProof/>
              </w:rPr>
              <w:t>Creșterea numărului de locuri în serviciile integrate de îngrijire continuă în cadrul serviciului regional de sănătate din Madeira</w:t>
            </w:r>
          </w:p>
        </w:tc>
        <w:tc>
          <w:tcPr>
            <w:tcW w:w="1418" w:type="dxa"/>
            <w:shd w:val="clear" w:color="auto" w:fill="C4EFCE"/>
            <w:noWrap/>
            <w:vAlign w:val="center"/>
            <w:hideMark/>
          </w:tcPr>
          <w:p w14:paraId="21827395" w14:textId="77777777" w:rsidR="00A15990" w:rsidRDefault="00686A62">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2498DB0B"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17180C84"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0A4DD6D" w14:textId="77777777" w:rsidR="00A15990" w:rsidRDefault="00686A62">
            <w:pPr>
              <w:pStyle w:val="P68B1DB1-Normal8"/>
              <w:spacing w:after="0" w:line="240" w:lineRule="auto"/>
              <w:jc w:val="center"/>
              <w:rPr>
                <w:rFonts w:eastAsia="Times New Roman" w:cs="Calibri"/>
                <w:noProof/>
              </w:rPr>
            </w:pPr>
            <w:r>
              <w:rPr>
                <w:noProof/>
              </w:rPr>
              <w:t>1 080</w:t>
            </w:r>
          </w:p>
        </w:tc>
        <w:tc>
          <w:tcPr>
            <w:tcW w:w="833" w:type="dxa"/>
            <w:gridSpan w:val="2"/>
            <w:shd w:val="clear" w:color="auto" w:fill="C4EFCE"/>
            <w:noWrap/>
            <w:vAlign w:val="center"/>
            <w:hideMark/>
          </w:tcPr>
          <w:p w14:paraId="1FCF5E4A"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7160FF7E" w14:textId="77777777"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13670F9" w14:textId="2575518F" w:rsidR="00A15990" w:rsidRDefault="00686A62">
            <w:pPr>
              <w:pStyle w:val="P68B1DB1-Normal8"/>
              <w:spacing w:after="0" w:line="240" w:lineRule="auto"/>
              <w:jc w:val="both"/>
              <w:rPr>
                <w:rFonts w:eastAsia="Times New Roman" w:cs="Calibri"/>
                <w:noProof/>
              </w:rPr>
            </w:pPr>
            <w:r>
              <w:rPr>
                <w:noProof/>
              </w:rPr>
              <w:t>Numărul de locuri noi și renovate create în cadrul serviciilor integrate de îngrijire continuă din cadrul serviciului regional de sănătate din Madeira, măsurat în ceea ce privește paturile noi și renovate, în general (inclusiv în unitățile de convalescență, pe termen mediu și de reabilitare, precum și în unitatea de întreținere și pe termen lung), serviciile de sănătate mintală și serviciile pediatrice. Aceasta include utilizarea sprijinului sub formă de granturi i) pentru construirea de noi infrastructuri de sănătate, care trebuie să aibă o cerere de energie primară cu cel puțin 20 % sub cerințele clădirilor al căror consum de energie este aproape egal cu zero; și ii) punerea în aplicare a renovării vizând eficiența energetică.</w:t>
            </w:r>
          </w:p>
        </w:tc>
      </w:tr>
      <w:tr w:rsidR="00A15990" w14:paraId="228353BC" w14:textId="77777777">
        <w:trPr>
          <w:trHeight w:val="300"/>
        </w:trPr>
        <w:tc>
          <w:tcPr>
            <w:tcW w:w="1135" w:type="dxa"/>
            <w:shd w:val="clear" w:color="auto" w:fill="C4EFCE"/>
            <w:noWrap/>
            <w:vAlign w:val="center"/>
            <w:hideMark/>
          </w:tcPr>
          <w:p w14:paraId="4EE5165B" w14:textId="77777777" w:rsidR="00A15990" w:rsidRDefault="00686A62">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45977E58" w14:textId="77777777" w:rsidR="00A15990" w:rsidRDefault="00686A62">
            <w:pPr>
              <w:pStyle w:val="P68B1DB1-Normal8"/>
              <w:spacing w:after="0" w:line="240" w:lineRule="auto"/>
              <w:jc w:val="center"/>
              <w:rPr>
                <w:rFonts w:eastAsia="Times New Roman" w:cs="Calibri"/>
                <w:noProof/>
              </w:rPr>
            </w:pPr>
            <w:r>
              <w:rPr>
                <w:noProof/>
              </w:rPr>
              <w:t>RE-C01-i05-RAM</w:t>
            </w:r>
          </w:p>
        </w:tc>
        <w:tc>
          <w:tcPr>
            <w:tcW w:w="992" w:type="dxa"/>
            <w:shd w:val="clear" w:color="auto" w:fill="C4EFCE"/>
            <w:noWrap/>
            <w:vAlign w:val="center"/>
            <w:hideMark/>
          </w:tcPr>
          <w:p w14:paraId="5FD6D547"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4FC0E06E" w14:textId="77777777" w:rsidR="00A15990" w:rsidRDefault="00686A62">
            <w:pPr>
              <w:pStyle w:val="P68B1DB1-Normal8"/>
              <w:spacing w:after="0" w:line="240" w:lineRule="auto"/>
              <w:jc w:val="center"/>
              <w:rPr>
                <w:rFonts w:eastAsia="Times New Roman" w:cs="Calibri"/>
                <w:noProof/>
              </w:rPr>
            </w:pPr>
            <w:r>
              <w:rPr>
                <w:noProof/>
              </w:rPr>
              <w:t>Renovarea serviciilor de asistență medicală primară în cadrul serviciului regional de sănătate din Madeira</w:t>
            </w:r>
          </w:p>
        </w:tc>
        <w:tc>
          <w:tcPr>
            <w:tcW w:w="1418" w:type="dxa"/>
            <w:shd w:val="clear" w:color="auto" w:fill="C4EFCE"/>
            <w:noWrap/>
            <w:vAlign w:val="center"/>
            <w:hideMark/>
          </w:tcPr>
          <w:p w14:paraId="356EBB6C" w14:textId="77777777" w:rsidR="00A15990" w:rsidRDefault="00686A62">
            <w:pPr>
              <w:pStyle w:val="P68B1DB1-Normal8"/>
              <w:spacing w:after="0" w:line="240" w:lineRule="auto"/>
              <w:jc w:val="center"/>
              <w:rPr>
                <w:rFonts w:eastAsia="Times New Roman" w:cs="Calibri"/>
                <w:noProof/>
              </w:rPr>
            </w:pPr>
            <w:r>
              <w:rPr>
                <w:noProof/>
              </w:rPr>
              <w:t xml:space="preserve"> </w:t>
            </w:r>
          </w:p>
        </w:tc>
        <w:tc>
          <w:tcPr>
            <w:tcW w:w="1164" w:type="dxa"/>
            <w:shd w:val="clear" w:color="auto" w:fill="C4EFCE"/>
            <w:noWrap/>
            <w:vAlign w:val="center"/>
            <w:hideMark/>
          </w:tcPr>
          <w:p w14:paraId="7418E171"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798DA9A1"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4AB16FD0" w14:textId="77777777" w:rsidR="00A15990" w:rsidRDefault="00686A62">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141B4ED0" w14:textId="77777777"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76AB49A4" w14:textId="77777777" w:rsidR="00A15990" w:rsidRDefault="00686A62">
            <w:pPr>
              <w:pStyle w:val="P68B1DB1-Normal8"/>
              <w:spacing w:after="0" w:line="240" w:lineRule="auto"/>
              <w:jc w:val="center"/>
              <w:rPr>
                <w:rFonts w:eastAsia="Times New Roman" w:cs="Calibri"/>
                <w:noProof/>
              </w:rPr>
            </w:pPr>
            <w:r>
              <w:rPr>
                <w:noProof/>
              </w:rPr>
              <w:t>2026</w:t>
            </w:r>
          </w:p>
        </w:tc>
        <w:tc>
          <w:tcPr>
            <w:tcW w:w="3981" w:type="dxa"/>
            <w:shd w:val="clear" w:color="auto" w:fill="C4EFCE"/>
            <w:noWrap/>
            <w:vAlign w:val="center"/>
            <w:hideMark/>
          </w:tcPr>
          <w:p w14:paraId="24350EBE" w14:textId="77777777" w:rsidR="00A15990" w:rsidRDefault="00686A62">
            <w:pPr>
              <w:pStyle w:val="P68B1DB1-Normal8"/>
              <w:spacing w:after="0" w:line="240" w:lineRule="auto"/>
              <w:jc w:val="both"/>
              <w:rPr>
                <w:rFonts w:eastAsia="Times New Roman" w:cs="Calibri"/>
                <w:noProof/>
              </w:rPr>
            </w:pPr>
            <w:r>
              <w:rPr>
                <w:noProof/>
              </w:rPr>
              <w:t>Numărul de unități de asistență medicală primară renovate din cadrul serviciului regional de sănătate din Madeira.</w:t>
            </w:r>
          </w:p>
        </w:tc>
      </w:tr>
      <w:tr w:rsidR="00A15990" w14:paraId="5DB36F90" w14:textId="77777777">
        <w:trPr>
          <w:trHeight w:val="640"/>
        </w:trPr>
        <w:tc>
          <w:tcPr>
            <w:tcW w:w="1135" w:type="dxa"/>
            <w:shd w:val="clear" w:color="auto" w:fill="C4EFCE"/>
            <w:noWrap/>
            <w:vAlign w:val="center"/>
            <w:hideMark/>
          </w:tcPr>
          <w:p w14:paraId="23301C6E" w14:textId="77777777" w:rsidR="00A15990" w:rsidRDefault="00686A62">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07BF663B" w14:textId="77777777" w:rsidR="00A15990" w:rsidRDefault="00686A62">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54C196BC"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1C09812" w14:textId="77777777" w:rsidR="00A15990" w:rsidRDefault="00686A62">
            <w:pPr>
              <w:pStyle w:val="P68B1DB1-Normal8"/>
              <w:spacing w:after="0" w:line="240" w:lineRule="auto"/>
              <w:jc w:val="center"/>
              <w:rPr>
                <w:rFonts w:eastAsia="Times New Roman" w:cs="Calibri"/>
                <w:noProof/>
              </w:rPr>
            </w:pPr>
            <w:r>
              <w:rPr>
                <w:noProof/>
              </w:rPr>
              <w:t>Modernizarea rețelelor locale de tehnologie a informației</w:t>
            </w:r>
          </w:p>
        </w:tc>
        <w:tc>
          <w:tcPr>
            <w:tcW w:w="1418" w:type="dxa"/>
            <w:shd w:val="clear" w:color="auto" w:fill="C4EFCE"/>
            <w:noWrap/>
            <w:vAlign w:val="center"/>
            <w:hideMark/>
          </w:tcPr>
          <w:p w14:paraId="7496A1FC"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51D12A45" w14:textId="77777777" w:rsidR="00A15990" w:rsidRDefault="00686A62">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604F7E4B"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4ACEC4B" w14:textId="77777777" w:rsidR="00A15990" w:rsidRDefault="00686A62">
            <w:pPr>
              <w:pStyle w:val="P68B1DB1-Normal8"/>
              <w:spacing w:after="0" w:line="240" w:lineRule="auto"/>
              <w:jc w:val="center"/>
              <w:rPr>
                <w:rFonts w:eastAsia="Times New Roman" w:cs="Calibri"/>
                <w:noProof/>
              </w:rPr>
            </w:pPr>
            <w:r>
              <w:rPr>
                <w:noProof/>
              </w:rPr>
              <w:t>90</w:t>
            </w:r>
          </w:p>
        </w:tc>
        <w:tc>
          <w:tcPr>
            <w:tcW w:w="833" w:type="dxa"/>
            <w:gridSpan w:val="2"/>
            <w:shd w:val="clear" w:color="auto" w:fill="C4EFCE"/>
            <w:noWrap/>
            <w:vAlign w:val="center"/>
            <w:hideMark/>
          </w:tcPr>
          <w:p w14:paraId="58F1EC69"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540758F3"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38EC5631" w14:textId="77777777" w:rsidR="00A15990" w:rsidRDefault="00686A62">
            <w:pPr>
              <w:pStyle w:val="P68B1DB1-Normal8"/>
              <w:spacing w:after="0" w:line="240" w:lineRule="auto"/>
              <w:jc w:val="both"/>
              <w:rPr>
                <w:rFonts w:eastAsia="Times New Roman" w:cs="Calibri"/>
                <w:noProof/>
              </w:rPr>
            </w:pPr>
            <w:r>
              <w:rPr>
                <w:noProof/>
              </w:rPr>
              <w:t>Procentul de rețele informatice locale modernizate din cadrul Serviciului Național de Sănătate, organizate și implementate de entitatea de servicii partajate din cadrul Ministerului Sănătății, care va deveni astfel capabilă să funcționeze în noul model de comunicații unificate (Voice over Internet Protocol).</w:t>
            </w:r>
          </w:p>
        </w:tc>
      </w:tr>
      <w:tr w:rsidR="00A15990" w14:paraId="1D239173" w14:textId="77777777">
        <w:trPr>
          <w:trHeight w:val="640"/>
        </w:trPr>
        <w:tc>
          <w:tcPr>
            <w:tcW w:w="1135" w:type="dxa"/>
            <w:shd w:val="clear" w:color="auto" w:fill="C4EFCE"/>
            <w:noWrap/>
            <w:vAlign w:val="center"/>
            <w:hideMark/>
          </w:tcPr>
          <w:p w14:paraId="47CBD861" w14:textId="77777777" w:rsidR="00A15990" w:rsidRDefault="00686A62">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238DEBF" w14:textId="77777777" w:rsidR="00A15990" w:rsidRDefault="00686A62">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0AC6399B"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719C984B" w14:textId="77777777" w:rsidR="00A15990" w:rsidRDefault="00686A62">
            <w:pPr>
              <w:pStyle w:val="P68B1DB1-Normal8"/>
              <w:spacing w:after="0" w:line="240" w:lineRule="auto"/>
              <w:jc w:val="center"/>
              <w:rPr>
                <w:rFonts w:eastAsia="Times New Roman" w:cs="Calibri"/>
                <w:noProof/>
              </w:rPr>
            </w:pPr>
            <w:r>
              <w:rPr>
                <w:noProof/>
              </w:rPr>
              <w:t>Implementarea funcționalităților pentru telesănătate și telemonitorizare</w:t>
            </w:r>
          </w:p>
        </w:tc>
        <w:tc>
          <w:tcPr>
            <w:tcW w:w="1418" w:type="dxa"/>
            <w:shd w:val="clear" w:color="auto" w:fill="C4EFCE"/>
            <w:noWrap/>
            <w:vAlign w:val="center"/>
            <w:hideMark/>
          </w:tcPr>
          <w:p w14:paraId="1F8B5CCD"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4073D926" w14:textId="77777777" w:rsidR="00A15990" w:rsidRDefault="00686A62">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375E54E1"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38EB1FEB" w14:textId="77777777" w:rsidR="00A15990" w:rsidRDefault="00686A62">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2F344E98"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04B7D6FE" w14:textId="77777777" w:rsidR="00A15990" w:rsidRDefault="00686A62">
            <w:pPr>
              <w:pStyle w:val="P68B1DB1-Normal8"/>
              <w:spacing w:after="0" w:line="240" w:lineRule="auto"/>
              <w:jc w:val="center"/>
              <w:rPr>
                <w:rFonts w:eastAsia="Times New Roman" w:cs="Calibri"/>
                <w:noProof/>
              </w:rPr>
            </w:pPr>
            <w:r>
              <w:rPr>
                <w:noProof/>
              </w:rPr>
              <w:t>2022</w:t>
            </w:r>
          </w:p>
        </w:tc>
        <w:tc>
          <w:tcPr>
            <w:tcW w:w="3981" w:type="dxa"/>
            <w:shd w:val="clear" w:color="auto" w:fill="C4EFCE"/>
            <w:noWrap/>
            <w:vAlign w:val="center"/>
            <w:hideMark/>
          </w:tcPr>
          <w:p w14:paraId="1BBF837A" w14:textId="77777777" w:rsidR="00A15990" w:rsidRDefault="00686A62">
            <w:pPr>
              <w:pStyle w:val="P68B1DB1-Normal8"/>
              <w:spacing w:after="0" w:line="240" w:lineRule="auto"/>
              <w:jc w:val="both"/>
              <w:rPr>
                <w:rFonts w:eastAsia="Times New Roman" w:cs="Calibri"/>
                <w:noProof/>
              </w:rPr>
            </w:pPr>
            <w:r>
              <w:rPr>
                <w:noProof/>
              </w:rPr>
              <w:t>Procentul de utilizatori care au acces la noi funcționalități de telesănătate și de telemonitorizare, care permit furnizarea de servicii de asistență medicală la distanță, sporind astfel nivelurile de acces la asistență medicală și participarea cetățenilor la procesul de colectare și tratare a informațiilor de la distanță.</w:t>
            </w:r>
          </w:p>
        </w:tc>
      </w:tr>
      <w:tr w:rsidR="00A15990" w14:paraId="6B7A654B" w14:textId="77777777">
        <w:trPr>
          <w:trHeight w:val="414"/>
        </w:trPr>
        <w:tc>
          <w:tcPr>
            <w:tcW w:w="1135" w:type="dxa"/>
            <w:shd w:val="clear" w:color="auto" w:fill="C4EFCE"/>
            <w:noWrap/>
            <w:vAlign w:val="center"/>
            <w:hideMark/>
          </w:tcPr>
          <w:p w14:paraId="788FB01B" w14:textId="77777777" w:rsidR="00A15990" w:rsidRDefault="00686A62">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3B63F904" w14:textId="77777777" w:rsidR="00A15990" w:rsidRDefault="00686A62">
            <w:pPr>
              <w:pStyle w:val="P68B1DB1-Normal8"/>
              <w:spacing w:after="0" w:line="240" w:lineRule="auto"/>
              <w:jc w:val="center"/>
              <w:rPr>
                <w:rFonts w:eastAsia="Times New Roman" w:cs="Calibri"/>
                <w:noProof/>
              </w:rPr>
            </w:pPr>
            <w:r>
              <w:rPr>
                <w:noProof/>
              </w:rPr>
              <w:t>RE-C01-i06</w:t>
            </w:r>
          </w:p>
        </w:tc>
        <w:tc>
          <w:tcPr>
            <w:tcW w:w="992" w:type="dxa"/>
            <w:shd w:val="clear" w:color="auto" w:fill="C4EFCE"/>
            <w:noWrap/>
            <w:vAlign w:val="center"/>
            <w:hideMark/>
          </w:tcPr>
          <w:p w14:paraId="0554D603"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2A2F67A" w14:textId="77777777" w:rsidR="00A15990" w:rsidRDefault="00686A62">
            <w:pPr>
              <w:pStyle w:val="P68B1DB1-Normal8"/>
              <w:spacing w:after="0" w:line="240" w:lineRule="auto"/>
              <w:jc w:val="center"/>
              <w:rPr>
                <w:rFonts w:eastAsia="Times New Roman" w:cs="Calibri"/>
                <w:noProof/>
              </w:rPr>
            </w:pPr>
            <w:r>
              <w:rPr>
                <w:noProof/>
              </w:rPr>
              <w:t>Punerea în aplicare a modulelor administrative din domeniul tehnologiei informației, a modulelor clinice de bază și a modulelor clinice de urgență</w:t>
            </w:r>
          </w:p>
        </w:tc>
        <w:tc>
          <w:tcPr>
            <w:tcW w:w="1418" w:type="dxa"/>
            <w:shd w:val="clear" w:color="auto" w:fill="C4EFCE"/>
            <w:noWrap/>
            <w:vAlign w:val="center"/>
            <w:hideMark/>
          </w:tcPr>
          <w:p w14:paraId="60D66170"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B64EB98" w14:textId="77777777" w:rsidR="00A15990" w:rsidRDefault="00686A62">
            <w:pPr>
              <w:pStyle w:val="P68B1DB1-Normal8"/>
              <w:spacing w:after="0" w:line="240" w:lineRule="auto"/>
              <w:jc w:val="center"/>
              <w:rPr>
                <w:rFonts w:eastAsia="Times New Roman" w:cs="Calibri"/>
                <w:noProof/>
              </w:rPr>
            </w:pPr>
            <w:r>
              <w:rPr>
                <w:noProof/>
              </w:rPr>
              <w:t>%</w:t>
            </w:r>
          </w:p>
        </w:tc>
        <w:tc>
          <w:tcPr>
            <w:tcW w:w="962" w:type="dxa"/>
            <w:shd w:val="clear" w:color="auto" w:fill="C4EFCE"/>
            <w:noWrap/>
            <w:vAlign w:val="center"/>
            <w:hideMark/>
          </w:tcPr>
          <w:p w14:paraId="09AEDAE6"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14105145" w14:textId="77777777" w:rsidR="00A15990" w:rsidRDefault="00686A62">
            <w:pPr>
              <w:pStyle w:val="P68B1DB1-Normal8"/>
              <w:spacing w:after="0" w:line="240" w:lineRule="auto"/>
              <w:jc w:val="center"/>
              <w:rPr>
                <w:rFonts w:eastAsia="Times New Roman" w:cs="Calibri"/>
                <w:noProof/>
              </w:rPr>
            </w:pPr>
            <w:r>
              <w:rPr>
                <w:noProof/>
              </w:rPr>
              <w:t>15</w:t>
            </w:r>
          </w:p>
        </w:tc>
        <w:tc>
          <w:tcPr>
            <w:tcW w:w="833" w:type="dxa"/>
            <w:gridSpan w:val="2"/>
            <w:shd w:val="clear" w:color="auto" w:fill="C4EFCE"/>
            <w:noWrap/>
            <w:vAlign w:val="center"/>
            <w:hideMark/>
          </w:tcPr>
          <w:p w14:paraId="510A81E2" w14:textId="20C69EC3" w:rsidR="00A15990" w:rsidRDefault="00686A62">
            <w:pPr>
              <w:pStyle w:val="P68B1DB1-Normal8"/>
              <w:spacing w:after="0" w:line="240" w:lineRule="auto"/>
              <w:jc w:val="center"/>
              <w:rPr>
                <w:rFonts w:eastAsia="Times New Roman" w:cs="Calibri"/>
                <w:noProof/>
              </w:rPr>
            </w:pPr>
            <w:r>
              <w:rPr>
                <w:noProof/>
              </w:rPr>
              <w:t>TRIMESTRUL 2</w:t>
            </w:r>
          </w:p>
        </w:tc>
        <w:tc>
          <w:tcPr>
            <w:tcW w:w="901" w:type="dxa"/>
            <w:shd w:val="clear" w:color="auto" w:fill="C4EFCE"/>
            <w:noWrap/>
            <w:vAlign w:val="center"/>
            <w:hideMark/>
          </w:tcPr>
          <w:p w14:paraId="1B258F53" w14:textId="7EC56113"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0AF81CED" w14:textId="77777777" w:rsidR="00A15990" w:rsidRDefault="00686A62">
            <w:pPr>
              <w:pStyle w:val="P68B1DB1-Normal8"/>
              <w:spacing w:after="0" w:line="240" w:lineRule="auto"/>
              <w:jc w:val="both"/>
              <w:rPr>
                <w:rFonts w:eastAsia="Times New Roman" w:cs="Calibri"/>
                <w:noProof/>
              </w:rPr>
            </w:pPr>
            <w:r>
              <w:rPr>
                <w:noProof/>
              </w:rPr>
              <w:t>Procentul profesioniștilor din domeniul sănătății care au acces la module integrate de tehnologie a informației, module clinice de bază și module clinice de urgență pentru: I) înregistrarea și consultarea informațiilor clinice din sfera asistenței medicale primare, spitalicești și continue, pentru a asigura disponibilitatea și integrarea informațiilor privind sănătatea, precum și pentru a asigura o mai mare siguranță a utilizatorilor și a cadrelor medicale; și ii) registrul de urgență, registrul de asistență medicală și telemonitorizarea serviciilor de asistență medicală.</w:t>
            </w:r>
          </w:p>
        </w:tc>
      </w:tr>
      <w:tr w:rsidR="00A15990" w14:paraId="2D39C445" w14:textId="77777777">
        <w:trPr>
          <w:trHeight w:val="640"/>
        </w:trPr>
        <w:tc>
          <w:tcPr>
            <w:tcW w:w="1135" w:type="dxa"/>
            <w:shd w:val="clear" w:color="auto" w:fill="C4EFCE"/>
            <w:noWrap/>
            <w:vAlign w:val="center"/>
            <w:hideMark/>
          </w:tcPr>
          <w:p w14:paraId="518CED19" w14:textId="77777777" w:rsidR="00A15990" w:rsidRDefault="00686A62">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2670C5DB" w14:textId="77777777" w:rsidR="00A15990" w:rsidRDefault="00686A62">
            <w:pPr>
              <w:pStyle w:val="P68B1DB1-Normal8"/>
              <w:spacing w:after="0" w:line="240" w:lineRule="auto"/>
              <w:jc w:val="center"/>
              <w:rPr>
                <w:rFonts w:eastAsia="Times New Roman" w:cs="Calibri"/>
                <w:noProof/>
              </w:rPr>
            </w:pPr>
            <w:r>
              <w:rPr>
                <w:noProof/>
              </w:rPr>
              <w:t>RE-C01-i07-RAM</w:t>
            </w:r>
          </w:p>
        </w:tc>
        <w:tc>
          <w:tcPr>
            <w:tcW w:w="992" w:type="dxa"/>
            <w:shd w:val="clear" w:color="auto" w:fill="C4EFCE"/>
            <w:noWrap/>
            <w:vAlign w:val="center"/>
            <w:hideMark/>
          </w:tcPr>
          <w:p w14:paraId="4F631A01"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27E98217" w14:textId="77777777" w:rsidR="00A15990" w:rsidRDefault="00686A62">
            <w:pPr>
              <w:pStyle w:val="P68B1DB1-Normal8"/>
              <w:spacing w:after="0" w:line="240" w:lineRule="auto"/>
              <w:jc w:val="center"/>
              <w:rPr>
                <w:rFonts w:eastAsia="Times New Roman" w:cs="Calibri"/>
                <w:noProof/>
              </w:rPr>
            </w:pPr>
            <w:r>
              <w:rPr>
                <w:noProof/>
              </w:rPr>
              <w:t>Echipament informatic nou pentru serviciul regional de sănătate din Madeira</w:t>
            </w:r>
          </w:p>
        </w:tc>
        <w:tc>
          <w:tcPr>
            <w:tcW w:w="1418" w:type="dxa"/>
            <w:shd w:val="clear" w:color="auto" w:fill="C4EFCE"/>
            <w:noWrap/>
            <w:vAlign w:val="center"/>
            <w:hideMark/>
          </w:tcPr>
          <w:p w14:paraId="44306B25"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08B4C87"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4B03819A"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608FD160" w14:textId="77777777" w:rsidR="00A15990" w:rsidRDefault="00686A62">
            <w:pPr>
              <w:pStyle w:val="P68B1DB1-Normal8"/>
              <w:spacing w:after="0" w:line="240" w:lineRule="auto"/>
              <w:jc w:val="center"/>
              <w:rPr>
                <w:rFonts w:eastAsia="Times New Roman" w:cs="Calibri"/>
                <w:noProof/>
              </w:rPr>
            </w:pPr>
            <w:r>
              <w:rPr>
                <w:noProof/>
              </w:rPr>
              <w:t>3 600</w:t>
            </w:r>
          </w:p>
        </w:tc>
        <w:tc>
          <w:tcPr>
            <w:tcW w:w="833" w:type="dxa"/>
            <w:gridSpan w:val="2"/>
            <w:shd w:val="clear" w:color="auto" w:fill="C4EFCE"/>
            <w:noWrap/>
            <w:vAlign w:val="center"/>
            <w:hideMark/>
          </w:tcPr>
          <w:p w14:paraId="08604750" w14:textId="77777777" w:rsidR="00A15990" w:rsidRDefault="00686A62">
            <w:pPr>
              <w:pStyle w:val="P68B1DB1-Normal8"/>
              <w:spacing w:after="0" w:line="240" w:lineRule="auto"/>
              <w:jc w:val="center"/>
              <w:rPr>
                <w:rFonts w:eastAsia="Times New Roman" w:cs="Calibri"/>
                <w:noProof/>
              </w:rPr>
            </w:pPr>
            <w:r>
              <w:rPr>
                <w:noProof/>
              </w:rPr>
              <w:t>TRIMESTRUL 4</w:t>
            </w:r>
          </w:p>
        </w:tc>
        <w:tc>
          <w:tcPr>
            <w:tcW w:w="901" w:type="dxa"/>
            <w:shd w:val="clear" w:color="auto" w:fill="C4EFCE"/>
            <w:noWrap/>
            <w:vAlign w:val="center"/>
            <w:hideMark/>
          </w:tcPr>
          <w:p w14:paraId="709C9011" w14:textId="77777777" w:rsidR="00A15990" w:rsidRDefault="00686A62">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414FCB5F" w14:textId="77777777" w:rsidR="00A15990" w:rsidRDefault="00686A62">
            <w:pPr>
              <w:pStyle w:val="P68B1DB1-Normal8"/>
              <w:spacing w:after="0" w:line="240" w:lineRule="auto"/>
              <w:jc w:val="both"/>
              <w:rPr>
                <w:rFonts w:eastAsia="Times New Roman" w:cs="Calibri"/>
                <w:noProof/>
              </w:rPr>
            </w:pPr>
            <w:r>
              <w:rPr>
                <w:noProof/>
              </w:rPr>
              <w:t>Numărul de echipamente informatice noi pentru serviciul regional de sănătate din Madeira pentru a monitoriza și a asigura o mai mare apropiere de utilizatorii serviciului regional de sănătate din Madeira, pentru a promova o reducere a riscului de erori, precum și pentru a stimula eficiența și accesul rapid la datele utilizatorilor.</w:t>
            </w:r>
          </w:p>
        </w:tc>
      </w:tr>
      <w:tr w:rsidR="00A15990" w14:paraId="3B6BEA0A" w14:textId="77777777">
        <w:trPr>
          <w:trHeight w:val="430"/>
        </w:trPr>
        <w:tc>
          <w:tcPr>
            <w:tcW w:w="1135" w:type="dxa"/>
            <w:shd w:val="clear" w:color="auto" w:fill="C4EFCE"/>
            <w:noWrap/>
            <w:vAlign w:val="center"/>
            <w:hideMark/>
          </w:tcPr>
          <w:p w14:paraId="1C2B4CDB" w14:textId="77777777" w:rsidR="00A15990" w:rsidRDefault="00686A62">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44303377" w14:textId="77777777" w:rsidR="00A15990" w:rsidRDefault="00686A62">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08334822"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62E30B" w14:textId="77777777" w:rsidR="00A15990" w:rsidRDefault="00686A62">
            <w:pPr>
              <w:pStyle w:val="P68B1DB1-Normal8"/>
              <w:spacing w:after="0" w:line="240" w:lineRule="auto"/>
              <w:jc w:val="center"/>
              <w:rPr>
                <w:rFonts w:eastAsia="Times New Roman" w:cs="Calibri"/>
                <w:noProof/>
              </w:rPr>
            </w:pPr>
            <w:r>
              <w:rPr>
                <w:noProof/>
              </w:rPr>
              <w:t>Acces sporit la portalul utilizatorilor serviciului regional de sănătate din Azore</w:t>
            </w:r>
          </w:p>
        </w:tc>
        <w:tc>
          <w:tcPr>
            <w:tcW w:w="1418" w:type="dxa"/>
            <w:shd w:val="clear" w:color="auto" w:fill="C4EFCE"/>
            <w:noWrap/>
            <w:vAlign w:val="center"/>
            <w:hideMark/>
          </w:tcPr>
          <w:p w14:paraId="16ACFAA9"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0518DAD3"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258F7153"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FB3820" w14:textId="77777777" w:rsidR="00A15990" w:rsidRDefault="00686A62">
            <w:pPr>
              <w:pStyle w:val="P68B1DB1-Normal8"/>
              <w:spacing w:after="0" w:line="240" w:lineRule="auto"/>
              <w:jc w:val="center"/>
              <w:rPr>
                <w:rFonts w:eastAsia="Times New Roman" w:cs="Calibri"/>
                <w:noProof/>
              </w:rPr>
            </w:pPr>
            <w:r>
              <w:rPr>
                <w:noProof/>
              </w:rPr>
              <w:t>25 000</w:t>
            </w:r>
          </w:p>
        </w:tc>
        <w:tc>
          <w:tcPr>
            <w:tcW w:w="833" w:type="dxa"/>
            <w:gridSpan w:val="2"/>
            <w:shd w:val="clear" w:color="auto" w:fill="C4EFCE"/>
            <w:noWrap/>
            <w:vAlign w:val="center"/>
            <w:hideMark/>
          </w:tcPr>
          <w:p w14:paraId="62A4D53A" w14:textId="77777777" w:rsidR="00A15990" w:rsidRDefault="00686A62">
            <w:pPr>
              <w:pStyle w:val="P68B1DB1-Normal8"/>
              <w:spacing w:after="0" w:line="240" w:lineRule="auto"/>
              <w:jc w:val="center"/>
              <w:rPr>
                <w:rFonts w:eastAsia="Times New Roman" w:cs="Calibri"/>
                <w:noProof/>
              </w:rPr>
            </w:pPr>
            <w:r>
              <w:rPr>
                <w:noProof/>
              </w:rPr>
              <w:t>TRIMESTRUL 3</w:t>
            </w:r>
          </w:p>
        </w:tc>
        <w:tc>
          <w:tcPr>
            <w:tcW w:w="901" w:type="dxa"/>
            <w:shd w:val="clear" w:color="auto" w:fill="C4EFCE"/>
            <w:noWrap/>
            <w:vAlign w:val="center"/>
            <w:hideMark/>
          </w:tcPr>
          <w:p w14:paraId="6894F559" w14:textId="77777777"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35954B06" w14:textId="77777777" w:rsidR="00A15990" w:rsidRDefault="00686A62">
            <w:pPr>
              <w:pStyle w:val="P68B1DB1-Normal8"/>
              <w:spacing w:after="0" w:line="240" w:lineRule="auto"/>
              <w:jc w:val="both"/>
              <w:rPr>
                <w:rFonts w:eastAsia="Times New Roman" w:cs="Calibri"/>
                <w:noProof/>
              </w:rPr>
            </w:pPr>
            <w:r>
              <w:rPr>
                <w:noProof/>
              </w:rPr>
              <w:t>Numărul de utilizatori individuali anuali suplimentari care accesează portalul pentru utilizatori al serviciului regional de sănătate din Azore, datorită extinderii serviciilor digitale de sănătate și a informațiilor medicale disponibile în cadrul acestuia.</w:t>
            </w:r>
          </w:p>
        </w:tc>
      </w:tr>
      <w:tr w:rsidR="00A15990" w14:paraId="2C6F55F9" w14:textId="77777777">
        <w:trPr>
          <w:trHeight w:val="430"/>
        </w:trPr>
        <w:tc>
          <w:tcPr>
            <w:tcW w:w="1135" w:type="dxa"/>
            <w:shd w:val="clear" w:color="auto" w:fill="C4EFCE"/>
            <w:noWrap/>
            <w:vAlign w:val="center"/>
            <w:hideMark/>
          </w:tcPr>
          <w:p w14:paraId="35FE58B3" w14:textId="77777777" w:rsidR="00A15990" w:rsidRDefault="00686A62">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799DA769" w14:textId="77777777" w:rsidR="00A15990" w:rsidRDefault="00686A62">
            <w:pPr>
              <w:pStyle w:val="P68B1DB1-Normal8"/>
              <w:spacing w:after="0" w:line="240" w:lineRule="auto"/>
              <w:jc w:val="center"/>
              <w:rPr>
                <w:rFonts w:eastAsia="Times New Roman" w:cs="Calibri"/>
                <w:noProof/>
              </w:rPr>
            </w:pPr>
            <w:r>
              <w:rPr>
                <w:noProof/>
              </w:rPr>
              <w:t>RE-C01-i08-RAA</w:t>
            </w:r>
          </w:p>
        </w:tc>
        <w:tc>
          <w:tcPr>
            <w:tcW w:w="992" w:type="dxa"/>
            <w:shd w:val="clear" w:color="auto" w:fill="C4EFCE"/>
            <w:noWrap/>
            <w:vAlign w:val="center"/>
            <w:hideMark/>
          </w:tcPr>
          <w:p w14:paraId="302C65ED" w14:textId="77777777"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hideMark/>
          </w:tcPr>
          <w:p w14:paraId="324EF576" w14:textId="77777777" w:rsidR="00A15990" w:rsidRDefault="00686A62">
            <w:pPr>
              <w:pStyle w:val="P68B1DB1-Normal8"/>
              <w:spacing w:after="0" w:line="240" w:lineRule="auto"/>
              <w:jc w:val="center"/>
              <w:rPr>
                <w:rFonts w:eastAsia="Times New Roman" w:cs="Calibri"/>
                <w:noProof/>
              </w:rPr>
            </w:pPr>
            <w:r>
              <w:rPr>
                <w:noProof/>
              </w:rPr>
              <w:t>Introducerea programărilor de telemedicină în cadrul serviciului regional de sănătate din Azore</w:t>
            </w:r>
          </w:p>
        </w:tc>
        <w:tc>
          <w:tcPr>
            <w:tcW w:w="1418" w:type="dxa"/>
            <w:shd w:val="clear" w:color="auto" w:fill="C4EFCE"/>
            <w:noWrap/>
            <w:vAlign w:val="center"/>
            <w:hideMark/>
          </w:tcPr>
          <w:p w14:paraId="1A2B8AD5" w14:textId="77777777" w:rsidR="00A15990" w:rsidRDefault="00686A62">
            <w:pPr>
              <w:pStyle w:val="P68B1DB1-Normal8"/>
              <w:spacing w:after="0" w:line="240" w:lineRule="auto"/>
              <w:jc w:val="center"/>
              <w:rPr>
                <w:rFonts w:eastAsia="Times New Roman" w:cs="Calibri"/>
                <w:noProof/>
              </w:rPr>
            </w:pPr>
            <w:r>
              <w:rPr>
                <w:noProof/>
              </w:rPr>
              <w:t> </w:t>
            </w:r>
          </w:p>
        </w:tc>
        <w:tc>
          <w:tcPr>
            <w:tcW w:w="1164" w:type="dxa"/>
            <w:shd w:val="clear" w:color="auto" w:fill="C4EFCE"/>
            <w:noWrap/>
            <w:vAlign w:val="center"/>
            <w:hideMark/>
          </w:tcPr>
          <w:p w14:paraId="1379D47D" w14:textId="77777777"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hideMark/>
          </w:tcPr>
          <w:p w14:paraId="43D98159" w14:textId="77777777"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hideMark/>
          </w:tcPr>
          <w:p w14:paraId="0A44072E" w14:textId="77777777" w:rsidR="00A15990" w:rsidRDefault="00686A62">
            <w:pPr>
              <w:pStyle w:val="P68B1DB1-Normal8"/>
              <w:spacing w:after="0" w:line="240" w:lineRule="auto"/>
              <w:jc w:val="center"/>
              <w:rPr>
                <w:rFonts w:eastAsia="Times New Roman" w:cs="Calibri"/>
                <w:noProof/>
              </w:rPr>
            </w:pPr>
            <w:r>
              <w:rPr>
                <w:noProof/>
              </w:rPr>
              <w:t>1 000</w:t>
            </w:r>
          </w:p>
        </w:tc>
        <w:tc>
          <w:tcPr>
            <w:tcW w:w="833" w:type="dxa"/>
            <w:gridSpan w:val="2"/>
            <w:shd w:val="clear" w:color="auto" w:fill="C4EFCE"/>
            <w:noWrap/>
            <w:vAlign w:val="center"/>
            <w:hideMark/>
          </w:tcPr>
          <w:p w14:paraId="6ED42D00" w14:textId="77777777" w:rsidR="00A15990" w:rsidRDefault="00686A62">
            <w:pPr>
              <w:pStyle w:val="P68B1DB1-Normal8"/>
              <w:spacing w:after="0" w:line="240" w:lineRule="auto"/>
              <w:jc w:val="center"/>
              <w:rPr>
                <w:rFonts w:eastAsia="Times New Roman" w:cs="Calibri"/>
                <w:noProof/>
              </w:rPr>
            </w:pPr>
            <w:r>
              <w:rPr>
                <w:noProof/>
              </w:rPr>
              <w:t>TRIMESTRUL 3</w:t>
            </w:r>
          </w:p>
        </w:tc>
        <w:tc>
          <w:tcPr>
            <w:tcW w:w="901" w:type="dxa"/>
            <w:shd w:val="clear" w:color="auto" w:fill="C4EFCE"/>
            <w:noWrap/>
            <w:vAlign w:val="center"/>
            <w:hideMark/>
          </w:tcPr>
          <w:p w14:paraId="5CCF492B" w14:textId="77777777" w:rsidR="00A15990" w:rsidRDefault="00686A62">
            <w:pPr>
              <w:pStyle w:val="P68B1DB1-Normal8"/>
              <w:spacing w:after="0" w:line="240" w:lineRule="auto"/>
              <w:jc w:val="center"/>
              <w:rPr>
                <w:rFonts w:eastAsia="Times New Roman" w:cs="Calibri"/>
                <w:noProof/>
              </w:rPr>
            </w:pPr>
            <w:r>
              <w:rPr>
                <w:noProof/>
              </w:rPr>
              <w:t>2024</w:t>
            </w:r>
          </w:p>
        </w:tc>
        <w:tc>
          <w:tcPr>
            <w:tcW w:w="3981" w:type="dxa"/>
            <w:shd w:val="clear" w:color="auto" w:fill="C4EFCE"/>
            <w:noWrap/>
            <w:vAlign w:val="center"/>
            <w:hideMark/>
          </w:tcPr>
          <w:p w14:paraId="1736CD51" w14:textId="77777777" w:rsidR="00A15990" w:rsidRDefault="00686A62">
            <w:pPr>
              <w:pStyle w:val="P68B1DB1-Normal8"/>
              <w:spacing w:after="0" w:line="240" w:lineRule="auto"/>
              <w:jc w:val="both"/>
              <w:rPr>
                <w:rFonts w:eastAsia="Times New Roman" w:cs="Calibri"/>
                <w:noProof/>
              </w:rPr>
            </w:pPr>
            <w:r>
              <w:rPr>
                <w:noProof/>
              </w:rPr>
              <w:t>Numărul de programări anuale de telemedicină în cadrul serviciilor de asistență medicală primară și cu specialiști medicali în cadrul serviciului regional de sănătate din Azore.</w:t>
            </w:r>
          </w:p>
        </w:tc>
      </w:tr>
      <w:tr w:rsidR="00A15990" w14:paraId="0EE038BE" w14:textId="77777777">
        <w:trPr>
          <w:trHeight w:val="640"/>
        </w:trPr>
        <w:tc>
          <w:tcPr>
            <w:tcW w:w="1135" w:type="dxa"/>
            <w:shd w:val="clear" w:color="auto" w:fill="C4EFCE"/>
            <w:noWrap/>
            <w:vAlign w:val="center"/>
          </w:tcPr>
          <w:p w14:paraId="31A01111" w14:textId="4FBAFE14" w:rsidR="00A15990" w:rsidRDefault="00686A62">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tcPr>
          <w:p w14:paraId="64BB902A" w14:textId="53831F49" w:rsidR="00A15990" w:rsidRDefault="00686A62">
            <w:pPr>
              <w:pStyle w:val="P68B1DB1-Normal8"/>
              <w:spacing w:after="0" w:line="240" w:lineRule="auto"/>
              <w:jc w:val="center"/>
              <w:rPr>
                <w:rFonts w:eastAsia="Times New Roman" w:cs="Calibri"/>
                <w:noProof/>
              </w:rPr>
            </w:pPr>
            <w:r>
              <w:rPr>
                <w:noProof/>
              </w:rPr>
              <w:t>RE-C01-i09</w:t>
            </w:r>
          </w:p>
        </w:tc>
        <w:tc>
          <w:tcPr>
            <w:tcW w:w="992" w:type="dxa"/>
            <w:shd w:val="clear" w:color="auto" w:fill="C4EFCE"/>
            <w:noWrap/>
            <w:vAlign w:val="center"/>
          </w:tcPr>
          <w:p w14:paraId="0A96970B" w14:textId="156C1E6E" w:rsidR="00A15990" w:rsidRDefault="00686A62">
            <w:pPr>
              <w:pStyle w:val="P68B1DB1-Normal8"/>
              <w:spacing w:after="0" w:line="240" w:lineRule="auto"/>
              <w:jc w:val="center"/>
              <w:rPr>
                <w:rFonts w:eastAsia="Times New Roman" w:cs="Calibri"/>
                <w:noProof/>
              </w:rPr>
            </w:pPr>
            <w:r>
              <w:rPr>
                <w:noProof/>
              </w:rPr>
              <w:t>T</w:t>
            </w:r>
          </w:p>
        </w:tc>
        <w:tc>
          <w:tcPr>
            <w:tcW w:w="1843" w:type="dxa"/>
            <w:shd w:val="clear" w:color="auto" w:fill="C4EFCE"/>
            <w:noWrap/>
            <w:vAlign w:val="center"/>
          </w:tcPr>
          <w:p w14:paraId="4E2D372B" w14:textId="0E63E0C8" w:rsidR="00A15990" w:rsidRDefault="00686A62">
            <w:pPr>
              <w:pStyle w:val="P68B1DB1-Normal8"/>
              <w:spacing w:after="0" w:line="240" w:lineRule="auto"/>
              <w:jc w:val="center"/>
              <w:rPr>
                <w:rFonts w:eastAsia="Times New Roman" w:cs="Calibri"/>
                <w:noProof/>
              </w:rPr>
            </w:pPr>
            <w:r>
              <w:rPr>
                <w:noProof/>
              </w:rPr>
              <w:t>Finalizarea punerii în aplicare în școli a programelor „School Sports Community” și „School Sports on Wheels”</w:t>
            </w:r>
          </w:p>
        </w:tc>
        <w:tc>
          <w:tcPr>
            <w:tcW w:w="1418" w:type="dxa"/>
            <w:shd w:val="clear" w:color="auto" w:fill="C4EFCE"/>
            <w:noWrap/>
            <w:vAlign w:val="center"/>
          </w:tcPr>
          <w:p w14:paraId="37AA52F9" w14:textId="77777777" w:rsidR="00A15990" w:rsidRDefault="00A15990">
            <w:pPr>
              <w:spacing w:after="0" w:line="240" w:lineRule="auto"/>
              <w:jc w:val="center"/>
              <w:rPr>
                <w:rFonts w:ascii="Calibri" w:eastAsia="Times New Roman" w:hAnsi="Calibri" w:cs="Calibri"/>
                <w:noProof/>
                <w:sz w:val="16"/>
              </w:rPr>
            </w:pPr>
          </w:p>
        </w:tc>
        <w:tc>
          <w:tcPr>
            <w:tcW w:w="1164" w:type="dxa"/>
            <w:shd w:val="clear" w:color="auto" w:fill="C4EFCE"/>
            <w:noWrap/>
            <w:vAlign w:val="center"/>
          </w:tcPr>
          <w:p w14:paraId="1C3DF8F2" w14:textId="15771FE2" w:rsidR="00A15990" w:rsidRDefault="00686A62">
            <w:pPr>
              <w:pStyle w:val="P68B1DB1-Normal8"/>
              <w:spacing w:after="0" w:line="240" w:lineRule="auto"/>
              <w:jc w:val="center"/>
              <w:rPr>
                <w:rFonts w:eastAsia="Times New Roman" w:cs="Calibri"/>
                <w:noProof/>
              </w:rPr>
            </w:pPr>
            <w:r>
              <w:rPr>
                <w:noProof/>
              </w:rPr>
              <w:t>Numărul</w:t>
            </w:r>
          </w:p>
        </w:tc>
        <w:tc>
          <w:tcPr>
            <w:tcW w:w="962" w:type="dxa"/>
            <w:shd w:val="clear" w:color="auto" w:fill="C4EFCE"/>
            <w:noWrap/>
            <w:vAlign w:val="center"/>
          </w:tcPr>
          <w:p w14:paraId="10841144" w14:textId="7A4A9BBC" w:rsidR="00A15990" w:rsidRDefault="00686A62">
            <w:pPr>
              <w:pStyle w:val="P68B1DB1-Normal8"/>
              <w:spacing w:after="0" w:line="240" w:lineRule="auto"/>
              <w:jc w:val="center"/>
              <w:rPr>
                <w:rFonts w:eastAsia="Times New Roman" w:cs="Calibri"/>
                <w:noProof/>
              </w:rPr>
            </w:pPr>
            <w:r>
              <w:rPr>
                <w:noProof/>
              </w:rPr>
              <w:t>0</w:t>
            </w:r>
          </w:p>
        </w:tc>
        <w:tc>
          <w:tcPr>
            <w:tcW w:w="805" w:type="dxa"/>
            <w:shd w:val="clear" w:color="auto" w:fill="C4EFCE"/>
            <w:noWrap/>
            <w:vAlign w:val="center"/>
          </w:tcPr>
          <w:p w14:paraId="35971DC5" w14:textId="6ECAC858" w:rsidR="00A15990" w:rsidRDefault="00686A62">
            <w:pPr>
              <w:pStyle w:val="P68B1DB1-Normal8"/>
              <w:spacing w:after="0" w:line="240" w:lineRule="auto"/>
              <w:jc w:val="center"/>
              <w:rPr>
                <w:rFonts w:eastAsia="Times New Roman" w:cs="Calibri"/>
                <w:noProof/>
              </w:rPr>
            </w:pPr>
            <w:r>
              <w:rPr>
                <w:noProof/>
              </w:rPr>
              <w:t>1980</w:t>
            </w:r>
          </w:p>
        </w:tc>
        <w:tc>
          <w:tcPr>
            <w:tcW w:w="833" w:type="dxa"/>
            <w:gridSpan w:val="2"/>
            <w:shd w:val="clear" w:color="auto" w:fill="C4EFCE"/>
            <w:noWrap/>
            <w:vAlign w:val="center"/>
          </w:tcPr>
          <w:p w14:paraId="015DCDA9" w14:textId="1FBC0FB9" w:rsidR="00A15990" w:rsidRDefault="00686A62">
            <w:pPr>
              <w:pStyle w:val="P68B1DB1-Normal8"/>
              <w:spacing w:after="0" w:line="240" w:lineRule="auto"/>
              <w:jc w:val="center"/>
              <w:rPr>
                <w:rFonts w:eastAsia="Times New Roman" w:cs="Calibri"/>
                <w:noProof/>
              </w:rPr>
            </w:pPr>
            <w:r>
              <w:rPr>
                <w:noProof/>
              </w:rPr>
              <w:t>TRIMESTRUL 3</w:t>
            </w:r>
          </w:p>
        </w:tc>
        <w:tc>
          <w:tcPr>
            <w:tcW w:w="901" w:type="dxa"/>
            <w:shd w:val="clear" w:color="auto" w:fill="C4EFCE"/>
            <w:noWrap/>
            <w:vAlign w:val="center"/>
          </w:tcPr>
          <w:p w14:paraId="06A77DA0" w14:textId="20CE1881"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tcPr>
          <w:p w14:paraId="628B2390" w14:textId="163A1F48" w:rsidR="00A15990" w:rsidRDefault="00686A62">
            <w:pPr>
              <w:pStyle w:val="P68B1DB1-Normal8"/>
              <w:spacing w:after="0" w:line="240" w:lineRule="auto"/>
              <w:jc w:val="both"/>
              <w:rPr>
                <w:rFonts w:eastAsia="Times New Roman" w:cs="Calibri"/>
                <w:noProof/>
              </w:rPr>
            </w:pPr>
            <w:r>
              <w:rPr>
                <w:noProof/>
              </w:rPr>
              <w:t>Numărul de seturi de biciclete care cuprind biciclete de diferite dimensiuni livrate în școli cu ciclu secundar în vederea predării mersului cu bicicleta elevilor, precum și kituri de biciclete pentru adulți oferite școlilor publice în cadrul programului „School Sports Community”</w:t>
            </w:r>
          </w:p>
        </w:tc>
      </w:tr>
      <w:tr w:rsidR="00A15990" w14:paraId="150B873E" w14:textId="77777777">
        <w:trPr>
          <w:trHeight w:val="640"/>
        </w:trPr>
        <w:tc>
          <w:tcPr>
            <w:tcW w:w="1135" w:type="dxa"/>
            <w:shd w:val="clear" w:color="auto" w:fill="C4EFCE"/>
            <w:noWrap/>
            <w:vAlign w:val="center"/>
            <w:hideMark/>
          </w:tcPr>
          <w:p w14:paraId="0C72F16B" w14:textId="77777777" w:rsidR="00A15990" w:rsidRDefault="00686A62">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30A44D52" w14:textId="77777777" w:rsidR="00A15990" w:rsidRDefault="00686A62">
            <w:pPr>
              <w:pStyle w:val="P68B1DB1-Normal8"/>
              <w:spacing w:after="0" w:line="240" w:lineRule="auto"/>
              <w:jc w:val="center"/>
              <w:rPr>
                <w:rFonts w:eastAsia="Times New Roman" w:cs="Calibri"/>
                <w:noProof/>
              </w:rPr>
            </w:pPr>
            <w:r>
              <w:rPr>
                <w:noProof/>
              </w:rPr>
              <w:t>RE-C01-i09</w:t>
            </w:r>
          </w:p>
        </w:tc>
        <w:tc>
          <w:tcPr>
            <w:tcW w:w="992" w:type="dxa"/>
            <w:shd w:val="clear" w:color="auto" w:fill="C4EFCE"/>
            <w:noWrap/>
            <w:vAlign w:val="center"/>
            <w:hideMark/>
          </w:tcPr>
          <w:p w14:paraId="2A370627" w14:textId="77777777" w:rsidR="00A15990" w:rsidRDefault="00686A62">
            <w:pPr>
              <w:pStyle w:val="P68B1DB1-Normal8"/>
              <w:spacing w:after="0" w:line="240" w:lineRule="auto"/>
              <w:jc w:val="center"/>
              <w:rPr>
                <w:rFonts w:eastAsia="Times New Roman" w:cs="Calibri"/>
                <w:noProof/>
              </w:rPr>
            </w:pPr>
            <w:r>
              <w:rPr>
                <w:noProof/>
              </w:rPr>
              <w:t>M</w:t>
            </w:r>
          </w:p>
        </w:tc>
        <w:tc>
          <w:tcPr>
            <w:tcW w:w="1843" w:type="dxa"/>
            <w:shd w:val="clear" w:color="auto" w:fill="C4EFCE"/>
            <w:noWrap/>
            <w:vAlign w:val="center"/>
            <w:hideMark/>
          </w:tcPr>
          <w:p w14:paraId="1BF3C4F6" w14:textId="77777777" w:rsidR="00A15990" w:rsidRDefault="00686A62">
            <w:pPr>
              <w:pStyle w:val="P68B1DB1-Normal8"/>
              <w:spacing w:after="0" w:line="240" w:lineRule="auto"/>
              <w:jc w:val="center"/>
              <w:rPr>
                <w:rFonts w:eastAsia="Times New Roman" w:cs="Calibri"/>
                <w:noProof/>
              </w:rPr>
            </w:pPr>
            <w:r>
              <w:rPr>
                <w:noProof/>
              </w:rPr>
              <w:t>Lansarea campaniei naționale pentru sistemul universal de asistență pentru viața activă și platforma tehnologică aferentă</w:t>
            </w:r>
          </w:p>
        </w:tc>
        <w:tc>
          <w:tcPr>
            <w:tcW w:w="1418" w:type="dxa"/>
            <w:shd w:val="clear" w:color="auto" w:fill="C4EFCE"/>
            <w:noWrap/>
            <w:vAlign w:val="center"/>
            <w:hideMark/>
          </w:tcPr>
          <w:p w14:paraId="71D7CD15" w14:textId="77777777" w:rsidR="00A15990" w:rsidRDefault="00686A62">
            <w:pPr>
              <w:pStyle w:val="P68B1DB1-Normal8"/>
              <w:spacing w:after="0" w:line="240" w:lineRule="auto"/>
              <w:jc w:val="center"/>
              <w:rPr>
                <w:rFonts w:eastAsia="Times New Roman" w:cs="Calibri"/>
                <w:noProof/>
              </w:rPr>
            </w:pPr>
            <w:r>
              <w:rPr>
                <w:noProof/>
              </w:rPr>
              <w:t>Noi canale și platforme de comunicare operaționale pentru campania națională pentru sistemul universal de asistență pentru viața activă</w:t>
            </w:r>
          </w:p>
        </w:tc>
        <w:tc>
          <w:tcPr>
            <w:tcW w:w="1164" w:type="dxa"/>
            <w:shd w:val="clear" w:color="auto" w:fill="C4EFCE"/>
            <w:noWrap/>
            <w:vAlign w:val="center"/>
            <w:hideMark/>
          </w:tcPr>
          <w:p w14:paraId="7EE395E9" w14:textId="77777777" w:rsidR="00A15990" w:rsidRDefault="00686A62">
            <w:pPr>
              <w:pStyle w:val="P68B1DB1-Normal8"/>
              <w:spacing w:after="0" w:line="240" w:lineRule="auto"/>
              <w:jc w:val="center"/>
              <w:rPr>
                <w:rFonts w:eastAsia="Times New Roman" w:cs="Calibri"/>
                <w:noProof/>
              </w:rPr>
            </w:pPr>
            <w:r>
              <w:rPr>
                <w:noProof/>
              </w:rPr>
              <w:t> </w:t>
            </w:r>
          </w:p>
        </w:tc>
        <w:tc>
          <w:tcPr>
            <w:tcW w:w="962" w:type="dxa"/>
            <w:shd w:val="clear" w:color="auto" w:fill="C4EFCE"/>
            <w:noWrap/>
            <w:vAlign w:val="center"/>
            <w:hideMark/>
          </w:tcPr>
          <w:p w14:paraId="7BFB1270" w14:textId="77777777" w:rsidR="00A15990" w:rsidRDefault="00686A62">
            <w:pPr>
              <w:pStyle w:val="P68B1DB1-Normal8"/>
              <w:spacing w:after="0" w:line="240" w:lineRule="auto"/>
              <w:jc w:val="center"/>
              <w:rPr>
                <w:rFonts w:eastAsia="Times New Roman" w:cs="Calibri"/>
                <w:noProof/>
              </w:rPr>
            </w:pPr>
            <w:r>
              <w:rPr>
                <w:noProof/>
              </w:rPr>
              <w:t> </w:t>
            </w:r>
          </w:p>
        </w:tc>
        <w:tc>
          <w:tcPr>
            <w:tcW w:w="805" w:type="dxa"/>
            <w:shd w:val="clear" w:color="auto" w:fill="C4EFCE"/>
            <w:noWrap/>
            <w:vAlign w:val="center"/>
            <w:hideMark/>
          </w:tcPr>
          <w:p w14:paraId="69FF4A32" w14:textId="77777777" w:rsidR="00A15990" w:rsidRDefault="00686A62">
            <w:pPr>
              <w:pStyle w:val="P68B1DB1-Normal8"/>
              <w:spacing w:after="0" w:line="240" w:lineRule="auto"/>
              <w:jc w:val="center"/>
              <w:rPr>
                <w:rFonts w:eastAsia="Times New Roman" w:cs="Calibri"/>
                <w:noProof/>
              </w:rPr>
            </w:pPr>
            <w:r>
              <w:rPr>
                <w:noProof/>
              </w:rPr>
              <w:t> </w:t>
            </w:r>
          </w:p>
        </w:tc>
        <w:tc>
          <w:tcPr>
            <w:tcW w:w="833" w:type="dxa"/>
            <w:gridSpan w:val="2"/>
            <w:shd w:val="clear" w:color="auto" w:fill="C4EFCE"/>
            <w:noWrap/>
            <w:vAlign w:val="center"/>
            <w:hideMark/>
          </w:tcPr>
          <w:p w14:paraId="01CE5595" w14:textId="33DE1500" w:rsidR="00A15990" w:rsidRDefault="00686A62">
            <w:pPr>
              <w:pStyle w:val="P68B1DB1-Normal8"/>
              <w:spacing w:after="0" w:line="240" w:lineRule="auto"/>
              <w:jc w:val="center"/>
              <w:rPr>
                <w:rFonts w:eastAsia="Times New Roman" w:cs="Calibri"/>
                <w:noProof/>
              </w:rPr>
            </w:pPr>
            <w:r>
              <w:rPr>
                <w:noProof/>
              </w:rPr>
              <w:t>TRIMESTRUL 3</w:t>
            </w:r>
          </w:p>
        </w:tc>
        <w:tc>
          <w:tcPr>
            <w:tcW w:w="901" w:type="dxa"/>
            <w:shd w:val="clear" w:color="auto" w:fill="C4EFCE"/>
            <w:noWrap/>
            <w:vAlign w:val="center"/>
            <w:hideMark/>
          </w:tcPr>
          <w:p w14:paraId="63B5DA71" w14:textId="77777777" w:rsidR="00A15990" w:rsidRDefault="00686A62">
            <w:pPr>
              <w:pStyle w:val="P68B1DB1-Normal8"/>
              <w:spacing w:after="0" w:line="240" w:lineRule="auto"/>
              <w:jc w:val="center"/>
              <w:rPr>
                <w:rFonts w:eastAsia="Times New Roman" w:cs="Calibri"/>
                <w:noProof/>
              </w:rPr>
            </w:pPr>
            <w:r>
              <w:rPr>
                <w:noProof/>
              </w:rPr>
              <w:t>2025</w:t>
            </w:r>
          </w:p>
        </w:tc>
        <w:tc>
          <w:tcPr>
            <w:tcW w:w="3981" w:type="dxa"/>
            <w:shd w:val="clear" w:color="auto" w:fill="C4EFCE"/>
            <w:noWrap/>
            <w:vAlign w:val="center"/>
            <w:hideMark/>
          </w:tcPr>
          <w:p w14:paraId="528A0C6D" w14:textId="77777777" w:rsidR="00A15990" w:rsidRDefault="00686A62">
            <w:pPr>
              <w:pStyle w:val="P68B1DB1-Normal8"/>
              <w:spacing w:after="0" w:line="240" w:lineRule="auto"/>
              <w:jc w:val="both"/>
              <w:rPr>
                <w:rFonts w:eastAsia="Times New Roman" w:cs="Calibri"/>
                <w:noProof/>
              </w:rPr>
            </w:pPr>
            <w:r>
              <w:rPr>
                <w:noProof/>
              </w:rPr>
              <w:t>Lansarea unei campanii naționale pentru sistemul universal de asistență pentru viața activă și platforma tehnologică asociată, pentru a spori cunoștințele cetățenilor cu privire la beneficiile activității fizice regulate, la toate vârstele și în funcție de capacitatea lor, cu scopul de a încuraja adoptarea unor stiluri de viață mai sănătoase.</w:t>
            </w:r>
          </w:p>
        </w:tc>
      </w:tr>
      <w:tr w:rsidR="00A15990" w14:paraId="32DDB6EB" w14:textId="77777777">
        <w:trPr>
          <w:trHeight w:val="640"/>
        </w:trPr>
        <w:tc>
          <w:tcPr>
            <w:tcW w:w="1135" w:type="dxa"/>
            <w:shd w:val="clear" w:color="auto" w:fill="C4EFCE"/>
            <w:noWrap/>
            <w:vAlign w:val="center"/>
          </w:tcPr>
          <w:p w14:paraId="5EA543BD" w14:textId="73E365A0" w:rsidR="00A15990" w:rsidRDefault="00686A62">
            <w:pPr>
              <w:pStyle w:val="P68B1DB1-Normal11"/>
              <w:spacing w:after="0" w:line="240" w:lineRule="auto"/>
              <w:jc w:val="center"/>
              <w:rPr>
                <w:rFonts w:eastAsia="Times New Roman" w:cstheme="minorHAnsi"/>
                <w:noProof/>
              </w:rPr>
            </w:pPr>
            <w:r>
              <w:rPr>
                <w:noProof/>
              </w:rPr>
              <w:t>1.41</w:t>
            </w:r>
          </w:p>
        </w:tc>
        <w:tc>
          <w:tcPr>
            <w:tcW w:w="1276" w:type="dxa"/>
            <w:shd w:val="clear" w:color="auto" w:fill="C4EFCE"/>
            <w:noWrap/>
            <w:vAlign w:val="center"/>
          </w:tcPr>
          <w:p w14:paraId="052499FB" w14:textId="346E2DBB" w:rsidR="00A15990" w:rsidRDefault="00686A62">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6833F05F" w14:textId="01DD35B4" w:rsidR="00A15990" w:rsidRDefault="00686A62">
            <w:pPr>
              <w:pStyle w:val="P68B1DB1-Normal12"/>
              <w:spacing w:after="0" w:line="240" w:lineRule="auto"/>
              <w:jc w:val="center"/>
              <w:rPr>
                <w:rFonts w:eastAsia="Times New Roman" w:cstheme="minorHAnsi"/>
                <w:noProof/>
                <w:highlight w:val="cyan"/>
              </w:rPr>
            </w:pPr>
            <w:r>
              <w:rPr>
                <w:noProof/>
              </w:rPr>
              <w:t>M</w:t>
            </w:r>
          </w:p>
        </w:tc>
        <w:tc>
          <w:tcPr>
            <w:tcW w:w="1843" w:type="dxa"/>
            <w:shd w:val="clear" w:color="auto" w:fill="C4EFCE"/>
            <w:noWrap/>
            <w:vAlign w:val="center"/>
          </w:tcPr>
          <w:p w14:paraId="2B996393" w14:textId="1E61FAE8" w:rsidR="00A15990" w:rsidRDefault="00686A62">
            <w:pPr>
              <w:pStyle w:val="P68B1DB1-Normal12"/>
              <w:spacing w:after="0" w:line="240" w:lineRule="auto"/>
              <w:jc w:val="center"/>
              <w:rPr>
                <w:rFonts w:eastAsia="Times New Roman" w:cstheme="minorHAnsi"/>
                <w:noProof/>
                <w:highlight w:val="cyan"/>
              </w:rPr>
            </w:pPr>
            <w:r>
              <w:rPr>
                <w:noProof/>
              </w:rPr>
              <w:t>Aprobarea raportului de identificare a nevoilor NHS pentru echipamente medicale grele</w:t>
            </w:r>
          </w:p>
        </w:tc>
        <w:tc>
          <w:tcPr>
            <w:tcW w:w="1418" w:type="dxa"/>
            <w:shd w:val="clear" w:color="auto" w:fill="C4EFCE"/>
            <w:noWrap/>
            <w:vAlign w:val="center"/>
          </w:tcPr>
          <w:p w14:paraId="368DC9EE" w14:textId="2FE358D2" w:rsidR="00A15990" w:rsidRDefault="00686A62">
            <w:pPr>
              <w:pStyle w:val="P68B1DB1-Normal12"/>
              <w:spacing w:after="0" w:line="240" w:lineRule="auto"/>
              <w:jc w:val="center"/>
              <w:rPr>
                <w:rFonts w:eastAsia="Times New Roman" w:cstheme="minorHAnsi"/>
                <w:noProof/>
                <w:highlight w:val="cyan"/>
              </w:rPr>
            </w:pPr>
            <w:r>
              <w:rPr>
                <w:noProof/>
              </w:rPr>
              <w:t>Aprobarea raportului</w:t>
            </w:r>
          </w:p>
        </w:tc>
        <w:tc>
          <w:tcPr>
            <w:tcW w:w="1164" w:type="dxa"/>
            <w:shd w:val="clear" w:color="auto" w:fill="C4EFCE"/>
            <w:noWrap/>
            <w:vAlign w:val="center"/>
          </w:tcPr>
          <w:p w14:paraId="78888CE5" w14:textId="77777777" w:rsidR="00A15990" w:rsidRDefault="00A15990">
            <w:pPr>
              <w:spacing w:after="0" w:line="240" w:lineRule="auto"/>
              <w:jc w:val="center"/>
              <w:rPr>
                <w:rFonts w:eastAsia="Times New Roman" w:cstheme="minorHAnsi"/>
                <w:noProof/>
                <w:sz w:val="16"/>
              </w:rPr>
            </w:pPr>
          </w:p>
        </w:tc>
        <w:tc>
          <w:tcPr>
            <w:tcW w:w="962" w:type="dxa"/>
            <w:shd w:val="clear" w:color="auto" w:fill="C4EFCE"/>
            <w:noWrap/>
            <w:vAlign w:val="center"/>
          </w:tcPr>
          <w:p w14:paraId="29921A70" w14:textId="77777777" w:rsidR="00A15990" w:rsidRDefault="00A15990">
            <w:pPr>
              <w:spacing w:after="0" w:line="240" w:lineRule="auto"/>
              <w:jc w:val="center"/>
              <w:rPr>
                <w:rFonts w:eastAsia="Times New Roman" w:cstheme="minorHAnsi"/>
                <w:noProof/>
                <w:sz w:val="16"/>
              </w:rPr>
            </w:pPr>
          </w:p>
        </w:tc>
        <w:tc>
          <w:tcPr>
            <w:tcW w:w="805" w:type="dxa"/>
            <w:shd w:val="clear" w:color="auto" w:fill="C4EFCE"/>
            <w:noWrap/>
            <w:vAlign w:val="center"/>
          </w:tcPr>
          <w:p w14:paraId="650D0E3B" w14:textId="77777777" w:rsidR="00A15990" w:rsidRDefault="00A15990">
            <w:pPr>
              <w:spacing w:after="0" w:line="240" w:lineRule="auto"/>
              <w:jc w:val="center"/>
              <w:rPr>
                <w:rFonts w:eastAsia="Times New Roman" w:cstheme="minorHAnsi"/>
                <w:noProof/>
                <w:sz w:val="16"/>
              </w:rPr>
            </w:pPr>
          </w:p>
        </w:tc>
        <w:tc>
          <w:tcPr>
            <w:tcW w:w="833" w:type="dxa"/>
            <w:gridSpan w:val="2"/>
            <w:shd w:val="clear" w:color="auto" w:fill="C4EFCE"/>
            <w:noWrap/>
            <w:vAlign w:val="center"/>
          </w:tcPr>
          <w:p w14:paraId="40E7DB94" w14:textId="3FD34628" w:rsidR="00A15990" w:rsidRDefault="00686A62">
            <w:pPr>
              <w:pStyle w:val="P68B1DB1-Normal12"/>
              <w:spacing w:after="0" w:line="240" w:lineRule="auto"/>
              <w:jc w:val="center"/>
              <w:rPr>
                <w:rFonts w:eastAsia="Times New Roman" w:cstheme="minorHAnsi"/>
                <w:noProof/>
                <w:highlight w:val="cyan"/>
              </w:rPr>
            </w:pPr>
            <w:r>
              <w:rPr>
                <w:noProof/>
              </w:rPr>
              <w:t>TRIMESTRUL 3</w:t>
            </w:r>
          </w:p>
        </w:tc>
        <w:tc>
          <w:tcPr>
            <w:tcW w:w="901" w:type="dxa"/>
            <w:shd w:val="clear" w:color="auto" w:fill="C4EFCE"/>
            <w:noWrap/>
            <w:vAlign w:val="center"/>
          </w:tcPr>
          <w:p w14:paraId="19DF970F" w14:textId="27374C84" w:rsidR="00A15990" w:rsidRDefault="00686A62">
            <w:pPr>
              <w:pStyle w:val="P68B1DB1-Normal12"/>
              <w:spacing w:after="0" w:line="240" w:lineRule="auto"/>
              <w:jc w:val="center"/>
              <w:rPr>
                <w:rFonts w:eastAsia="Times New Roman" w:cstheme="minorHAnsi"/>
                <w:noProof/>
                <w:highlight w:val="cyan"/>
              </w:rPr>
            </w:pPr>
            <w:r>
              <w:rPr>
                <w:noProof/>
              </w:rPr>
              <w:t>2023</w:t>
            </w:r>
          </w:p>
        </w:tc>
        <w:tc>
          <w:tcPr>
            <w:tcW w:w="3981" w:type="dxa"/>
            <w:shd w:val="clear" w:color="auto" w:fill="C4EFCE"/>
            <w:noWrap/>
            <w:vAlign w:val="center"/>
          </w:tcPr>
          <w:p w14:paraId="31B2C935" w14:textId="47B64D40" w:rsidR="00A15990" w:rsidRDefault="00686A62">
            <w:pPr>
              <w:pStyle w:val="P68B1DB1-Normal12"/>
              <w:spacing w:after="0" w:line="240" w:lineRule="auto"/>
              <w:jc w:val="both"/>
              <w:rPr>
                <w:rFonts w:eastAsia="Times New Roman" w:cstheme="minorHAnsi"/>
                <w:noProof/>
                <w:highlight w:val="cyan"/>
              </w:rPr>
            </w:pPr>
            <w:r>
              <w:rPr>
                <w:noProof/>
              </w:rPr>
              <w:t xml:space="preserve">Aprobarea raportului de către Ministerul Sănătății care identifică nevoile spitalelor Serviciului Național de Sănătate în ceea ce privește echipamentele medicale grele. Acest raport identifică atât necesitatea achiziționării acestui tip de echipament pentru prima dată, cât și necesitatea de a înlocui echipamentele medicale grele existente. </w:t>
            </w:r>
          </w:p>
        </w:tc>
      </w:tr>
      <w:tr w:rsidR="00A15990" w14:paraId="7BB31006" w14:textId="77777777">
        <w:trPr>
          <w:trHeight w:val="1265"/>
        </w:trPr>
        <w:tc>
          <w:tcPr>
            <w:tcW w:w="1135" w:type="dxa"/>
            <w:shd w:val="clear" w:color="auto" w:fill="C4EFCE"/>
            <w:noWrap/>
            <w:vAlign w:val="center"/>
          </w:tcPr>
          <w:p w14:paraId="2BC5216A" w14:textId="01C240B8" w:rsidR="00A15990" w:rsidRDefault="00686A62">
            <w:pPr>
              <w:pStyle w:val="P68B1DB1-Normal11"/>
              <w:spacing w:after="0" w:line="240" w:lineRule="auto"/>
              <w:jc w:val="center"/>
              <w:rPr>
                <w:rFonts w:eastAsia="Times New Roman" w:cstheme="minorHAnsi"/>
                <w:noProof/>
              </w:rPr>
            </w:pPr>
            <w:r>
              <w:rPr>
                <w:noProof/>
              </w:rPr>
              <w:t>1.42</w:t>
            </w:r>
          </w:p>
        </w:tc>
        <w:tc>
          <w:tcPr>
            <w:tcW w:w="1276" w:type="dxa"/>
            <w:shd w:val="clear" w:color="auto" w:fill="C4EFCE"/>
            <w:noWrap/>
            <w:vAlign w:val="center"/>
          </w:tcPr>
          <w:p w14:paraId="449FB587" w14:textId="4BFA8415" w:rsidR="00A15990" w:rsidRDefault="00686A62">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3E03C39A" w14:textId="64A9F783" w:rsidR="00A15990" w:rsidRDefault="00686A62">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3173B055" w14:textId="67894D48" w:rsidR="00A15990" w:rsidRDefault="00686A62">
            <w:pPr>
              <w:pStyle w:val="P68B1DB1-Normal12"/>
              <w:spacing w:after="0" w:line="240" w:lineRule="auto"/>
              <w:jc w:val="center"/>
              <w:rPr>
                <w:rFonts w:eastAsia="Times New Roman" w:cstheme="minorHAnsi"/>
                <w:noProof/>
                <w:highlight w:val="cyan"/>
              </w:rPr>
            </w:pPr>
            <w:r>
              <w:rPr>
                <w:noProof/>
              </w:rPr>
              <w:t>Achiziționarea de echipamente medicale grele</w:t>
            </w:r>
          </w:p>
        </w:tc>
        <w:tc>
          <w:tcPr>
            <w:tcW w:w="1418" w:type="dxa"/>
            <w:shd w:val="clear" w:color="auto" w:fill="C4EFCE"/>
            <w:noWrap/>
            <w:vAlign w:val="center"/>
          </w:tcPr>
          <w:p w14:paraId="3E4067FF" w14:textId="77777777" w:rsidR="00A15990" w:rsidRDefault="00A15990">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47E2878A" w14:textId="1966A431" w:rsidR="00A15990" w:rsidRDefault="00686A62">
            <w:pPr>
              <w:pStyle w:val="P68B1DB1-Normal12"/>
              <w:spacing w:after="0" w:line="240" w:lineRule="auto"/>
              <w:jc w:val="center"/>
              <w:rPr>
                <w:rFonts w:eastAsia="Times New Roman" w:cstheme="minorHAnsi"/>
                <w:noProof/>
              </w:rPr>
            </w:pPr>
            <w:r>
              <w:rPr>
                <w:noProof/>
              </w:rPr>
              <w:t xml:space="preserve">Numărul </w:t>
            </w:r>
          </w:p>
        </w:tc>
        <w:tc>
          <w:tcPr>
            <w:tcW w:w="962" w:type="dxa"/>
            <w:shd w:val="clear" w:color="auto" w:fill="C4EFCE"/>
            <w:noWrap/>
            <w:vAlign w:val="center"/>
          </w:tcPr>
          <w:p w14:paraId="5876942B" w14:textId="11B5A7E5" w:rsidR="00A15990" w:rsidRDefault="00686A62">
            <w:pPr>
              <w:pStyle w:val="P68B1DB1-Normal12"/>
              <w:spacing w:after="0" w:line="240" w:lineRule="auto"/>
              <w:jc w:val="center"/>
              <w:rPr>
                <w:rFonts w:eastAsia="Times New Roman" w:cstheme="minorHAnsi"/>
                <w:noProof/>
              </w:rPr>
            </w:pPr>
            <w:r>
              <w:rPr>
                <w:noProof/>
              </w:rPr>
              <w:t>0</w:t>
            </w:r>
          </w:p>
        </w:tc>
        <w:tc>
          <w:tcPr>
            <w:tcW w:w="805" w:type="dxa"/>
            <w:shd w:val="clear" w:color="auto" w:fill="C4EFCE"/>
            <w:noWrap/>
            <w:vAlign w:val="center"/>
          </w:tcPr>
          <w:p w14:paraId="581F2A0F" w14:textId="00F6C999" w:rsidR="00A15990" w:rsidRDefault="00686A62">
            <w:pPr>
              <w:pStyle w:val="P68B1DB1-Normal12"/>
              <w:spacing w:after="0" w:line="240" w:lineRule="auto"/>
              <w:jc w:val="center"/>
              <w:rPr>
                <w:rFonts w:eastAsia="Times New Roman" w:cstheme="minorHAnsi"/>
                <w:noProof/>
              </w:rPr>
            </w:pPr>
            <w:r>
              <w:rPr>
                <w:noProof/>
              </w:rPr>
              <w:t>19</w:t>
            </w:r>
          </w:p>
        </w:tc>
        <w:tc>
          <w:tcPr>
            <w:tcW w:w="833" w:type="dxa"/>
            <w:gridSpan w:val="2"/>
            <w:shd w:val="clear" w:color="auto" w:fill="C4EFCE"/>
            <w:noWrap/>
            <w:vAlign w:val="center"/>
          </w:tcPr>
          <w:p w14:paraId="3E9D65A1" w14:textId="16A0980D" w:rsidR="00A15990" w:rsidRDefault="00686A62">
            <w:pPr>
              <w:pStyle w:val="P68B1DB1-Normal12"/>
              <w:spacing w:after="0" w:line="240" w:lineRule="auto"/>
              <w:jc w:val="center"/>
              <w:rPr>
                <w:rFonts w:eastAsia="Times New Roman" w:cstheme="minorHAnsi"/>
                <w:noProof/>
                <w:highlight w:val="cyan"/>
              </w:rPr>
            </w:pPr>
            <w:r>
              <w:rPr>
                <w:noProof/>
              </w:rPr>
              <w:t>TRIMESTRUL 4</w:t>
            </w:r>
          </w:p>
        </w:tc>
        <w:tc>
          <w:tcPr>
            <w:tcW w:w="901" w:type="dxa"/>
            <w:shd w:val="clear" w:color="auto" w:fill="C4EFCE"/>
            <w:noWrap/>
            <w:vAlign w:val="center"/>
          </w:tcPr>
          <w:p w14:paraId="3750A5B5" w14:textId="29F5D74F" w:rsidR="00A15990" w:rsidRDefault="00686A62">
            <w:pPr>
              <w:pStyle w:val="P68B1DB1-Normal12"/>
              <w:spacing w:after="0" w:line="240" w:lineRule="auto"/>
              <w:jc w:val="center"/>
              <w:rPr>
                <w:rFonts w:eastAsia="Times New Roman" w:cstheme="minorHAnsi"/>
                <w:noProof/>
                <w:highlight w:val="cyan"/>
              </w:rPr>
            </w:pPr>
            <w:r>
              <w:rPr>
                <w:noProof/>
              </w:rPr>
              <w:t>2024</w:t>
            </w:r>
          </w:p>
        </w:tc>
        <w:tc>
          <w:tcPr>
            <w:tcW w:w="3981" w:type="dxa"/>
            <w:shd w:val="clear" w:color="auto" w:fill="C4EFCE"/>
            <w:noWrap/>
            <w:vAlign w:val="center"/>
          </w:tcPr>
          <w:p w14:paraId="2BF1F0E3" w14:textId="204916E6" w:rsidR="00A15990" w:rsidRDefault="00686A62">
            <w:pPr>
              <w:pStyle w:val="P68B1DB1-Bodytext1013"/>
              <w:spacing w:after="0" w:line="240" w:lineRule="auto"/>
              <w:rPr>
                <w:rFonts w:cstheme="minorBidi"/>
                <w:noProof/>
              </w:rPr>
            </w:pPr>
            <w:r>
              <w:rPr>
                <w:noProof/>
              </w:rPr>
              <w:t xml:space="preserve">Numărul de echipamente medicale grele achiziționate pentru spitalele NHS în conformitate cu nevoile identificate în raport, astfel cum se indică în etapa de referință 1.41. </w:t>
            </w:r>
          </w:p>
        </w:tc>
      </w:tr>
      <w:tr w:rsidR="00A15990" w14:paraId="53D663E6" w14:textId="77777777">
        <w:trPr>
          <w:trHeight w:val="640"/>
        </w:trPr>
        <w:tc>
          <w:tcPr>
            <w:tcW w:w="1135" w:type="dxa"/>
            <w:shd w:val="clear" w:color="auto" w:fill="C4EFCE"/>
            <w:noWrap/>
            <w:vAlign w:val="center"/>
          </w:tcPr>
          <w:p w14:paraId="3A65D11A" w14:textId="50F5E0C2" w:rsidR="00A15990" w:rsidRDefault="00686A62">
            <w:pPr>
              <w:pStyle w:val="P68B1DB1-Normal11"/>
              <w:spacing w:after="0" w:line="240" w:lineRule="auto"/>
              <w:jc w:val="center"/>
              <w:rPr>
                <w:rFonts w:eastAsia="Times New Roman" w:cstheme="minorHAnsi"/>
                <w:noProof/>
              </w:rPr>
            </w:pPr>
            <w:r>
              <w:rPr>
                <w:noProof/>
              </w:rPr>
              <w:t>1.43</w:t>
            </w:r>
          </w:p>
        </w:tc>
        <w:tc>
          <w:tcPr>
            <w:tcW w:w="1276" w:type="dxa"/>
            <w:shd w:val="clear" w:color="auto" w:fill="C4EFCE"/>
            <w:noWrap/>
            <w:vAlign w:val="center"/>
          </w:tcPr>
          <w:p w14:paraId="6F139DBF" w14:textId="6AAC2AA7" w:rsidR="00A15990" w:rsidRDefault="00686A62">
            <w:pPr>
              <w:pStyle w:val="P68B1DB1-Normal12"/>
              <w:spacing w:after="0" w:line="240" w:lineRule="auto"/>
              <w:jc w:val="center"/>
              <w:rPr>
                <w:rFonts w:eastAsia="Times New Roman" w:cstheme="minorHAnsi"/>
                <w:noProof/>
                <w:highlight w:val="cyan"/>
              </w:rPr>
            </w:pPr>
            <w:r>
              <w:rPr>
                <w:noProof/>
              </w:rPr>
              <w:t>RE-C01-i10</w:t>
            </w:r>
          </w:p>
        </w:tc>
        <w:tc>
          <w:tcPr>
            <w:tcW w:w="992" w:type="dxa"/>
            <w:shd w:val="clear" w:color="auto" w:fill="C4EFCE"/>
            <w:noWrap/>
            <w:vAlign w:val="center"/>
          </w:tcPr>
          <w:p w14:paraId="5E979747" w14:textId="69ED3709" w:rsidR="00A15990" w:rsidRDefault="00686A62">
            <w:pPr>
              <w:pStyle w:val="P68B1DB1-Normal12"/>
              <w:spacing w:after="0" w:line="240" w:lineRule="auto"/>
              <w:jc w:val="center"/>
              <w:rPr>
                <w:rFonts w:eastAsia="Times New Roman" w:cstheme="minorHAnsi"/>
                <w:noProof/>
                <w:highlight w:val="cyan"/>
              </w:rPr>
            </w:pPr>
            <w:r>
              <w:rPr>
                <w:noProof/>
              </w:rPr>
              <w:t>T</w:t>
            </w:r>
          </w:p>
        </w:tc>
        <w:tc>
          <w:tcPr>
            <w:tcW w:w="1843" w:type="dxa"/>
            <w:shd w:val="clear" w:color="auto" w:fill="C4EFCE"/>
            <w:noWrap/>
            <w:vAlign w:val="center"/>
          </w:tcPr>
          <w:p w14:paraId="78937866" w14:textId="4C654376" w:rsidR="00A15990" w:rsidRDefault="00686A62">
            <w:pPr>
              <w:pStyle w:val="P68B1DB1-Normal12"/>
              <w:spacing w:after="0" w:line="240" w:lineRule="auto"/>
              <w:jc w:val="center"/>
              <w:rPr>
                <w:rFonts w:eastAsia="Times New Roman" w:cstheme="minorHAnsi"/>
                <w:noProof/>
                <w:highlight w:val="cyan"/>
              </w:rPr>
            </w:pPr>
            <w:r>
              <w:rPr>
                <w:noProof/>
              </w:rPr>
              <w:t>Achiziționarea de echipamente medicale grele</w:t>
            </w:r>
          </w:p>
        </w:tc>
        <w:tc>
          <w:tcPr>
            <w:tcW w:w="1418" w:type="dxa"/>
            <w:shd w:val="clear" w:color="auto" w:fill="C4EFCE"/>
            <w:noWrap/>
            <w:vAlign w:val="center"/>
          </w:tcPr>
          <w:p w14:paraId="4C7ED9B0" w14:textId="77777777" w:rsidR="00A15990" w:rsidRDefault="00A15990">
            <w:pPr>
              <w:spacing w:after="0" w:line="240" w:lineRule="auto"/>
              <w:jc w:val="center"/>
              <w:rPr>
                <w:rFonts w:eastAsia="Times New Roman" w:cstheme="minorHAnsi"/>
                <w:noProof/>
                <w:sz w:val="16"/>
                <w:highlight w:val="cyan"/>
              </w:rPr>
            </w:pPr>
          </w:p>
        </w:tc>
        <w:tc>
          <w:tcPr>
            <w:tcW w:w="1164" w:type="dxa"/>
            <w:shd w:val="clear" w:color="auto" w:fill="C4EFCE"/>
            <w:noWrap/>
            <w:vAlign w:val="center"/>
          </w:tcPr>
          <w:p w14:paraId="39721FDC" w14:textId="63D9F4FC" w:rsidR="00A15990" w:rsidRDefault="00686A62">
            <w:pPr>
              <w:pStyle w:val="P68B1DB1-Normal12"/>
              <w:spacing w:after="0" w:line="240" w:lineRule="auto"/>
              <w:jc w:val="center"/>
              <w:rPr>
                <w:rFonts w:eastAsia="Times New Roman" w:cstheme="minorHAnsi"/>
                <w:noProof/>
              </w:rPr>
            </w:pPr>
            <w:r>
              <w:rPr>
                <w:noProof/>
              </w:rPr>
              <w:t xml:space="preserve">Numărul </w:t>
            </w:r>
          </w:p>
        </w:tc>
        <w:tc>
          <w:tcPr>
            <w:tcW w:w="962" w:type="dxa"/>
            <w:shd w:val="clear" w:color="auto" w:fill="C4EFCE"/>
            <w:noWrap/>
            <w:vAlign w:val="center"/>
          </w:tcPr>
          <w:p w14:paraId="6A3D1C7A" w14:textId="3B984FB3" w:rsidR="00A15990" w:rsidRDefault="00686A62">
            <w:pPr>
              <w:pStyle w:val="P68B1DB1-Normal12"/>
              <w:spacing w:after="0" w:line="240" w:lineRule="auto"/>
              <w:jc w:val="center"/>
              <w:rPr>
                <w:rFonts w:eastAsia="Times New Roman" w:cstheme="minorHAnsi"/>
                <w:noProof/>
              </w:rPr>
            </w:pPr>
            <w:r>
              <w:rPr>
                <w:noProof/>
              </w:rPr>
              <w:t>19</w:t>
            </w:r>
          </w:p>
        </w:tc>
        <w:tc>
          <w:tcPr>
            <w:tcW w:w="805" w:type="dxa"/>
            <w:shd w:val="clear" w:color="auto" w:fill="C4EFCE"/>
            <w:noWrap/>
            <w:vAlign w:val="center"/>
          </w:tcPr>
          <w:p w14:paraId="457A6131" w14:textId="5D364BEF" w:rsidR="00A15990" w:rsidRDefault="00686A62">
            <w:pPr>
              <w:pStyle w:val="P68B1DB1-Normal12"/>
              <w:spacing w:after="0" w:line="240" w:lineRule="auto"/>
              <w:jc w:val="center"/>
              <w:rPr>
                <w:rFonts w:eastAsia="Times New Roman" w:cstheme="minorHAnsi"/>
                <w:noProof/>
              </w:rPr>
            </w:pPr>
            <w:r>
              <w:rPr>
                <w:noProof/>
              </w:rPr>
              <w:t>68</w:t>
            </w:r>
          </w:p>
        </w:tc>
        <w:tc>
          <w:tcPr>
            <w:tcW w:w="833" w:type="dxa"/>
            <w:gridSpan w:val="2"/>
            <w:shd w:val="clear" w:color="auto" w:fill="C4EFCE"/>
            <w:noWrap/>
            <w:vAlign w:val="center"/>
          </w:tcPr>
          <w:p w14:paraId="02EF6BB9" w14:textId="070BFBBA" w:rsidR="00A15990" w:rsidRDefault="00686A62">
            <w:pPr>
              <w:pStyle w:val="P68B1DB1-Normal12"/>
              <w:spacing w:after="0" w:line="240" w:lineRule="auto"/>
              <w:jc w:val="center"/>
              <w:rPr>
                <w:rFonts w:eastAsia="Times New Roman" w:cstheme="minorHAnsi"/>
                <w:noProof/>
                <w:highlight w:val="cyan"/>
              </w:rPr>
            </w:pPr>
            <w:r>
              <w:rPr>
                <w:noProof/>
              </w:rPr>
              <w:t>TRIMESTRUL 2</w:t>
            </w:r>
          </w:p>
        </w:tc>
        <w:tc>
          <w:tcPr>
            <w:tcW w:w="901" w:type="dxa"/>
            <w:shd w:val="clear" w:color="auto" w:fill="C4EFCE"/>
            <w:noWrap/>
            <w:vAlign w:val="center"/>
          </w:tcPr>
          <w:p w14:paraId="3604404B" w14:textId="71C4B142" w:rsidR="00A15990" w:rsidRDefault="00686A62">
            <w:pPr>
              <w:pStyle w:val="P68B1DB1-Normal12"/>
              <w:spacing w:after="0" w:line="240" w:lineRule="auto"/>
              <w:jc w:val="center"/>
              <w:rPr>
                <w:rFonts w:eastAsia="Times New Roman" w:cstheme="minorHAnsi"/>
                <w:noProof/>
                <w:highlight w:val="cyan"/>
              </w:rPr>
            </w:pPr>
            <w:r>
              <w:rPr>
                <w:noProof/>
              </w:rPr>
              <w:t>2026</w:t>
            </w:r>
          </w:p>
        </w:tc>
        <w:tc>
          <w:tcPr>
            <w:tcW w:w="3981" w:type="dxa"/>
            <w:shd w:val="clear" w:color="auto" w:fill="C4EFCE"/>
            <w:noWrap/>
            <w:vAlign w:val="center"/>
          </w:tcPr>
          <w:p w14:paraId="5C235DE8" w14:textId="2F003924" w:rsidR="00A15990" w:rsidRDefault="00686A62">
            <w:pPr>
              <w:pStyle w:val="P68B1DB1-Normal12"/>
              <w:spacing w:after="0" w:line="240" w:lineRule="auto"/>
              <w:jc w:val="both"/>
              <w:rPr>
                <w:rFonts w:eastAsia="Times New Roman"/>
                <w:noProof/>
                <w:highlight w:val="cyan"/>
              </w:rPr>
            </w:pPr>
            <w:r>
              <w:rPr>
                <w:noProof/>
              </w:rPr>
              <w:t xml:space="preserve">Numărul de echipamente medicale grele achiziționate pentru spitalele NHS în conformitate cu nevoile identificate în raport, astfel cum se indică în etapa de referință 1.41. </w:t>
            </w:r>
          </w:p>
        </w:tc>
      </w:tr>
    </w:tbl>
    <w:p w14:paraId="5B15A5F5" w14:textId="77777777" w:rsidR="00A15990" w:rsidRDefault="00A15990">
      <w:pPr>
        <w:rPr>
          <w:rFonts w:ascii="Times New Roman" w:eastAsiaTheme="minorEastAsia" w:hAnsi="Times New Roman" w:cs="Times New Roman"/>
          <w:noProof/>
          <w:sz w:val="24"/>
        </w:rPr>
        <w:sectPr w:rsidR="00A15990" w:rsidSect="00E00EDD">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688C9CBD"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B. COMPONENTA 2: Locuințe</w:t>
      </w:r>
    </w:p>
    <w:p w14:paraId="7565FEB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componentă a planului de redresare și reziliență al Portugaliei abordează provocările legate de deficitul structural de soluții permanente și temporare în materie de locuințe pentru grupurile mai vulnerabile, atât în Portugalia continentală, cât și în regiunile autonome Azore și Madeira, contribuind totodată în mod indirect la consolidarea sistemului de protecție socială. Locuințele publice reprezintă doar 2 % din stocul total din Portugalia și sunt considerate insuficiente pentru a răspunde nevoilor celor mai defavorizate persoane și expuse riscului de excluziune socială. </w:t>
      </w:r>
    </w:p>
    <w:p w14:paraId="64E97637"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Principalele obiective ale componentei sunt: I) creșterea ofertei de locuințe sociale și la prețuri accesibile (inclusiv abordarea altor nevoi conexe, cum ar fi lipsa infrastructurii și a echipamentelor de bază, locurile de reședință nesănătoase și nesigure, precaritatea sau lipsa legăturilor contractuale, supraaglomerarea sau caracterul inadecvat al locuințelor pentru nevoile speciale ale rezidenților cu handicap sau cu mobilitate redusă); (II) crearea unui răspuns public național la nevoile urgente și temporare de cazare generate de evenimente neașteptate sau imprevizibile, cum ar fi dezastre naturale, incendii, pandemii, mișcări migratorii, cereri de azil sau situații de risc iminent, cum ar fi violența domestică, traficul de persoane, riscul de evacuare și altele; și iii) creșterea ofertei de cazare pentru studenți la prețuri accesibile. Investițiile în componentă implică construirea de noi locuințe și reabilitarea celor existente. </w:t>
      </w:r>
    </w:p>
    <w:p w14:paraId="6B68FD9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componentă contribuie la abordarea recomandărilor specifice fiecărei țări adresate Portugaliei în cadrul semestrului european în 2019 și 2020, în special: Îmbunătățirea eficacității și a caracterului adecvat al plasei de siguranță socială (recomandarea specifică fiecărei țări 2 2019); Garantarea unei protecții sociale și a unui sprijin pentru venit suficiente și eficace (recomandarea specifică fiecărei țări nr. 2 2020); și creșterea numărului de absolvenți de învățământ superior, în special în domeniul științei și al tehnologiei informației (prin investiții în cazarea studenților) (recomandarea specifică fiecărei țări 2 2019). Componenta contribuie, de asemenea, la punerea în aplicare a recomandării specifice fiecărei țări referitoare la tranziția climatică (recomandarea specifică fiecărei țări 3 2020). Componenta contribuie, de asemenea, la punerea în aplicare a mai multor principii ale Pilonului european al drepturilor sociale, cum ar fi: „Se asigură accesul la locuințe sociale sau la asistență pentru locuință de bună calitate pentru persoanele aflate în dificultate” (PEDS 19.a); „Persoanele vulnerabile au dreptul la asistență și protecție adecvate împotriva evacuării forțate” (PEDS 19.b); „Persoanelor fără adăpost li se oferă adăpost și servicii adecvate pentru a promova incluziunea socială a acestora” (PEDS 19.c); „Protecție socială” (PEDS 12); „Incluziunea persoanelor cu handicap” (PEDS 17); „Accesul la servicii esențiale” (PEDS 20); „Educația, formarea și învățarea pe tot parcursul vieții: Orice persoană are dreptul la educație, formare profesională și învățare pe tot parcursul vieții favorabile incluziunii și de calitate, pentru a dobândi și a menține competențe care îi permit să participe pe deplin în societate și să gestioneze cu succes tranzițiile pe piața forței de muncă” (PEDS 1). Dimensiunile de mediu sunt, de asemenea, încorporate, în special prin promovarea unor noi construcții cu standarde înalte de eficiență energetică. </w:t>
      </w:r>
    </w:p>
    <w:p w14:paraId="35D63D83"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6D10CF73" w14:textId="24918575" w:rsidR="00A15990" w:rsidRDefault="00686A62">
      <w:pPr>
        <w:rPr>
          <w:rFonts w:ascii="Times New Roman" w:eastAsiaTheme="minorEastAsia" w:hAnsi="Times New Roman" w:cs="Times New Roman"/>
          <w:b/>
          <w:noProof/>
          <w:sz w:val="24"/>
          <w:u w:val="single"/>
        </w:rPr>
      </w:pPr>
      <w:r>
        <w:rPr>
          <w:noProof/>
        </w:rPr>
        <w:br w:type="page"/>
      </w:r>
      <w:r>
        <w:rPr>
          <w:rFonts w:ascii="Times New Roman" w:hAnsi="Times New Roman"/>
          <w:b/>
          <w:noProof/>
          <w:sz w:val="24"/>
          <w:u w:val="single"/>
        </w:rPr>
        <w:t>B.1. Descrierea reformelor și a investițiilor pentru sprijinul financiar nerambursabil</w:t>
      </w:r>
    </w:p>
    <w:p w14:paraId="38F34ED6" w14:textId="77777777" w:rsidR="00A15990" w:rsidRDefault="00686A62">
      <w:pPr>
        <w:pStyle w:val="P68B1DB1-Normal5"/>
        <w:spacing w:before="240" w:after="0" w:line="259" w:lineRule="auto"/>
        <w:ind w:left="851"/>
        <w:jc w:val="both"/>
        <w:outlineLvl w:val="2"/>
        <w:rPr>
          <w:rFonts w:ascii="Segoe UI" w:eastAsiaTheme="minorEastAsia" w:hAnsi="Segoe UI" w:cs="Segoe UI"/>
          <w:noProof/>
          <w:sz w:val="18"/>
        </w:rPr>
      </w:pPr>
      <w:r>
        <w:rPr>
          <w:noProof/>
        </w:rPr>
        <w:t>Reforma RE-r04: Planul național de urgență și temporar privind locuințele</w:t>
      </w:r>
      <w:r>
        <w:rPr>
          <w:b/>
          <w:noProof/>
        </w:rPr>
        <w:t xml:space="preserve"> </w:t>
      </w:r>
    </w:p>
    <w:p w14:paraId="69243C7C" w14:textId="77777777" w:rsidR="00A15990" w:rsidRDefault="00686A62">
      <w:pPr>
        <w:pStyle w:val="P68B1DB1-Normal4"/>
        <w:keepNext/>
        <w:spacing w:before="40" w:after="0" w:line="259" w:lineRule="auto"/>
        <w:jc w:val="both"/>
        <w:rPr>
          <w:rFonts w:eastAsiaTheme="minorEastAsia" w:cs="Times New Roman"/>
          <w:noProof/>
        </w:rPr>
      </w:pPr>
      <w:r>
        <w:rPr>
          <w:noProof/>
        </w:rPr>
        <w:t>Obiectivul reformei este de a crea o rețea publică națională care să răspundă nevoilor urgente și temporare în materie de locuințe, ca parte a reînnoirii politicilor privind locuințele din Portugalia, cu scopul de a proteja și de a capacita grupurile-țintă identificate, precum și de a promova incluziunea socială și combaterea inegalităților.</w:t>
      </w:r>
    </w:p>
    <w:p w14:paraId="2E314B99"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Reforma constă în crearea unui răspuns structurat și transversal pentru persoanele care au nevoie de soluții de urgență sau temporare în materie de cazare și în dezvoltarea cadrului juridic și de reglementare necesar pentru stabilirea modelului de guvernanță al investiției RE-C02-i02 (grantul național pentru locuințe de urgență și temporare) și stabilește metodologii pentru semnalizarea și direcționarea către cazare și sprijin social pentru persoanele sprijinite. </w:t>
      </w:r>
    </w:p>
    <w:p w14:paraId="342DEB4C"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urma să fie finalizată până la 31 iunie 2021.</w:t>
      </w:r>
    </w:p>
    <w:p w14:paraId="60A89DB8" w14:textId="77777777" w:rsidR="00A15990" w:rsidRDefault="00686A62">
      <w:pPr>
        <w:pStyle w:val="P68B1DB1-Normal5"/>
        <w:spacing w:before="240" w:after="0" w:line="259" w:lineRule="auto"/>
        <w:ind w:left="851"/>
        <w:jc w:val="both"/>
        <w:outlineLvl w:val="2"/>
        <w:rPr>
          <w:rFonts w:eastAsiaTheme="minorEastAsia" w:cs="Times New Roman"/>
          <w:b/>
          <w:noProof/>
        </w:rPr>
      </w:pPr>
      <w:r>
        <w:rPr>
          <w:noProof/>
        </w:rPr>
        <w:t>Investiția RE-C02-i01: Program de sprijin pentru accesul la locuințe</w:t>
      </w:r>
    </w:p>
    <w:p w14:paraId="3FB79740" w14:textId="77777777" w:rsidR="00A15990" w:rsidRDefault="00686A62">
      <w:pPr>
        <w:pStyle w:val="P68B1DB1-Normal4"/>
        <w:keepNext/>
        <w:spacing w:before="40" w:after="0" w:line="259" w:lineRule="auto"/>
        <w:jc w:val="both"/>
        <w:rPr>
          <w:rFonts w:eastAsiaTheme="minorEastAsia" w:cs="Times New Roman"/>
          <w:noProof/>
        </w:rPr>
      </w:pPr>
      <w:r>
        <w:rPr>
          <w:noProof/>
        </w:rPr>
        <w:t>Obiectivul investiției este de a proteja locuințe decente și adecvate pentru familiile cu cele mai mari nevoi și pentru grupurile cele mai vulnerabile. </w:t>
      </w:r>
    </w:p>
    <w:p w14:paraId="01325250" w14:textId="575F3908"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furnizarea în principal de locuințe sociale, dar și în furnizarea de sprijin financiar pentru renovare sau construcție grupurilor țintă identificate care nu au capacitatea financiară de a garanta caracterul adecvat al propriei locuințe, pentru cel puțin 26 000 de gospodării până în 2026. Investițiile constau în construirea de clădiri noi sau renovarea locuințelor existente, precum și, ori de câte ori este necesar, în achiziționarea de clădiri noi sau în închirierea de clădiri în regim de subînchiriere. </w:t>
      </w:r>
    </w:p>
    <w:p w14:paraId="028C754C"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p w14:paraId="617C9ADB" w14:textId="77777777" w:rsidR="00A15990" w:rsidRDefault="00686A62">
      <w:pPr>
        <w:pStyle w:val="P68B1DB1-Normal5"/>
        <w:spacing w:before="240" w:after="0" w:line="259" w:lineRule="auto"/>
        <w:ind w:left="851"/>
        <w:jc w:val="both"/>
        <w:outlineLvl w:val="2"/>
        <w:rPr>
          <w:rFonts w:eastAsia="Times New Roman" w:cs="Times New Roman"/>
          <w:noProof/>
        </w:rPr>
      </w:pPr>
      <w:r>
        <w:rPr>
          <w:noProof/>
        </w:rPr>
        <w:t>Investiția RE-C02-i02: Subvenție națională de urgență și temporară pentru cazare</w:t>
      </w:r>
    </w:p>
    <w:p w14:paraId="044DBC62" w14:textId="4AD6F74F" w:rsidR="00A15990" w:rsidRDefault="00686A62">
      <w:pPr>
        <w:pStyle w:val="P68B1DB1-Normal4"/>
        <w:spacing w:before="40" w:after="0" w:line="259" w:lineRule="auto"/>
        <w:jc w:val="both"/>
        <w:rPr>
          <w:rFonts w:eastAsia="Times New Roman" w:cs="Times New Roman"/>
          <w:noProof/>
        </w:rPr>
      </w:pPr>
      <w:r>
        <w:rPr>
          <w:noProof/>
        </w:rPr>
        <w:t xml:space="preserve">Obiectivul acestei investiții este de a oferi cazare temporară sau de urgență grupurilor de populație vulnerabile din Portugalia continentală. Această investiție servește la punerea în aplicare a reformei planului național de urgență și temporar privind locuințele incluse în componentă. Următoarele riscuri sau urgențe sociale încadrează intervențiile planificate: evenimente imprevizibile sau excepționale, nevoia de cazare urgentă și capacitarea persoanelor private temporar de locuințe, inclusiv a victimelor violenței domestice, a victimelor traficului de persoane, a persoanelor aflate sub protecție internațională, a persoanelor fără adăpost; nevoi extraordinare și justificate în mod corespunzător de cazare urgentă și temporară pentru persoanele care prezintă un risc iminent și real de a rămâne fără cazare sau în curs de dezinstituționalizare; nevoile de cazare, temporare și indispensabile interesului public, ale funcționarilor și agenților de stat. </w:t>
      </w:r>
    </w:p>
    <w:p w14:paraId="69716809" w14:textId="4ECEDCA8" w:rsidR="00A15990" w:rsidRDefault="00686A62">
      <w:pPr>
        <w:pStyle w:val="P68B1DB1-Normal4"/>
        <w:keepNext/>
        <w:spacing w:before="40" w:after="0" w:line="259" w:lineRule="auto"/>
        <w:jc w:val="both"/>
        <w:rPr>
          <w:rFonts w:eastAsia="Times New Roman" w:cs="Times New Roman"/>
          <w:noProof/>
        </w:rPr>
      </w:pPr>
      <w:r>
        <w:rPr>
          <w:noProof/>
        </w:rPr>
        <w:t>Investiția constă în crearea a 2 000 de unități de cazare de urgență, precum și a 473 unități locuibile, a trei blocuri pentru forțele de securitate (în cazuri justificate de interesul public) și a cinci centre de cazare temporară din motive umanitare sau de securitate.</w:t>
      </w:r>
    </w:p>
    <w:p w14:paraId="0C5E7164" w14:textId="500D2C39"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30 iunie 2026.</w:t>
      </w:r>
    </w:p>
    <w:p w14:paraId="2DD99C3E" w14:textId="77777777" w:rsidR="00A15990" w:rsidRDefault="00A15990">
      <w:pPr>
        <w:keepNext/>
        <w:spacing w:before="40" w:after="0" w:line="259" w:lineRule="auto"/>
        <w:jc w:val="both"/>
        <w:rPr>
          <w:rFonts w:ascii="Times New Roman" w:eastAsia="Times New Roman" w:hAnsi="Times New Roman" w:cs="Times New Roman"/>
          <w:noProof/>
          <w:sz w:val="24"/>
        </w:rPr>
        <w:sectPr w:rsidR="00A15990" w:rsidSect="00E00EDD">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p>
    <w:p w14:paraId="1E30C2F3" w14:textId="77777777" w:rsidR="00A15990" w:rsidRDefault="00686A62">
      <w:pPr>
        <w:pStyle w:val="P68B1DB1-Normal5"/>
        <w:spacing w:before="240" w:after="0" w:line="259" w:lineRule="auto"/>
        <w:ind w:left="851"/>
        <w:jc w:val="both"/>
        <w:outlineLvl w:val="2"/>
        <w:rPr>
          <w:rFonts w:eastAsia="Times New Roman" w:cs="Times New Roman"/>
          <w:noProof/>
        </w:rPr>
      </w:pPr>
      <w:r>
        <w:rPr>
          <w:noProof/>
        </w:rPr>
        <w:t>Investiția RE-C02-i03-RAM: Consolidarea ofertei de locuințe sociale în Regiunea Autonomă Madeira</w:t>
      </w:r>
    </w:p>
    <w:p w14:paraId="4FB3B1E7" w14:textId="77777777" w:rsidR="00A15990" w:rsidRDefault="00686A62">
      <w:pPr>
        <w:pStyle w:val="P68B1DB1-Normal4"/>
        <w:keepNext/>
        <w:spacing w:before="40" w:after="0" w:line="259" w:lineRule="auto"/>
        <w:jc w:val="both"/>
        <w:rPr>
          <w:rFonts w:eastAsia="Times New Roman" w:cs="Times New Roman"/>
          <w:noProof/>
        </w:rPr>
      </w:pPr>
      <w:r>
        <w:rPr>
          <w:noProof/>
        </w:rPr>
        <w:t xml:space="preserve">Obiectivul acestei investiții este de a răspunde nevoilor în materie de locuințe ale familiilor care trăiesc în condiții dificile și care nu au capacitatea financiară necesară pentru a acoperi costul accesului la locuințe adecvate în Regiunea Autonomă Madeira. </w:t>
      </w:r>
    </w:p>
    <w:p w14:paraId="3BBCCBA7" w14:textId="70F3E827" w:rsidR="00A15990" w:rsidRDefault="00686A62">
      <w:pPr>
        <w:pStyle w:val="P68B1DB1-Normal4"/>
        <w:keepNext/>
        <w:spacing w:before="40" w:after="0" w:line="259" w:lineRule="auto"/>
        <w:jc w:val="both"/>
        <w:rPr>
          <w:rFonts w:eastAsia="Times New Roman" w:cs="Times New Roman"/>
          <w:noProof/>
        </w:rPr>
      </w:pPr>
      <w:r>
        <w:rPr>
          <w:noProof/>
        </w:rPr>
        <w:t>Investiția constă în construirea și/sau achiziționarea de locuințe sociale pentru 805 de gospodării (investiția include, de asemenea, studii, proiecte, achiziții de terenuri și construcții), sprijinirea reabilitării celor 325 de locuințe private (inclusiv îmbunătățirea performanței energetice). Investiția prevede, de asemenea, achiziționarea de servicii pentru dezvoltarea sistemelor informatice și a soluțiilor de e-guvernare în sectorul locuințelor.</w:t>
      </w:r>
    </w:p>
    <w:p w14:paraId="54DD8C40" w14:textId="77777777"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30 iunie 2026.</w:t>
      </w:r>
    </w:p>
    <w:p w14:paraId="525A5122" w14:textId="2ED4CDFD" w:rsidR="00A15990" w:rsidRDefault="00686A62">
      <w:pPr>
        <w:pStyle w:val="P68B1DB1-Normal5"/>
        <w:spacing w:before="240" w:after="0" w:line="259" w:lineRule="auto"/>
        <w:ind w:left="851"/>
        <w:jc w:val="both"/>
        <w:outlineLvl w:val="2"/>
        <w:rPr>
          <w:rFonts w:eastAsiaTheme="minorEastAsia" w:cs="Times New Roman"/>
          <w:b/>
          <w:noProof/>
        </w:rPr>
      </w:pPr>
      <w:r>
        <w:rPr>
          <w:noProof/>
        </w:rPr>
        <w:t>Investiția RE-02-i04-RAA: Îmbunătățirea condițiilor de locuit în fondul locativ al Regiunii Autonome Azore</w:t>
      </w:r>
    </w:p>
    <w:p w14:paraId="6DE7760B" w14:textId="77777777" w:rsidR="00A15990" w:rsidRDefault="00686A62">
      <w:pPr>
        <w:pStyle w:val="P68B1DB1-Normal4"/>
        <w:keepNext/>
        <w:spacing w:before="40" w:after="0" w:line="259" w:lineRule="auto"/>
        <w:jc w:val="both"/>
        <w:rPr>
          <w:rFonts w:eastAsia="Times New Roman" w:cs="Times New Roman"/>
          <w:noProof/>
        </w:rPr>
      </w:pPr>
      <w:r>
        <w:rPr>
          <w:noProof/>
        </w:rPr>
        <w:t xml:space="preserve">Obiectivul investiției este de a consolida ofertele de locuințe la diferite niveluri, ca urmare a unei deteriorări semnificative a degradării clădirilor din Regiunea Autonomă Azore și a unei reduceri a ofertei pe piața imobiliară. </w:t>
      </w:r>
    </w:p>
    <w:p w14:paraId="63A86507" w14:textId="455DA13E" w:rsidR="00A15990" w:rsidRDefault="00686A62">
      <w:pPr>
        <w:pStyle w:val="P68B1DB1-Normal4"/>
        <w:keepNext/>
        <w:spacing w:before="40" w:after="0" w:line="259" w:lineRule="auto"/>
        <w:jc w:val="both"/>
        <w:rPr>
          <w:rFonts w:eastAsia="Times New Roman" w:cs="Times New Roman"/>
          <w:noProof/>
        </w:rPr>
      </w:pPr>
      <w:r>
        <w:rPr>
          <w:noProof/>
        </w:rPr>
        <w:t>Investiția constă, în diverse insule, în:</w:t>
      </w:r>
    </w:p>
    <w:p w14:paraId="545C36D3" w14:textId="581E192D" w:rsidR="00A15990" w:rsidRDefault="00686A62">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construcția a 100 de clădiri </w:t>
      </w:r>
    </w:p>
    <w:p w14:paraId="0C226449" w14:textId="15B8BAAD" w:rsidR="00A15990" w:rsidRDefault="00686A62">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finalizarea a 75 apartamente; și </w:t>
      </w:r>
    </w:p>
    <w:p w14:paraId="51B9C6BC" w14:textId="10E25141" w:rsidR="00A15990" w:rsidRDefault="00686A62">
      <w:pPr>
        <w:pStyle w:val="P68B1DB1-Normal4"/>
        <w:keepNext/>
        <w:numPr>
          <w:ilvl w:val="0"/>
          <w:numId w:val="68"/>
        </w:numPr>
        <w:spacing w:before="40" w:after="160" w:line="259" w:lineRule="auto"/>
        <w:contextualSpacing/>
        <w:jc w:val="both"/>
        <w:rPr>
          <w:rFonts w:eastAsia="Times New Roman" w:cs="Times New Roman"/>
          <w:noProof/>
        </w:rPr>
      </w:pPr>
      <w:r>
        <w:rPr>
          <w:noProof/>
        </w:rPr>
        <w:t xml:space="preserve">reabilitarea clădirilor (renovare aprofundată pentru 63 de clădiri, renovarea medie a 329 de clădiri și intervenții mici în 135 de clădiri) pentru un total de 527 de intervenții. </w:t>
      </w:r>
    </w:p>
    <w:p w14:paraId="3F09A5C0" w14:textId="77777777"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31 decembrie 2025.</w:t>
      </w:r>
    </w:p>
    <w:p w14:paraId="0311D212" w14:textId="7E660E09" w:rsidR="00A15990" w:rsidRDefault="00686A62">
      <w:pPr>
        <w:pStyle w:val="P68B1DB1-Normal5"/>
        <w:spacing w:before="240" w:after="0" w:line="259" w:lineRule="auto"/>
        <w:ind w:left="851"/>
        <w:jc w:val="both"/>
        <w:outlineLvl w:val="2"/>
        <w:rPr>
          <w:rFonts w:eastAsia="Times New Roman" w:cs="Times New Roman"/>
          <w:noProof/>
        </w:rPr>
      </w:pPr>
      <w:bookmarkStart w:id="3" w:name="_Toc137472439"/>
      <w:r>
        <w:rPr>
          <w:noProof/>
        </w:rPr>
        <w:t>Investiția RE-C02-i07-RAA: Infrastructura parcelelor de teren pentru locuințe rezidențiale</w:t>
      </w:r>
      <w:bookmarkEnd w:id="3"/>
    </w:p>
    <w:p w14:paraId="5DB4B2B6" w14:textId="2335FBC6" w:rsidR="00A15990" w:rsidRDefault="00686A62">
      <w:pPr>
        <w:pStyle w:val="P68B1DB1-Normal4"/>
        <w:keepNext/>
        <w:spacing w:before="40" w:after="0" w:line="259" w:lineRule="auto"/>
        <w:jc w:val="both"/>
        <w:rPr>
          <w:rFonts w:eastAsia="Times New Roman" w:cs="Times New Roman"/>
          <w:noProof/>
        </w:rPr>
      </w:pPr>
      <w:r>
        <w:rPr>
          <w:noProof/>
        </w:rPr>
        <w:t>Obiectivul investiției este de a crea sau de a îmbunătăți infrastructura parcelelor de teren din regiunea autonomă Azore și de a le aloca candidaților selectați. Scopul este de a permite candidaților selectați să își construiască propriile case pe aceste parcele de teren la costuri controlate. Acest program este stabilit prin Decretul legislativ regional nr. 21/2005/A din 3 august 2005. Investiția alocă 145 parcele de teren.</w:t>
      </w:r>
    </w:p>
    <w:p w14:paraId="7838D678" w14:textId="77777777" w:rsidR="00A15990" w:rsidRDefault="00686A62">
      <w:pPr>
        <w:pStyle w:val="P68B1DB1-Normal4"/>
        <w:keepNext/>
        <w:spacing w:before="40" w:after="0" w:line="259" w:lineRule="auto"/>
        <w:jc w:val="both"/>
        <w:rPr>
          <w:rFonts w:eastAsia="Times New Roman" w:cs="Times New Roman"/>
          <w:noProof/>
        </w:rPr>
      </w:pPr>
      <w:r>
        <w:rPr>
          <w:noProof/>
        </w:rPr>
        <w:t xml:space="preserve">La selectarea candidaților care își construiesc propriile locuințe în aceste loturi, se acordă prioritate tinerilor (cu vârsta sub 35 de ani dacă sunt singuri sau au o vârstă totală sub 70 ani dacă sunt căsătoriți sau locuiesc în cuplu). </w:t>
      </w:r>
    </w:p>
    <w:p w14:paraId="3788AF15" w14:textId="43A361F9" w:rsidR="00A15990" w:rsidRDefault="00686A62">
      <w:pPr>
        <w:pStyle w:val="P68B1DB1-Normal4"/>
        <w:keepNext/>
        <w:spacing w:before="40" w:after="0" w:line="259" w:lineRule="auto"/>
        <w:jc w:val="both"/>
        <w:rPr>
          <w:rFonts w:eastAsia="Times New Roman" w:cs="Times New Roman"/>
          <w:noProof/>
        </w:rPr>
      </w:pPr>
      <w:r>
        <w:rPr>
          <w:noProof/>
        </w:rPr>
        <w:t xml:space="preserve">Punerea în aplicare a investiției se va finaliza până la 30 iunie 2026. </w:t>
      </w:r>
    </w:p>
    <w:p w14:paraId="240FFEBB" w14:textId="2C357D8F" w:rsidR="00A15990" w:rsidRDefault="00686A62">
      <w:pPr>
        <w:pStyle w:val="P68B1DB1-Normal5"/>
        <w:spacing w:before="240" w:after="0" w:line="259" w:lineRule="auto"/>
        <w:ind w:left="851"/>
        <w:jc w:val="both"/>
        <w:outlineLvl w:val="2"/>
        <w:rPr>
          <w:rFonts w:eastAsia="Times New Roman" w:cs="Times New Roman"/>
          <w:noProof/>
        </w:rPr>
      </w:pPr>
      <w:r>
        <w:rPr>
          <w:noProof/>
        </w:rPr>
        <w:t>Investiția RE-C02-i08-RAA: Consolidarea fondului de locuințe sociale</w:t>
      </w:r>
    </w:p>
    <w:p w14:paraId="2049FD50" w14:textId="77777777" w:rsidR="00A15990" w:rsidRDefault="00686A62">
      <w:pPr>
        <w:pStyle w:val="P68B1DB1-Normal4"/>
        <w:keepNext/>
        <w:spacing w:before="40" w:after="0" w:line="259" w:lineRule="auto"/>
        <w:jc w:val="both"/>
        <w:rPr>
          <w:rFonts w:eastAsia="Times New Roman" w:cs="Times New Roman"/>
          <w:noProof/>
        </w:rPr>
      </w:pPr>
      <w:r>
        <w:rPr>
          <w:noProof/>
        </w:rPr>
        <w:t xml:space="preserve">Obiectivul investiției este de a consolida fondul de locuințe sociale al Regiunii Autonome Azore. Investiția constă în construirea a 126 de locuințe. </w:t>
      </w:r>
    </w:p>
    <w:p w14:paraId="0909839C" w14:textId="51879CAF" w:rsidR="00A15990" w:rsidRDefault="00686A62">
      <w:pPr>
        <w:pStyle w:val="P68B1DB1-Normal4"/>
        <w:keepNext/>
        <w:spacing w:before="40" w:after="0" w:line="259" w:lineRule="auto"/>
        <w:jc w:val="both"/>
        <w:rPr>
          <w:rFonts w:eastAsia="Times New Roman" w:cs="Times New Roman"/>
          <w:noProof/>
        </w:rPr>
      </w:pPr>
      <w:r>
        <w:rPr>
          <w:noProof/>
        </w:rPr>
        <w:t>Punerea în aplicare a investiției se va finaliza până la 31 decembrie 2025.</w:t>
      </w:r>
    </w:p>
    <w:p w14:paraId="3AC718DE" w14:textId="77777777" w:rsidR="00A15990" w:rsidRDefault="00A15990">
      <w:pPr>
        <w:keepNext/>
        <w:spacing w:before="40" w:after="0" w:line="259" w:lineRule="auto"/>
        <w:jc w:val="both"/>
        <w:rPr>
          <w:rFonts w:ascii="Times New Roman" w:eastAsia="Times New Roman" w:hAnsi="Times New Roman" w:cs="Times New Roman"/>
          <w:noProof/>
          <w:sz w:val="24"/>
        </w:rPr>
      </w:pPr>
    </w:p>
    <w:p w14:paraId="54C2FD53" w14:textId="77777777" w:rsidR="00A15990" w:rsidRDefault="00A15990">
      <w:pPr>
        <w:keepNext/>
        <w:spacing w:before="40" w:after="0" w:line="259" w:lineRule="auto"/>
        <w:jc w:val="both"/>
        <w:rPr>
          <w:rFonts w:ascii="Times New Roman" w:eastAsia="Times New Roman" w:hAnsi="Times New Roman" w:cs="Times New Roman"/>
          <w:noProof/>
          <w:sz w:val="24"/>
        </w:rPr>
      </w:pPr>
    </w:p>
    <w:p w14:paraId="0B7342BB" w14:textId="26242C44"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48"/>
          <w:headerReference w:type="default" r:id="rId49"/>
          <w:footerReference w:type="even" r:id="rId50"/>
          <w:footerReference w:type="default" r:id="rId51"/>
          <w:headerReference w:type="first" r:id="rId52"/>
          <w:footerReference w:type="first" r:id="rId53"/>
          <w:pgSz w:w="11907" w:h="16839"/>
          <w:pgMar w:top="1134" w:right="1134" w:bottom="1134" w:left="1134" w:header="567" w:footer="567" w:gutter="0"/>
          <w:cols w:space="720"/>
          <w:docGrid w:linePitch="360"/>
        </w:sectPr>
      </w:pPr>
    </w:p>
    <w:p w14:paraId="5FD3C9BD" w14:textId="77777777" w:rsidR="00A15990" w:rsidRDefault="00A15990">
      <w:pPr>
        <w:spacing w:before="40" w:after="0" w:line="259" w:lineRule="auto"/>
        <w:jc w:val="both"/>
        <w:rPr>
          <w:rFonts w:ascii="Times New Roman" w:eastAsiaTheme="minorEastAsia" w:hAnsi="Times New Roman" w:cs="Times New Roman"/>
          <w:noProof/>
          <w:sz w:val="24"/>
        </w:rPr>
      </w:pPr>
    </w:p>
    <w:p w14:paraId="5AEF2E47"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B.2. Obiectivele de etapă, indicatorii și calendarul pentru monitorizarea și punerea în aplicare a sprijinului financiar nerambursabil.</w:t>
      </w:r>
    </w:p>
    <w:p w14:paraId="24CF32BC" w14:textId="77777777" w:rsidR="00A15990" w:rsidRDefault="00A15990">
      <w:pPr>
        <w:spacing w:before="40" w:after="0" w:line="259" w:lineRule="auto"/>
        <w:jc w:val="both"/>
        <w:rPr>
          <w:rFonts w:ascii="Times New Roman" w:eastAsiaTheme="minorEastAsia" w:hAnsi="Times New Roman" w:cs="Times New Roman"/>
          <w:b/>
          <w:noProof/>
          <w:sz w:val="24"/>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222"/>
        <w:gridCol w:w="1013"/>
        <w:gridCol w:w="1890"/>
        <w:gridCol w:w="1270"/>
        <w:gridCol w:w="961"/>
        <w:gridCol w:w="1066"/>
        <w:gridCol w:w="847"/>
        <w:gridCol w:w="455"/>
        <w:gridCol w:w="629"/>
        <w:gridCol w:w="4608"/>
      </w:tblGrid>
      <w:tr w:rsidR="00A15990" w14:paraId="26812E46" w14:textId="77777777">
        <w:trPr>
          <w:trHeight w:val="910"/>
          <w:tblHeader/>
        </w:trPr>
        <w:tc>
          <w:tcPr>
            <w:tcW w:w="1134" w:type="dxa"/>
            <w:vMerge w:val="restart"/>
            <w:shd w:val="clear" w:color="auto" w:fill="BDD6EE"/>
            <w:vAlign w:val="center"/>
            <w:hideMark/>
          </w:tcPr>
          <w:p w14:paraId="0A302250"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304" w:type="dxa"/>
            <w:vMerge w:val="restart"/>
            <w:shd w:val="clear" w:color="auto" w:fill="BDD6EE"/>
            <w:vAlign w:val="center"/>
            <w:hideMark/>
          </w:tcPr>
          <w:p w14:paraId="73A11A92"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077" w:type="dxa"/>
            <w:vMerge w:val="restart"/>
            <w:shd w:val="clear" w:color="auto" w:fill="BDD6EE"/>
            <w:vAlign w:val="center"/>
            <w:hideMark/>
          </w:tcPr>
          <w:p w14:paraId="06854622" w14:textId="77777777" w:rsidR="00A15990" w:rsidRDefault="00686A62">
            <w:pPr>
              <w:pStyle w:val="P68B1DB1-Normal6"/>
              <w:spacing w:after="0" w:line="240" w:lineRule="auto"/>
              <w:jc w:val="center"/>
              <w:rPr>
                <w:rFonts w:eastAsia="Times New Roman" w:cs="Times New Roman"/>
                <w:noProof/>
              </w:rPr>
            </w:pPr>
            <w:r>
              <w:rPr>
                <w:noProof/>
              </w:rPr>
              <w:t>Etapă/Obiectiv</w:t>
            </w:r>
          </w:p>
        </w:tc>
        <w:tc>
          <w:tcPr>
            <w:tcW w:w="2026" w:type="dxa"/>
            <w:vMerge w:val="restart"/>
            <w:shd w:val="clear" w:color="auto" w:fill="BDD6EE"/>
            <w:vAlign w:val="center"/>
            <w:hideMark/>
          </w:tcPr>
          <w:p w14:paraId="41E039D4" w14:textId="77777777" w:rsidR="00A15990" w:rsidRDefault="00686A62">
            <w:pPr>
              <w:pStyle w:val="P68B1DB1-Normal6"/>
              <w:spacing w:after="0" w:line="240" w:lineRule="auto"/>
              <w:jc w:val="center"/>
              <w:rPr>
                <w:rFonts w:eastAsia="Times New Roman" w:cs="Times New Roman"/>
                <w:noProof/>
              </w:rPr>
            </w:pPr>
            <w:r>
              <w:rPr>
                <w:noProof/>
              </w:rPr>
              <w:t>Nume</w:t>
            </w:r>
          </w:p>
        </w:tc>
        <w:tc>
          <w:tcPr>
            <w:tcW w:w="1355" w:type="dxa"/>
            <w:vMerge w:val="restart"/>
            <w:shd w:val="clear" w:color="auto" w:fill="BDD6EE"/>
            <w:vAlign w:val="center"/>
            <w:hideMark/>
          </w:tcPr>
          <w:p w14:paraId="52174BB0"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453" w:type="dxa"/>
            <w:gridSpan w:val="3"/>
            <w:shd w:val="clear" w:color="auto" w:fill="BDD6EE"/>
            <w:vAlign w:val="center"/>
            <w:hideMark/>
          </w:tcPr>
          <w:p w14:paraId="62BF7853"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134" w:type="dxa"/>
            <w:gridSpan w:val="2"/>
            <w:shd w:val="clear" w:color="auto" w:fill="BDD6EE"/>
            <w:vAlign w:val="center"/>
            <w:hideMark/>
          </w:tcPr>
          <w:p w14:paraId="6677FCBD"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969" w:type="dxa"/>
            <w:vMerge w:val="restart"/>
            <w:shd w:val="clear" w:color="auto" w:fill="BDD6EE"/>
            <w:noWrap/>
            <w:vAlign w:val="center"/>
            <w:hideMark/>
          </w:tcPr>
          <w:p w14:paraId="2427D0C7"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143446B6" w14:textId="77777777">
        <w:trPr>
          <w:trHeight w:val="470"/>
          <w:tblHeader/>
        </w:trPr>
        <w:tc>
          <w:tcPr>
            <w:tcW w:w="1134" w:type="dxa"/>
            <w:vMerge/>
            <w:vAlign w:val="center"/>
            <w:hideMark/>
          </w:tcPr>
          <w:p w14:paraId="44D8EDF3" w14:textId="77777777" w:rsidR="00A15990" w:rsidRDefault="00A15990">
            <w:pPr>
              <w:spacing w:after="0" w:line="240" w:lineRule="auto"/>
              <w:rPr>
                <w:rFonts w:ascii="Times New Roman" w:eastAsia="Times New Roman" w:hAnsi="Times New Roman" w:cs="Times New Roman"/>
                <w:b/>
                <w:noProof/>
                <w:sz w:val="18"/>
              </w:rPr>
            </w:pPr>
          </w:p>
        </w:tc>
        <w:tc>
          <w:tcPr>
            <w:tcW w:w="1304" w:type="dxa"/>
            <w:vMerge/>
            <w:vAlign w:val="center"/>
            <w:hideMark/>
          </w:tcPr>
          <w:p w14:paraId="512D57CC" w14:textId="77777777" w:rsidR="00A15990" w:rsidRDefault="00A15990">
            <w:pPr>
              <w:spacing w:after="0" w:line="240" w:lineRule="auto"/>
              <w:rPr>
                <w:rFonts w:ascii="Times New Roman" w:eastAsia="Times New Roman" w:hAnsi="Times New Roman" w:cs="Times New Roman"/>
                <w:b/>
                <w:noProof/>
                <w:sz w:val="18"/>
              </w:rPr>
            </w:pPr>
          </w:p>
        </w:tc>
        <w:tc>
          <w:tcPr>
            <w:tcW w:w="1077" w:type="dxa"/>
            <w:vMerge/>
            <w:vAlign w:val="center"/>
            <w:hideMark/>
          </w:tcPr>
          <w:p w14:paraId="538E02C0" w14:textId="77777777" w:rsidR="00A15990" w:rsidRDefault="00A15990">
            <w:pPr>
              <w:spacing w:after="0" w:line="240" w:lineRule="auto"/>
              <w:jc w:val="center"/>
              <w:rPr>
                <w:rFonts w:ascii="Times New Roman" w:eastAsia="Times New Roman" w:hAnsi="Times New Roman" w:cs="Times New Roman"/>
                <w:b/>
                <w:noProof/>
                <w:sz w:val="18"/>
              </w:rPr>
            </w:pPr>
          </w:p>
        </w:tc>
        <w:tc>
          <w:tcPr>
            <w:tcW w:w="2026" w:type="dxa"/>
            <w:vMerge/>
            <w:vAlign w:val="center"/>
            <w:hideMark/>
          </w:tcPr>
          <w:p w14:paraId="0A0C7132" w14:textId="77777777" w:rsidR="00A15990" w:rsidRDefault="00A15990">
            <w:pPr>
              <w:spacing w:after="0" w:line="240" w:lineRule="auto"/>
              <w:rPr>
                <w:rFonts w:ascii="Times New Roman" w:eastAsia="Times New Roman" w:hAnsi="Times New Roman" w:cs="Times New Roman"/>
                <w:b/>
                <w:noProof/>
                <w:sz w:val="18"/>
              </w:rPr>
            </w:pPr>
          </w:p>
        </w:tc>
        <w:tc>
          <w:tcPr>
            <w:tcW w:w="1355" w:type="dxa"/>
            <w:vMerge/>
            <w:vAlign w:val="center"/>
            <w:hideMark/>
          </w:tcPr>
          <w:p w14:paraId="1A5F3ECB" w14:textId="77777777" w:rsidR="00A15990" w:rsidRDefault="00A15990">
            <w:pPr>
              <w:spacing w:after="0" w:line="240" w:lineRule="auto"/>
              <w:rPr>
                <w:rFonts w:ascii="Times New Roman" w:eastAsia="Times New Roman" w:hAnsi="Times New Roman" w:cs="Times New Roman"/>
                <w:b/>
                <w:noProof/>
                <w:sz w:val="18"/>
              </w:rPr>
            </w:pPr>
          </w:p>
        </w:tc>
        <w:tc>
          <w:tcPr>
            <w:tcW w:w="1021" w:type="dxa"/>
            <w:shd w:val="clear" w:color="auto" w:fill="BDD6EE"/>
            <w:vAlign w:val="center"/>
            <w:hideMark/>
          </w:tcPr>
          <w:p w14:paraId="52F8AAFE"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1134" w:type="dxa"/>
            <w:shd w:val="clear" w:color="auto" w:fill="BDD6EE"/>
            <w:vAlign w:val="center"/>
            <w:hideMark/>
          </w:tcPr>
          <w:p w14:paraId="28C4A36C"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897" w:type="dxa"/>
            <w:shd w:val="clear" w:color="auto" w:fill="BDD6EE"/>
            <w:vAlign w:val="center"/>
            <w:hideMark/>
          </w:tcPr>
          <w:p w14:paraId="1ABE3536"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473" w:type="dxa"/>
            <w:shd w:val="clear" w:color="auto" w:fill="BDD6EE"/>
            <w:vAlign w:val="center"/>
            <w:hideMark/>
          </w:tcPr>
          <w:p w14:paraId="0E0C1D54" w14:textId="77777777" w:rsidR="00A15990" w:rsidRDefault="00686A62">
            <w:pPr>
              <w:pStyle w:val="P68B1DB1-Normal6"/>
              <w:spacing w:after="0" w:line="240" w:lineRule="auto"/>
              <w:jc w:val="center"/>
              <w:rPr>
                <w:rFonts w:eastAsia="Times New Roman" w:cs="Times New Roman"/>
                <w:noProof/>
              </w:rPr>
            </w:pPr>
            <w:r>
              <w:rPr>
                <w:noProof/>
              </w:rPr>
              <w:t>Q</w:t>
            </w:r>
          </w:p>
        </w:tc>
        <w:tc>
          <w:tcPr>
            <w:tcW w:w="625" w:type="dxa"/>
            <w:shd w:val="clear" w:color="auto" w:fill="BDD6EE"/>
            <w:vAlign w:val="center"/>
            <w:hideMark/>
          </w:tcPr>
          <w:p w14:paraId="01CDE8A6" w14:textId="77777777" w:rsidR="00A15990" w:rsidRDefault="00686A62">
            <w:pPr>
              <w:pStyle w:val="P68B1DB1-Normal6"/>
              <w:spacing w:after="0" w:line="240" w:lineRule="auto"/>
              <w:jc w:val="center"/>
              <w:rPr>
                <w:rFonts w:eastAsia="Times New Roman" w:cs="Times New Roman"/>
                <w:noProof/>
              </w:rPr>
            </w:pPr>
            <w:r>
              <w:rPr>
                <w:noProof/>
              </w:rPr>
              <w:t>Anul</w:t>
            </w:r>
          </w:p>
        </w:tc>
        <w:tc>
          <w:tcPr>
            <w:tcW w:w="4969" w:type="dxa"/>
            <w:vMerge/>
            <w:vAlign w:val="center"/>
            <w:hideMark/>
          </w:tcPr>
          <w:p w14:paraId="5362E692" w14:textId="77777777" w:rsidR="00A15990" w:rsidRDefault="00A15990">
            <w:pPr>
              <w:spacing w:after="0" w:line="240" w:lineRule="auto"/>
              <w:rPr>
                <w:rFonts w:ascii="Times New Roman" w:eastAsia="Times New Roman" w:hAnsi="Times New Roman" w:cs="Times New Roman"/>
                <w:b/>
                <w:noProof/>
                <w:sz w:val="18"/>
              </w:rPr>
            </w:pPr>
          </w:p>
        </w:tc>
      </w:tr>
      <w:tr w:rsidR="00A15990" w14:paraId="6A7FC94D" w14:textId="77777777">
        <w:trPr>
          <w:trHeight w:val="290"/>
        </w:trPr>
        <w:tc>
          <w:tcPr>
            <w:tcW w:w="1134" w:type="dxa"/>
            <w:shd w:val="clear" w:color="auto" w:fill="C5EFCE"/>
            <w:vAlign w:val="center"/>
            <w:hideMark/>
          </w:tcPr>
          <w:p w14:paraId="34896C2A" w14:textId="77777777" w:rsidR="00A15990" w:rsidRDefault="00686A62">
            <w:pPr>
              <w:pStyle w:val="P68B1DB1-Normal7"/>
              <w:spacing w:after="0" w:line="240" w:lineRule="auto"/>
              <w:jc w:val="center"/>
              <w:rPr>
                <w:rFonts w:eastAsia="Times New Roman" w:cs="Calibri"/>
                <w:noProof/>
              </w:rPr>
            </w:pPr>
            <w:r>
              <w:rPr>
                <w:noProof/>
              </w:rPr>
              <w:t>2.1</w:t>
            </w:r>
          </w:p>
        </w:tc>
        <w:tc>
          <w:tcPr>
            <w:tcW w:w="1304" w:type="dxa"/>
            <w:shd w:val="clear" w:color="auto" w:fill="C4EFCE"/>
            <w:vAlign w:val="center"/>
            <w:hideMark/>
          </w:tcPr>
          <w:p w14:paraId="17075C01" w14:textId="77777777" w:rsidR="00A15990" w:rsidRDefault="00686A62">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1061568D"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1421DF1" w14:textId="77777777" w:rsidR="00A15990" w:rsidRDefault="00686A62">
            <w:pPr>
              <w:pStyle w:val="P68B1DB1-Normal8"/>
              <w:spacing w:after="0" w:line="240" w:lineRule="auto"/>
              <w:jc w:val="center"/>
              <w:rPr>
                <w:rFonts w:eastAsia="Times New Roman" w:cs="Calibri"/>
                <w:noProof/>
              </w:rPr>
            </w:pPr>
            <w:r>
              <w:rPr>
                <w:noProof/>
              </w:rPr>
              <w:t>Program de sprijin pentru accesul la locuințe – semnarea unor acorduri de colaborare sau de finanțare</w:t>
            </w:r>
          </w:p>
        </w:tc>
        <w:tc>
          <w:tcPr>
            <w:tcW w:w="1355" w:type="dxa"/>
            <w:shd w:val="clear" w:color="auto" w:fill="C4EFCE"/>
            <w:vAlign w:val="center"/>
            <w:hideMark/>
          </w:tcPr>
          <w:p w14:paraId="60835B4C"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A526E05" w14:textId="5E4CF0F6"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37537AFA"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8A19566" w14:textId="77777777" w:rsidR="00A15990" w:rsidRDefault="00686A62">
            <w:pPr>
              <w:pStyle w:val="P68B1DB1-Normal8"/>
              <w:spacing w:after="0" w:line="240" w:lineRule="auto"/>
              <w:jc w:val="center"/>
              <w:rPr>
                <w:rFonts w:eastAsia="Times New Roman" w:cs="Calibri"/>
                <w:noProof/>
              </w:rPr>
            </w:pPr>
            <w:r>
              <w:rPr>
                <w:noProof/>
              </w:rPr>
              <w:t>75</w:t>
            </w:r>
          </w:p>
        </w:tc>
        <w:tc>
          <w:tcPr>
            <w:tcW w:w="473" w:type="dxa"/>
            <w:shd w:val="clear" w:color="auto" w:fill="C4EFCE"/>
            <w:vAlign w:val="center"/>
            <w:hideMark/>
          </w:tcPr>
          <w:p w14:paraId="09ED35F6" w14:textId="77777777" w:rsidR="00A15990" w:rsidRDefault="00686A62">
            <w:pPr>
              <w:pStyle w:val="P68B1DB1-Normal8"/>
              <w:spacing w:after="0" w:line="240" w:lineRule="auto"/>
              <w:jc w:val="center"/>
              <w:rPr>
                <w:rFonts w:eastAsia="Times New Roman" w:cs="Calibri"/>
                <w:noProof/>
              </w:rPr>
            </w:pPr>
            <w:r>
              <w:rPr>
                <w:noProof/>
              </w:rPr>
              <w:t>TRIMESTRUL 3</w:t>
            </w:r>
          </w:p>
        </w:tc>
        <w:tc>
          <w:tcPr>
            <w:tcW w:w="625" w:type="dxa"/>
            <w:shd w:val="clear" w:color="auto" w:fill="C4EFCE"/>
            <w:vAlign w:val="center"/>
            <w:hideMark/>
          </w:tcPr>
          <w:p w14:paraId="6C3BD1EA" w14:textId="77777777" w:rsidR="00A15990" w:rsidRDefault="00686A62">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4DF0FD03" w14:textId="77777777" w:rsidR="00A15990" w:rsidRDefault="00686A62">
            <w:pPr>
              <w:pStyle w:val="P68B1DB1-Normal8"/>
              <w:spacing w:after="0" w:line="240" w:lineRule="auto"/>
              <w:rPr>
                <w:rFonts w:eastAsia="Times New Roman" w:cs="Calibri"/>
                <w:noProof/>
              </w:rPr>
            </w:pPr>
            <w:r>
              <w:rPr>
                <w:noProof/>
              </w:rPr>
              <w:t xml:space="preserve">Semnarea acordurilor de colaborare sau de finanțare. </w:t>
            </w:r>
          </w:p>
          <w:p w14:paraId="3127316F" w14:textId="77777777" w:rsidR="00A15990" w:rsidRDefault="00A15990">
            <w:pPr>
              <w:spacing w:after="0" w:line="240" w:lineRule="auto"/>
              <w:rPr>
                <w:rFonts w:ascii="Calibri" w:eastAsia="Times New Roman" w:hAnsi="Calibri" w:cs="Calibri"/>
                <w:noProof/>
                <w:sz w:val="16"/>
              </w:rPr>
            </w:pPr>
          </w:p>
          <w:p w14:paraId="47A044E4" w14:textId="5553DF5D" w:rsidR="00A15990" w:rsidRDefault="00686A62">
            <w:pPr>
              <w:pStyle w:val="P68B1DB1-Normal8"/>
              <w:spacing w:after="0" w:line="240" w:lineRule="auto"/>
              <w:jc w:val="both"/>
              <w:rPr>
                <w:rFonts w:eastAsia="Times New Roman" w:cs="Calibri"/>
                <w:noProof/>
              </w:rPr>
            </w:pPr>
            <w:r>
              <w:rPr>
                <w:noProof/>
              </w:rPr>
              <w:t>Strategiile locale de cazare sunt prezentate de municipalități. Aceste strategii identifică 1) toate nevoile eligibile în cadrul acestui program (astfel cum se specifică în Decretul-lege nr. 37/2018 din 4 iunie) și 2) entitățile care promovează soluții locative. După ce IHRU (Institutul pentru locuințe și reabilitare urbană) a validat conformitatea strategiilor locale de cazare cu programul, se semnează acordurile de colaborare cu municipalitățile sau acordurile de finanțare cu ceilalți beneficiari care definesc investițiile concrete care urmează să fie promovate și se specifică termenul de punere în aplicare a acestora.</w:t>
            </w:r>
          </w:p>
        </w:tc>
      </w:tr>
      <w:tr w:rsidR="00A15990" w14:paraId="31DBD300" w14:textId="77777777">
        <w:trPr>
          <w:trHeight w:val="2949"/>
        </w:trPr>
        <w:tc>
          <w:tcPr>
            <w:tcW w:w="1134" w:type="dxa"/>
            <w:shd w:val="clear" w:color="auto" w:fill="C5EFCE"/>
            <w:vAlign w:val="center"/>
            <w:hideMark/>
          </w:tcPr>
          <w:p w14:paraId="435A6D15" w14:textId="77777777" w:rsidR="00A15990" w:rsidRDefault="00686A62">
            <w:pPr>
              <w:pStyle w:val="P68B1DB1-Normal7"/>
              <w:spacing w:after="0" w:line="240" w:lineRule="auto"/>
              <w:jc w:val="center"/>
              <w:rPr>
                <w:rFonts w:eastAsia="Times New Roman" w:cs="Calibri"/>
                <w:noProof/>
              </w:rPr>
            </w:pPr>
            <w:r>
              <w:rPr>
                <w:noProof/>
              </w:rPr>
              <w:t>2.2</w:t>
            </w:r>
          </w:p>
        </w:tc>
        <w:tc>
          <w:tcPr>
            <w:tcW w:w="1304" w:type="dxa"/>
            <w:shd w:val="clear" w:color="auto" w:fill="C4EFCE"/>
            <w:vAlign w:val="center"/>
            <w:hideMark/>
          </w:tcPr>
          <w:p w14:paraId="7F179DDC" w14:textId="77777777" w:rsidR="00A15990" w:rsidRDefault="00686A62">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480FFBF4"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841A35F" w14:textId="77777777" w:rsidR="00A15990" w:rsidRDefault="00686A62">
            <w:pPr>
              <w:pStyle w:val="P68B1DB1-Normal8"/>
              <w:spacing w:after="0" w:line="240" w:lineRule="auto"/>
              <w:jc w:val="center"/>
              <w:rPr>
                <w:rFonts w:eastAsia="Times New Roman" w:cs="Calibri"/>
                <w:noProof/>
              </w:rPr>
            </w:pPr>
            <w:r>
              <w:rPr>
                <w:noProof/>
              </w:rPr>
              <w:t>Program de sprijin pentru accesul la locuințe – locuințe achiziționate, construite (cu eficiență energetică ridicată) sau reabilitate (cu o performanță energetică îmbunătățită) furnizate gospodăriilor</w:t>
            </w:r>
          </w:p>
        </w:tc>
        <w:tc>
          <w:tcPr>
            <w:tcW w:w="1355" w:type="dxa"/>
            <w:shd w:val="clear" w:color="auto" w:fill="C4EFCE"/>
            <w:vAlign w:val="center"/>
            <w:hideMark/>
          </w:tcPr>
          <w:p w14:paraId="79254448"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5B97704" w14:textId="77777777"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5717ADD7"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427505B2" w14:textId="0DACC7D5" w:rsidR="00A15990" w:rsidRDefault="00686A62">
            <w:pPr>
              <w:pStyle w:val="P68B1DB1-Normal8"/>
              <w:spacing w:after="0" w:line="240" w:lineRule="auto"/>
              <w:jc w:val="center"/>
              <w:rPr>
                <w:rFonts w:eastAsia="Times New Roman" w:cs="Calibri"/>
                <w:noProof/>
              </w:rPr>
            </w:pPr>
            <w:r>
              <w:rPr>
                <w:noProof/>
              </w:rPr>
              <w:t>1 500</w:t>
            </w:r>
          </w:p>
        </w:tc>
        <w:tc>
          <w:tcPr>
            <w:tcW w:w="473" w:type="dxa"/>
            <w:shd w:val="clear" w:color="auto" w:fill="C4EFCE"/>
            <w:vAlign w:val="center"/>
            <w:hideMark/>
          </w:tcPr>
          <w:p w14:paraId="1E68496B" w14:textId="77777777" w:rsidR="00A15990" w:rsidRDefault="00686A62">
            <w:pPr>
              <w:pStyle w:val="P68B1DB1-Normal8"/>
              <w:spacing w:after="0" w:line="240" w:lineRule="auto"/>
              <w:jc w:val="center"/>
              <w:rPr>
                <w:rFonts w:eastAsia="Times New Roman" w:cs="Calibri"/>
                <w:noProof/>
              </w:rPr>
            </w:pPr>
            <w:r>
              <w:rPr>
                <w:noProof/>
              </w:rPr>
              <w:t>TRIMESTRUL 3</w:t>
            </w:r>
          </w:p>
        </w:tc>
        <w:tc>
          <w:tcPr>
            <w:tcW w:w="625" w:type="dxa"/>
            <w:shd w:val="clear" w:color="auto" w:fill="C4EFCE"/>
            <w:vAlign w:val="center"/>
            <w:hideMark/>
          </w:tcPr>
          <w:p w14:paraId="21D559DA" w14:textId="77777777" w:rsidR="00A15990" w:rsidRDefault="00686A62">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10E4BAB8" w14:textId="44115244" w:rsidR="00A15990" w:rsidRDefault="00686A62">
            <w:pPr>
              <w:pStyle w:val="P68B1DB1-Normal8"/>
              <w:spacing w:after="0" w:line="240" w:lineRule="auto"/>
              <w:jc w:val="both"/>
              <w:rPr>
                <w:rFonts w:eastAsia="Times New Roman" w:cs="Calibri"/>
                <w:noProof/>
              </w:rPr>
            </w:pPr>
            <w:r>
              <w:rPr>
                <w:noProof/>
              </w:rPr>
              <w:t xml:space="preserve">Numărul de locuințe livrate gospodăriilor eligibile din cadrul programului. Clădirile noi trebuie să aibă o cerere de energie primară cu cel puțin 20 % mai mică decât necesarul de clădiri al căror consum de energie este aproape egal cu zero (cu excepția proiectelor în curs și prevăzute în buget pentru 2021 și 2022, reprezentând până la 188 250 000 EUR din alocarea totală pentru această măsură). </w:t>
            </w:r>
          </w:p>
        </w:tc>
      </w:tr>
      <w:tr w:rsidR="00A15990" w14:paraId="375E02BE" w14:textId="77777777">
        <w:trPr>
          <w:trHeight w:val="1691"/>
        </w:trPr>
        <w:tc>
          <w:tcPr>
            <w:tcW w:w="1134" w:type="dxa"/>
            <w:shd w:val="clear" w:color="auto" w:fill="C5EFCE"/>
            <w:vAlign w:val="center"/>
          </w:tcPr>
          <w:p w14:paraId="31060937" w14:textId="2D4F963A" w:rsidR="00A15990" w:rsidRDefault="00686A62">
            <w:pPr>
              <w:pStyle w:val="P68B1DB1-Normal7"/>
              <w:spacing w:after="0" w:line="240" w:lineRule="auto"/>
              <w:jc w:val="center"/>
              <w:rPr>
                <w:rFonts w:eastAsia="Times New Roman" w:cs="Calibri"/>
                <w:noProof/>
              </w:rPr>
            </w:pPr>
            <w:r>
              <w:rPr>
                <w:noProof/>
              </w:rPr>
              <w:t>2.29</w:t>
            </w:r>
          </w:p>
        </w:tc>
        <w:tc>
          <w:tcPr>
            <w:tcW w:w="1304" w:type="dxa"/>
            <w:shd w:val="clear" w:color="auto" w:fill="C4EFCE"/>
            <w:vAlign w:val="center"/>
          </w:tcPr>
          <w:p w14:paraId="4F9C5B9F" w14:textId="67E30297" w:rsidR="00A15990" w:rsidRDefault="00686A62">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tcPr>
          <w:p w14:paraId="3C73B808" w14:textId="0AE73BAB"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tcPr>
          <w:p w14:paraId="3E67D982" w14:textId="71A6CE76" w:rsidR="00A15990" w:rsidRDefault="00686A62">
            <w:pPr>
              <w:pStyle w:val="P68B1DB1-Normal8"/>
              <w:spacing w:after="0" w:line="240" w:lineRule="auto"/>
              <w:jc w:val="center"/>
              <w:rPr>
                <w:rFonts w:eastAsia="Times New Roman" w:cs="Calibri"/>
                <w:noProof/>
              </w:rPr>
            </w:pPr>
            <w:r>
              <w:rPr>
                <w:noProof/>
              </w:rPr>
              <w:t>Program de sprijin pentru accesul la locuințe – locuințe achiziționate, construite (cu eficiență energetică ridicată) sau reabilitate (cu o performanță energetică îmbunătățită) furnizate gospodăriilor</w:t>
            </w:r>
          </w:p>
        </w:tc>
        <w:tc>
          <w:tcPr>
            <w:tcW w:w="1355" w:type="dxa"/>
            <w:shd w:val="clear" w:color="auto" w:fill="C4EFCE"/>
            <w:vAlign w:val="center"/>
          </w:tcPr>
          <w:p w14:paraId="31101875" w14:textId="77777777" w:rsidR="00A15990" w:rsidRDefault="00A15990">
            <w:pPr>
              <w:spacing w:after="0" w:line="240" w:lineRule="auto"/>
              <w:jc w:val="center"/>
              <w:rPr>
                <w:rFonts w:ascii="Calibri" w:eastAsia="Times New Roman" w:hAnsi="Calibri" w:cs="Calibri"/>
                <w:noProof/>
                <w:sz w:val="16"/>
              </w:rPr>
            </w:pPr>
          </w:p>
        </w:tc>
        <w:tc>
          <w:tcPr>
            <w:tcW w:w="1021" w:type="dxa"/>
            <w:shd w:val="clear" w:color="auto" w:fill="C4EFCE"/>
            <w:vAlign w:val="center"/>
          </w:tcPr>
          <w:p w14:paraId="51871E3D" w14:textId="14F82F6A"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tcPr>
          <w:p w14:paraId="479FECEA" w14:textId="103FA3F7" w:rsidR="00A15990" w:rsidRDefault="00686A62">
            <w:pPr>
              <w:pStyle w:val="P68B1DB1-Normal8"/>
              <w:spacing w:after="0" w:line="240" w:lineRule="auto"/>
              <w:jc w:val="center"/>
              <w:rPr>
                <w:rFonts w:eastAsia="Times New Roman" w:cs="Calibri"/>
                <w:noProof/>
              </w:rPr>
            </w:pPr>
            <w:r>
              <w:rPr>
                <w:noProof/>
              </w:rPr>
              <w:t>1 500</w:t>
            </w:r>
          </w:p>
        </w:tc>
        <w:tc>
          <w:tcPr>
            <w:tcW w:w="897" w:type="dxa"/>
            <w:shd w:val="clear" w:color="auto" w:fill="C4EFCE"/>
            <w:vAlign w:val="center"/>
          </w:tcPr>
          <w:p w14:paraId="5D50B648" w14:textId="748205E1" w:rsidR="00A15990" w:rsidRDefault="00686A62">
            <w:pPr>
              <w:pStyle w:val="P68B1DB1-Normal8"/>
              <w:spacing w:after="0" w:line="240" w:lineRule="auto"/>
              <w:jc w:val="center"/>
              <w:rPr>
                <w:rFonts w:eastAsia="Times New Roman" w:cs="Calibri"/>
                <w:noProof/>
              </w:rPr>
            </w:pPr>
            <w:r>
              <w:rPr>
                <w:noProof/>
              </w:rPr>
              <w:t>10 000</w:t>
            </w:r>
          </w:p>
        </w:tc>
        <w:tc>
          <w:tcPr>
            <w:tcW w:w="473" w:type="dxa"/>
            <w:shd w:val="clear" w:color="auto" w:fill="C4EFCE"/>
            <w:vAlign w:val="center"/>
          </w:tcPr>
          <w:p w14:paraId="7C6DC9DC" w14:textId="3B28900F" w:rsidR="00A15990" w:rsidRDefault="00686A62">
            <w:pPr>
              <w:pStyle w:val="P68B1DB1-Normal8"/>
              <w:spacing w:after="0" w:line="240" w:lineRule="auto"/>
              <w:jc w:val="center"/>
              <w:rPr>
                <w:rFonts w:eastAsia="Times New Roman" w:cs="Calibri"/>
                <w:noProof/>
              </w:rPr>
            </w:pPr>
            <w:r>
              <w:rPr>
                <w:noProof/>
              </w:rPr>
              <w:t>TRIMESTRUL 2</w:t>
            </w:r>
          </w:p>
        </w:tc>
        <w:tc>
          <w:tcPr>
            <w:tcW w:w="625" w:type="dxa"/>
            <w:shd w:val="clear" w:color="auto" w:fill="C4EFCE"/>
            <w:vAlign w:val="center"/>
          </w:tcPr>
          <w:p w14:paraId="1AE5F7BB" w14:textId="1E2B6B17" w:rsidR="00A15990" w:rsidRDefault="00686A62">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tcPr>
          <w:p w14:paraId="035D8FB0" w14:textId="678DD79D" w:rsidR="00A15990" w:rsidRDefault="00686A62">
            <w:pPr>
              <w:pStyle w:val="P68B1DB1-Normal8"/>
              <w:spacing w:after="0" w:line="240" w:lineRule="auto"/>
              <w:jc w:val="both"/>
              <w:rPr>
                <w:rFonts w:eastAsia="Times New Roman" w:cs="Calibri"/>
                <w:noProof/>
              </w:rPr>
            </w:pPr>
            <w:r>
              <w:rPr>
                <w:noProof/>
              </w:rPr>
              <w:t xml:space="preserve">Numărul de locuințe livrate gospodăriilor eligibile din cadrul programului. Clădirile noi trebuie să aibă o cerere de energie primară cu cel puțin 20 % mai mică decât necesarul de clădiri al căror consum de energie este aproape egal cu zero (cu excepția proiectelor în curs și prevăzute în buget pentru 2021 și 2022, reprezentând până la 188 250 000 EUR din alocarea totală pentru această măsură). </w:t>
            </w:r>
          </w:p>
        </w:tc>
      </w:tr>
      <w:tr w:rsidR="00A15990" w14:paraId="6BC82244" w14:textId="77777777">
        <w:trPr>
          <w:trHeight w:val="509"/>
        </w:trPr>
        <w:tc>
          <w:tcPr>
            <w:tcW w:w="1134" w:type="dxa"/>
            <w:shd w:val="clear" w:color="auto" w:fill="C5EFCE"/>
            <w:vAlign w:val="center"/>
            <w:hideMark/>
          </w:tcPr>
          <w:p w14:paraId="59350F65" w14:textId="77777777" w:rsidR="00A15990" w:rsidRDefault="00686A62">
            <w:pPr>
              <w:pStyle w:val="P68B1DB1-Normal7"/>
              <w:spacing w:after="0" w:line="240" w:lineRule="auto"/>
              <w:jc w:val="center"/>
              <w:rPr>
                <w:rFonts w:eastAsia="Times New Roman" w:cs="Calibri"/>
                <w:noProof/>
              </w:rPr>
            </w:pPr>
            <w:r>
              <w:rPr>
                <w:noProof/>
              </w:rPr>
              <w:t>2.3</w:t>
            </w:r>
          </w:p>
        </w:tc>
        <w:tc>
          <w:tcPr>
            <w:tcW w:w="1304" w:type="dxa"/>
            <w:shd w:val="clear" w:color="auto" w:fill="C4EFCE"/>
            <w:vAlign w:val="center"/>
            <w:hideMark/>
          </w:tcPr>
          <w:p w14:paraId="639C84CF" w14:textId="77777777" w:rsidR="00A15990" w:rsidRDefault="00686A62">
            <w:pPr>
              <w:pStyle w:val="P68B1DB1-Normal8"/>
              <w:spacing w:after="0" w:line="240" w:lineRule="auto"/>
              <w:jc w:val="center"/>
              <w:rPr>
                <w:rFonts w:eastAsia="Times New Roman" w:cs="Calibri"/>
                <w:noProof/>
              </w:rPr>
            </w:pPr>
            <w:r>
              <w:rPr>
                <w:noProof/>
              </w:rPr>
              <w:t>RE-C02-i01</w:t>
            </w:r>
          </w:p>
        </w:tc>
        <w:tc>
          <w:tcPr>
            <w:tcW w:w="1077" w:type="dxa"/>
            <w:shd w:val="clear" w:color="auto" w:fill="C4EFCE"/>
            <w:vAlign w:val="center"/>
            <w:hideMark/>
          </w:tcPr>
          <w:p w14:paraId="069FE15A"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E94FF9B" w14:textId="77777777" w:rsidR="00A15990" w:rsidRDefault="00686A62">
            <w:pPr>
              <w:pStyle w:val="P68B1DB1-Normal8"/>
              <w:spacing w:after="0" w:line="240" w:lineRule="auto"/>
              <w:jc w:val="center"/>
              <w:rPr>
                <w:rFonts w:eastAsia="Times New Roman" w:cs="Calibri"/>
                <w:noProof/>
              </w:rPr>
            </w:pPr>
            <w:r>
              <w:rPr>
                <w:noProof/>
              </w:rPr>
              <w:t xml:space="preserve">Program de sprijin pentru accesul la locuințe – locuințe achiziționate, construite (cu eficiență energetică ridicată) sau reabilitate (cu o performanță energetică îmbunătățită) furnizate gospodăriilor </w:t>
            </w:r>
          </w:p>
        </w:tc>
        <w:tc>
          <w:tcPr>
            <w:tcW w:w="1355" w:type="dxa"/>
            <w:shd w:val="clear" w:color="auto" w:fill="C4EFCE"/>
            <w:vAlign w:val="center"/>
            <w:hideMark/>
          </w:tcPr>
          <w:p w14:paraId="751EA2D7"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35A0186" w14:textId="77777777"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1EF94F6B" w14:textId="113A63A7" w:rsidR="00A15990" w:rsidRDefault="00686A62">
            <w:pPr>
              <w:pStyle w:val="P68B1DB1-Normal8"/>
              <w:spacing w:after="0" w:line="240" w:lineRule="auto"/>
              <w:jc w:val="center"/>
              <w:rPr>
                <w:rFonts w:eastAsia="Times New Roman" w:cs="Calibri"/>
                <w:noProof/>
              </w:rPr>
            </w:pPr>
            <w:r>
              <w:rPr>
                <w:noProof/>
              </w:rPr>
              <w:t>10 000</w:t>
            </w:r>
          </w:p>
        </w:tc>
        <w:tc>
          <w:tcPr>
            <w:tcW w:w="897" w:type="dxa"/>
            <w:shd w:val="clear" w:color="auto" w:fill="C4EFCE"/>
            <w:vAlign w:val="center"/>
            <w:hideMark/>
          </w:tcPr>
          <w:p w14:paraId="5D687843" w14:textId="4E170287" w:rsidR="00A15990" w:rsidRDefault="00686A62">
            <w:pPr>
              <w:pStyle w:val="P68B1DB1-Normal8"/>
              <w:spacing w:after="0" w:line="240" w:lineRule="auto"/>
              <w:jc w:val="center"/>
              <w:rPr>
                <w:rFonts w:eastAsia="Times New Roman" w:cs="Calibri"/>
                <w:noProof/>
              </w:rPr>
            </w:pPr>
            <w:r>
              <w:rPr>
                <w:noProof/>
              </w:rPr>
              <w:t>22 360</w:t>
            </w:r>
          </w:p>
        </w:tc>
        <w:tc>
          <w:tcPr>
            <w:tcW w:w="473" w:type="dxa"/>
            <w:shd w:val="clear" w:color="auto" w:fill="C4EFCE"/>
            <w:vAlign w:val="center"/>
            <w:hideMark/>
          </w:tcPr>
          <w:p w14:paraId="0BDA8B9E" w14:textId="77777777" w:rsidR="00A15990" w:rsidRDefault="00686A62">
            <w:pPr>
              <w:pStyle w:val="P68B1DB1-Normal8"/>
              <w:spacing w:after="0" w:line="240" w:lineRule="auto"/>
              <w:jc w:val="center"/>
              <w:rPr>
                <w:rFonts w:eastAsia="Times New Roman" w:cs="Calibri"/>
                <w:noProof/>
              </w:rPr>
            </w:pPr>
            <w:r>
              <w:rPr>
                <w:noProof/>
              </w:rPr>
              <w:t>TRIMESTRUL 2</w:t>
            </w:r>
          </w:p>
        </w:tc>
        <w:tc>
          <w:tcPr>
            <w:tcW w:w="625" w:type="dxa"/>
            <w:shd w:val="clear" w:color="auto" w:fill="C4EFCE"/>
            <w:vAlign w:val="center"/>
            <w:hideMark/>
          </w:tcPr>
          <w:p w14:paraId="5A2AE7BE" w14:textId="77777777" w:rsidR="00A15990" w:rsidRDefault="00686A62">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B093878" w14:textId="3B9713FE" w:rsidR="00A15990" w:rsidRDefault="00686A62">
            <w:pPr>
              <w:pStyle w:val="P68B1DB1-Normal8"/>
              <w:spacing w:after="0" w:line="240" w:lineRule="auto"/>
              <w:jc w:val="both"/>
              <w:rPr>
                <w:rFonts w:eastAsia="Times New Roman" w:cs="Calibri"/>
                <w:noProof/>
              </w:rPr>
            </w:pPr>
            <w:r>
              <w:rPr>
                <w:noProof/>
              </w:rPr>
              <w:t xml:space="preserve">Numărul de locuințe livrate gospodăriilor eligibile din cadrul programului. Clădirile noi trebuie să aibă o cerere de energie primară cu cel puțin 20 % mai mică decât necesarul de clădiri al căror consum de energie este aproape egal cu zero (cu excepția proiectelor în curs și prevăzute în buget pentru 2021 și 2022, reprezentând până la 188 250 000 EUR din alocarea totală pentru această măsură). Pentru reabilitare, unitatea de referință per locuință este de 73 metri pătrați, iar pentru construcțiile noi 95 metri pătrați pentru cele 22 360 de locuințe. </w:t>
            </w:r>
          </w:p>
        </w:tc>
      </w:tr>
      <w:tr w:rsidR="00A15990" w14:paraId="1B7EC0D5" w14:textId="77777777">
        <w:trPr>
          <w:trHeight w:val="290"/>
        </w:trPr>
        <w:tc>
          <w:tcPr>
            <w:tcW w:w="1134" w:type="dxa"/>
            <w:shd w:val="clear" w:color="auto" w:fill="C5EFCE"/>
            <w:vAlign w:val="center"/>
            <w:hideMark/>
          </w:tcPr>
          <w:p w14:paraId="77D78043" w14:textId="77777777" w:rsidR="00A15990" w:rsidRDefault="00686A62">
            <w:pPr>
              <w:pStyle w:val="P68B1DB1-Normal7"/>
              <w:spacing w:after="0" w:line="240" w:lineRule="auto"/>
              <w:jc w:val="center"/>
              <w:rPr>
                <w:rFonts w:eastAsia="Times New Roman" w:cs="Calibri"/>
                <w:noProof/>
              </w:rPr>
            </w:pPr>
            <w:r>
              <w:rPr>
                <w:noProof/>
              </w:rPr>
              <w:t>2.4</w:t>
            </w:r>
          </w:p>
        </w:tc>
        <w:tc>
          <w:tcPr>
            <w:tcW w:w="1304" w:type="dxa"/>
            <w:shd w:val="clear" w:color="auto" w:fill="C4EFCE"/>
            <w:vAlign w:val="center"/>
            <w:hideMark/>
          </w:tcPr>
          <w:p w14:paraId="21608A65" w14:textId="77777777" w:rsidR="00A15990" w:rsidRDefault="00686A62">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FAA0881" w14:textId="77777777" w:rsidR="00A15990" w:rsidRDefault="00686A62">
            <w:pPr>
              <w:pStyle w:val="P68B1DB1-Normal8"/>
              <w:spacing w:after="0" w:line="240" w:lineRule="auto"/>
              <w:jc w:val="center"/>
              <w:rPr>
                <w:rFonts w:eastAsia="Times New Roman" w:cs="Calibri"/>
                <w:noProof/>
              </w:rPr>
            </w:pPr>
            <w:r>
              <w:rPr>
                <w:noProof/>
              </w:rPr>
              <w:t> T</w:t>
            </w:r>
          </w:p>
        </w:tc>
        <w:tc>
          <w:tcPr>
            <w:tcW w:w="2026" w:type="dxa"/>
            <w:shd w:val="clear" w:color="auto" w:fill="C4EFCE"/>
            <w:vAlign w:val="center"/>
            <w:hideMark/>
          </w:tcPr>
          <w:p w14:paraId="0914FF1B" w14:textId="77777777" w:rsidR="00A15990" w:rsidRDefault="00686A62">
            <w:pPr>
              <w:pStyle w:val="P68B1DB1-Normal8"/>
              <w:spacing w:after="0" w:line="240" w:lineRule="auto"/>
              <w:jc w:val="center"/>
              <w:rPr>
                <w:rFonts w:eastAsia="Times New Roman" w:cs="Calibri"/>
                <w:noProof/>
              </w:rPr>
            </w:pPr>
            <w:r>
              <w:rPr>
                <w:noProof/>
              </w:rPr>
              <w:t>Ajutor național de urgență și temporar pentru cazare – Semnarea acordurilor de finanțare pentru cazarea de urgență și de tranziție</w:t>
            </w:r>
          </w:p>
        </w:tc>
        <w:tc>
          <w:tcPr>
            <w:tcW w:w="1355" w:type="dxa"/>
            <w:shd w:val="clear" w:color="auto" w:fill="C4EFCE"/>
            <w:vAlign w:val="center"/>
            <w:hideMark/>
          </w:tcPr>
          <w:p w14:paraId="058B51CE"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CCDF8A5" w14:textId="77777777"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14C89D3F"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6F45426A" w14:textId="77777777" w:rsidR="00A15990" w:rsidRDefault="00686A62">
            <w:pPr>
              <w:pStyle w:val="P68B1DB1-Normal8"/>
              <w:spacing w:after="0" w:line="240" w:lineRule="auto"/>
              <w:jc w:val="center"/>
              <w:rPr>
                <w:rFonts w:eastAsia="Times New Roman" w:cs="Calibri"/>
                <w:noProof/>
              </w:rPr>
            </w:pPr>
            <w:r>
              <w:rPr>
                <w:noProof/>
              </w:rPr>
              <w:t>500</w:t>
            </w:r>
          </w:p>
        </w:tc>
        <w:tc>
          <w:tcPr>
            <w:tcW w:w="473" w:type="dxa"/>
            <w:shd w:val="clear" w:color="auto" w:fill="C4EFCE"/>
            <w:vAlign w:val="center"/>
            <w:hideMark/>
          </w:tcPr>
          <w:p w14:paraId="4F11D61E" w14:textId="77777777" w:rsidR="00A15990" w:rsidRDefault="00686A62">
            <w:pPr>
              <w:pStyle w:val="P68B1DB1-Normal8"/>
              <w:spacing w:after="0" w:line="240" w:lineRule="auto"/>
              <w:jc w:val="center"/>
              <w:rPr>
                <w:rFonts w:eastAsia="Times New Roman" w:cs="Calibri"/>
                <w:noProof/>
              </w:rPr>
            </w:pPr>
            <w:r>
              <w:rPr>
                <w:noProof/>
              </w:rPr>
              <w:t xml:space="preserve">TRIMESTRUL 3 </w:t>
            </w:r>
          </w:p>
        </w:tc>
        <w:tc>
          <w:tcPr>
            <w:tcW w:w="625" w:type="dxa"/>
            <w:shd w:val="clear" w:color="auto" w:fill="C4EFCE"/>
            <w:vAlign w:val="center"/>
            <w:hideMark/>
          </w:tcPr>
          <w:p w14:paraId="7A500F3E" w14:textId="77777777" w:rsidR="00A15990" w:rsidRDefault="00686A62">
            <w:pPr>
              <w:pStyle w:val="P68B1DB1-Normal8"/>
              <w:spacing w:after="0" w:line="240" w:lineRule="auto"/>
              <w:jc w:val="center"/>
              <w:rPr>
                <w:rFonts w:eastAsia="Times New Roman" w:cs="Calibri"/>
                <w:noProof/>
              </w:rPr>
            </w:pPr>
            <w:r>
              <w:rPr>
                <w:noProof/>
              </w:rPr>
              <w:t>2022</w:t>
            </w:r>
          </w:p>
        </w:tc>
        <w:tc>
          <w:tcPr>
            <w:tcW w:w="4969" w:type="dxa"/>
            <w:shd w:val="clear" w:color="auto" w:fill="C4EFCE"/>
            <w:vAlign w:val="center"/>
            <w:hideMark/>
          </w:tcPr>
          <w:p w14:paraId="6C65AF43" w14:textId="2DE6C2A7" w:rsidR="00A15990" w:rsidRDefault="00686A62">
            <w:pPr>
              <w:pStyle w:val="P68B1DB1-Normal8"/>
              <w:spacing w:after="0" w:line="240" w:lineRule="auto"/>
              <w:jc w:val="both"/>
              <w:rPr>
                <w:rFonts w:eastAsia="Times New Roman" w:cs="Calibri"/>
                <w:noProof/>
              </w:rPr>
            </w:pPr>
            <w:r>
              <w:rPr>
                <w:noProof/>
              </w:rPr>
              <w:t xml:space="preserve">Numărul de facilități de cazare pentru care sunt semnate acorduri de finanțare. </w:t>
            </w:r>
          </w:p>
          <w:p w14:paraId="1401935B" w14:textId="77777777" w:rsidR="00A15990" w:rsidRDefault="00686A62">
            <w:pPr>
              <w:pStyle w:val="P68B1DB1-Normal8"/>
              <w:spacing w:after="0" w:line="240" w:lineRule="auto"/>
              <w:jc w:val="both"/>
              <w:rPr>
                <w:rFonts w:eastAsia="Times New Roman" w:cs="Calibri"/>
                <w:noProof/>
              </w:rPr>
            </w:pPr>
            <w:r>
              <w:rPr>
                <w:noProof/>
              </w:rPr>
              <w:t>Entitățile își depun cererile de finanțare în cadrul cererii de oferte deschise de IHRU (Institutul pentru locuințe și reabilitare urbană) care, după evaluarea și solicitarea unui aviz din partea ISS (Institutul de Securitate Socială) cu privire la valabilitatea și fezabilitatea cererilor depuse, contractează finanțarea și stabilește termenul de punere în aplicare a acesteia. Cazare înseamnă o parte sau întreaga clădire cu acces independent constând în unul sau mai multe compartimente de locuit și spații private sau unități rezidențiale suplimentare pentru mai mult de o gospodărie.</w:t>
            </w:r>
          </w:p>
        </w:tc>
      </w:tr>
      <w:tr w:rsidR="00A15990" w14:paraId="301EE51C" w14:textId="77777777">
        <w:trPr>
          <w:trHeight w:val="2674"/>
        </w:trPr>
        <w:tc>
          <w:tcPr>
            <w:tcW w:w="1134" w:type="dxa"/>
            <w:shd w:val="clear" w:color="auto" w:fill="C5EFCE"/>
            <w:vAlign w:val="center"/>
            <w:hideMark/>
          </w:tcPr>
          <w:p w14:paraId="68B87CC0" w14:textId="77777777" w:rsidR="00A15990" w:rsidRDefault="00686A62">
            <w:pPr>
              <w:pStyle w:val="P68B1DB1-Normal7"/>
              <w:spacing w:after="0" w:line="240" w:lineRule="auto"/>
              <w:jc w:val="center"/>
              <w:rPr>
                <w:rFonts w:eastAsia="Times New Roman" w:cs="Calibri"/>
                <w:noProof/>
              </w:rPr>
            </w:pPr>
            <w:r>
              <w:rPr>
                <w:noProof/>
              </w:rPr>
              <w:t>2.5</w:t>
            </w:r>
          </w:p>
        </w:tc>
        <w:tc>
          <w:tcPr>
            <w:tcW w:w="1304" w:type="dxa"/>
            <w:shd w:val="clear" w:color="auto" w:fill="C4EFCE"/>
            <w:vAlign w:val="center"/>
            <w:hideMark/>
          </w:tcPr>
          <w:p w14:paraId="0896B5A2" w14:textId="77777777" w:rsidR="00A15990" w:rsidRDefault="00686A62">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18C2C033"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2542EC9" w14:textId="77777777" w:rsidR="00A15990" w:rsidRDefault="00686A62">
            <w:pPr>
              <w:pStyle w:val="P68B1DB1-Normal8"/>
              <w:spacing w:after="0" w:line="240" w:lineRule="auto"/>
              <w:jc w:val="center"/>
              <w:rPr>
                <w:rFonts w:eastAsia="Times New Roman" w:cs="Calibri"/>
                <w:noProof/>
              </w:rPr>
            </w:pPr>
            <w:r>
              <w:rPr>
                <w:noProof/>
              </w:rPr>
              <w:t>Subvenție națională de urgență și temporară pentru cazare – Semnarea acordurilor de finanțare pentru unitățile de cazare de urgență și de tranziție</w:t>
            </w:r>
          </w:p>
        </w:tc>
        <w:tc>
          <w:tcPr>
            <w:tcW w:w="1355" w:type="dxa"/>
            <w:shd w:val="clear" w:color="auto" w:fill="C4EFCE"/>
            <w:vAlign w:val="center"/>
            <w:hideMark/>
          </w:tcPr>
          <w:p w14:paraId="729388B8"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0F0E16D" w14:textId="48C4EEB3"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5404D043" w14:textId="77777777" w:rsidR="00A15990" w:rsidRDefault="00686A62">
            <w:pPr>
              <w:pStyle w:val="P68B1DB1-Normal8"/>
              <w:spacing w:after="0" w:line="240" w:lineRule="auto"/>
              <w:jc w:val="center"/>
              <w:rPr>
                <w:rFonts w:eastAsia="Times New Roman" w:cs="Calibri"/>
                <w:noProof/>
              </w:rPr>
            </w:pPr>
            <w:r>
              <w:rPr>
                <w:noProof/>
              </w:rPr>
              <w:t>500</w:t>
            </w:r>
          </w:p>
        </w:tc>
        <w:tc>
          <w:tcPr>
            <w:tcW w:w="897" w:type="dxa"/>
            <w:shd w:val="clear" w:color="auto" w:fill="C4EFCE"/>
            <w:vAlign w:val="center"/>
            <w:hideMark/>
          </w:tcPr>
          <w:p w14:paraId="57B686FC" w14:textId="77777777" w:rsidR="00A15990" w:rsidRDefault="00686A62">
            <w:pPr>
              <w:pStyle w:val="P68B1DB1-Normal8"/>
              <w:spacing w:after="0" w:line="240" w:lineRule="auto"/>
              <w:jc w:val="center"/>
              <w:rPr>
                <w:rFonts w:eastAsia="Times New Roman" w:cs="Calibri"/>
                <w:noProof/>
              </w:rPr>
            </w:pPr>
            <w:r>
              <w:rPr>
                <w:noProof/>
              </w:rPr>
              <w:t>1 000</w:t>
            </w:r>
          </w:p>
        </w:tc>
        <w:tc>
          <w:tcPr>
            <w:tcW w:w="473" w:type="dxa"/>
            <w:shd w:val="clear" w:color="auto" w:fill="C4EFCE"/>
            <w:vAlign w:val="center"/>
            <w:hideMark/>
          </w:tcPr>
          <w:p w14:paraId="106559ED" w14:textId="77777777" w:rsidR="00A15990" w:rsidRDefault="00686A62">
            <w:pPr>
              <w:pStyle w:val="P68B1DB1-Normal8"/>
              <w:spacing w:after="0" w:line="240" w:lineRule="auto"/>
              <w:jc w:val="center"/>
              <w:rPr>
                <w:rFonts w:eastAsia="Times New Roman" w:cs="Calibri"/>
                <w:noProof/>
              </w:rPr>
            </w:pPr>
            <w:r>
              <w:rPr>
                <w:noProof/>
              </w:rPr>
              <w:t>TRIMESTRUL 3</w:t>
            </w:r>
          </w:p>
        </w:tc>
        <w:tc>
          <w:tcPr>
            <w:tcW w:w="625" w:type="dxa"/>
            <w:shd w:val="clear" w:color="auto" w:fill="C4EFCE"/>
            <w:vAlign w:val="center"/>
            <w:hideMark/>
          </w:tcPr>
          <w:p w14:paraId="1B378D8D" w14:textId="77777777" w:rsidR="00A15990" w:rsidRDefault="00686A62">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tcPr>
          <w:p w14:paraId="1296F222" w14:textId="08C6502C" w:rsidR="00A15990" w:rsidRDefault="00686A62">
            <w:pPr>
              <w:pStyle w:val="P68B1DB1-Normal8"/>
              <w:spacing w:after="0" w:line="240" w:lineRule="auto"/>
              <w:jc w:val="both"/>
              <w:rPr>
                <w:rFonts w:eastAsia="Times New Roman" w:cs="Calibri"/>
                <w:noProof/>
              </w:rPr>
            </w:pPr>
            <w:r>
              <w:rPr>
                <w:noProof/>
              </w:rPr>
              <w:t>Numărul de facilități de cazare pentru care sunt semnate acorduri de finanțare.</w:t>
            </w:r>
          </w:p>
          <w:p w14:paraId="3D3E1365" w14:textId="769D7B7A" w:rsidR="00A15990" w:rsidRDefault="00686A62">
            <w:pPr>
              <w:pStyle w:val="P68B1DB1-Normal8"/>
              <w:spacing w:after="0" w:line="240" w:lineRule="auto"/>
              <w:jc w:val="both"/>
              <w:rPr>
                <w:rFonts w:eastAsia="Times New Roman" w:cs="Calibri"/>
                <w:noProof/>
              </w:rPr>
            </w:pPr>
            <w:r>
              <w:rPr>
                <w:noProof/>
              </w:rPr>
              <w:t>Entitățile își depun cererile de finanțare în cadrul cererii de oferte deschise de IHRU (Institutul pentru locuințe și reabilitare urbană) care, după evaluarea și solicitarea unui aviz din partea ISS (Institutul de Securitate Socială) cu privire la valabilitatea și fezabilitatea cererilor depuse, contractează finanțarea și stabilește termenul de punere în aplicare a acesteia. Cazare înseamnă o parte sau întreaga clădire cu acces independent constând în unul sau mai multe compartimente de locuit și spații private sau unități rezidențiale suplimentare pentru mai mult de o gospodărie.</w:t>
            </w:r>
          </w:p>
          <w:p w14:paraId="117AD3E0" w14:textId="77777777" w:rsidR="00A15990" w:rsidRDefault="00A15990">
            <w:pPr>
              <w:spacing w:after="0" w:line="240" w:lineRule="auto"/>
              <w:jc w:val="both"/>
              <w:rPr>
                <w:rFonts w:ascii="Calibri" w:eastAsia="Times New Roman" w:hAnsi="Calibri" w:cs="Calibri"/>
                <w:noProof/>
                <w:sz w:val="16"/>
              </w:rPr>
            </w:pPr>
          </w:p>
        </w:tc>
      </w:tr>
      <w:tr w:rsidR="00A15990" w14:paraId="4D975256" w14:textId="77777777">
        <w:trPr>
          <w:trHeight w:val="2253"/>
        </w:trPr>
        <w:tc>
          <w:tcPr>
            <w:tcW w:w="1134" w:type="dxa"/>
            <w:shd w:val="clear" w:color="auto" w:fill="C5EFCE"/>
            <w:vAlign w:val="center"/>
            <w:hideMark/>
          </w:tcPr>
          <w:p w14:paraId="2C482782" w14:textId="77777777" w:rsidR="00A15990" w:rsidRDefault="00686A62">
            <w:pPr>
              <w:pStyle w:val="P68B1DB1-Normal7"/>
              <w:spacing w:after="0" w:line="240" w:lineRule="auto"/>
              <w:jc w:val="center"/>
              <w:rPr>
                <w:rFonts w:eastAsia="Times New Roman" w:cs="Calibri"/>
                <w:noProof/>
              </w:rPr>
            </w:pPr>
            <w:r>
              <w:rPr>
                <w:noProof/>
              </w:rPr>
              <w:t>2.6</w:t>
            </w:r>
          </w:p>
        </w:tc>
        <w:tc>
          <w:tcPr>
            <w:tcW w:w="1304" w:type="dxa"/>
            <w:shd w:val="clear" w:color="auto" w:fill="C4EFCE"/>
            <w:vAlign w:val="center"/>
            <w:hideMark/>
          </w:tcPr>
          <w:p w14:paraId="672072E0" w14:textId="77777777" w:rsidR="00A15990" w:rsidRDefault="00686A62">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62E3F49B"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E2BDA77" w14:textId="3AFE50BF" w:rsidR="00A15990" w:rsidRDefault="00686A62">
            <w:pPr>
              <w:pStyle w:val="P68B1DB1-Normal8"/>
              <w:spacing w:after="0" w:line="240" w:lineRule="auto"/>
              <w:jc w:val="center"/>
              <w:rPr>
                <w:rFonts w:eastAsia="Times New Roman" w:cs="Calibri"/>
                <w:noProof/>
              </w:rPr>
            </w:pPr>
            <w:r>
              <w:rPr>
                <w:noProof/>
              </w:rPr>
              <w:t>Ajutor național pentru cazare de urgență și temporară – Locuințe cu lucrări de construcții începute sau achiziționate pentru spații de cazare de urgență și de tranziție (care urmează să fie construite sau achiziționate cu un standard de eficiență energetică sau reabilitate cu o performanță energetică îmbunătățită) în construcție</w:t>
            </w:r>
          </w:p>
        </w:tc>
        <w:tc>
          <w:tcPr>
            <w:tcW w:w="1355" w:type="dxa"/>
            <w:shd w:val="clear" w:color="auto" w:fill="C4EFCE"/>
            <w:vAlign w:val="center"/>
            <w:hideMark/>
          </w:tcPr>
          <w:p w14:paraId="5368E03F"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796FA2A1" w14:textId="460620FE"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4ABF0136"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9E3EE0" w14:textId="496C8208" w:rsidR="00A15990" w:rsidRDefault="00686A62">
            <w:pPr>
              <w:pStyle w:val="P68B1DB1-Normal8"/>
              <w:spacing w:after="0" w:line="240" w:lineRule="auto"/>
              <w:jc w:val="center"/>
              <w:rPr>
                <w:rFonts w:eastAsia="Times New Roman" w:cs="Calibri"/>
                <w:noProof/>
              </w:rPr>
            </w:pPr>
            <w:r>
              <w:rPr>
                <w:noProof/>
              </w:rPr>
              <w:t>350</w:t>
            </w:r>
          </w:p>
        </w:tc>
        <w:tc>
          <w:tcPr>
            <w:tcW w:w="473" w:type="dxa"/>
            <w:shd w:val="clear" w:color="auto" w:fill="C4EFCE"/>
            <w:vAlign w:val="center"/>
            <w:hideMark/>
          </w:tcPr>
          <w:p w14:paraId="7DDECB12" w14:textId="77777777" w:rsidR="00A15990" w:rsidRDefault="00686A62">
            <w:pPr>
              <w:pStyle w:val="P68B1DB1-Normal8"/>
              <w:spacing w:after="0" w:line="240" w:lineRule="auto"/>
              <w:jc w:val="center"/>
              <w:rPr>
                <w:rFonts w:eastAsia="Times New Roman" w:cs="Calibri"/>
                <w:noProof/>
              </w:rPr>
            </w:pPr>
            <w:r>
              <w:rPr>
                <w:noProof/>
              </w:rPr>
              <w:t>TRIMESTRUL 3</w:t>
            </w:r>
          </w:p>
        </w:tc>
        <w:tc>
          <w:tcPr>
            <w:tcW w:w="625" w:type="dxa"/>
            <w:shd w:val="clear" w:color="auto" w:fill="C4EFCE"/>
            <w:vAlign w:val="center"/>
            <w:hideMark/>
          </w:tcPr>
          <w:p w14:paraId="67217E7A" w14:textId="77777777" w:rsidR="00A15990" w:rsidRDefault="00686A62">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0AFE01CA" w14:textId="473A67E9" w:rsidR="00A15990" w:rsidRDefault="00686A62">
            <w:pPr>
              <w:pStyle w:val="P68B1DB1-Normal8"/>
              <w:spacing w:after="0" w:line="240" w:lineRule="auto"/>
              <w:jc w:val="both"/>
              <w:rPr>
                <w:rFonts w:eastAsia="Times New Roman" w:cs="Calibri"/>
                <w:noProof/>
              </w:rPr>
            </w:pPr>
            <w:r>
              <w:rPr>
                <w:noProof/>
              </w:rPr>
              <w:t xml:space="preserve">Unități de cazare pentru care au început lucrările de construcții sau au fost achiziționate unități de cazare. După contractarea finanțării, suma este eliberată entităților în funcție de executarea contractului. Clădirile noi trebuie să aibă o cerere de energie primară cu cel puțin 20 % mai mică decât necesarul de clădiri al căror consum de energie este aproape egal cu zero (cu excepția proiectelor în curs și prevăzute în buget pentru 2021 și 2022, reprezentând 14 800 000 EUR din alocarea totală pentru această măsură). </w:t>
            </w:r>
          </w:p>
        </w:tc>
      </w:tr>
      <w:tr w:rsidR="00A15990" w14:paraId="5D93E105" w14:textId="77777777">
        <w:trPr>
          <w:trHeight w:val="509"/>
        </w:trPr>
        <w:tc>
          <w:tcPr>
            <w:tcW w:w="1134" w:type="dxa"/>
            <w:shd w:val="clear" w:color="auto" w:fill="C5EFCE"/>
            <w:vAlign w:val="center"/>
            <w:hideMark/>
          </w:tcPr>
          <w:p w14:paraId="413E90AC" w14:textId="77777777" w:rsidR="00A15990" w:rsidRDefault="00686A62">
            <w:pPr>
              <w:pStyle w:val="P68B1DB1-Normal7"/>
              <w:spacing w:after="0" w:line="240" w:lineRule="auto"/>
              <w:jc w:val="center"/>
              <w:rPr>
                <w:rFonts w:eastAsia="Times New Roman" w:cs="Calibri"/>
                <w:noProof/>
              </w:rPr>
            </w:pPr>
            <w:r>
              <w:rPr>
                <w:noProof/>
              </w:rPr>
              <w:t>2.7</w:t>
            </w:r>
          </w:p>
        </w:tc>
        <w:tc>
          <w:tcPr>
            <w:tcW w:w="1304" w:type="dxa"/>
            <w:shd w:val="clear" w:color="auto" w:fill="C4EFCE"/>
            <w:vAlign w:val="center"/>
            <w:hideMark/>
          </w:tcPr>
          <w:p w14:paraId="1840F1C0" w14:textId="77777777" w:rsidR="00A15990" w:rsidRDefault="00686A62">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0E870F5F"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6E6560F6" w14:textId="5E9818E4" w:rsidR="00A15990" w:rsidRDefault="00686A62">
            <w:pPr>
              <w:pStyle w:val="P68B1DB1-Normal8"/>
              <w:spacing w:after="0" w:line="240" w:lineRule="auto"/>
              <w:jc w:val="center"/>
              <w:rPr>
                <w:rFonts w:eastAsia="Times New Roman" w:cs="Calibri"/>
                <w:noProof/>
              </w:rPr>
            </w:pPr>
            <w:r>
              <w:rPr>
                <w:noProof/>
              </w:rPr>
              <w:t>Grant național pentru cazare de urgență și temporară – Unități de cazare pentru situații de urgență și de tranziție create (construite sau achiziționate cu un standard de eficiență energetică sau reabilitate, inclusiv achiziționate, cu o performanță energetică îmbunătățită) și furnizate dezvoltatorilor</w:t>
            </w:r>
          </w:p>
        </w:tc>
        <w:tc>
          <w:tcPr>
            <w:tcW w:w="1355" w:type="dxa"/>
            <w:shd w:val="clear" w:color="auto" w:fill="C4EFCE"/>
            <w:vAlign w:val="center"/>
            <w:hideMark/>
          </w:tcPr>
          <w:p w14:paraId="4245B913"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07D9E38D" w14:textId="742C938D"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4CFB3CF0"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D5D9D2D" w14:textId="77777777" w:rsidR="00A15990" w:rsidRDefault="00686A62">
            <w:pPr>
              <w:pStyle w:val="P68B1DB1-Normal8"/>
              <w:spacing w:after="0" w:line="240" w:lineRule="auto"/>
              <w:jc w:val="center"/>
              <w:rPr>
                <w:rFonts w:eastAsia="Times New Roman" w:cs="Calibri"/>
                <w:noProof/>
              </w:rPr>
            </w:pPr>
            <w:r>
              <w:rPr>
                <w:noProof/>
              </w:rPr>
              <w:t>2 000</w:t>
            </w:r>
          </w:p>
        </w:tc>
        <w:tc>
          <w:tcPr>
            <w:tcW w:w="473" w:type="dxa"/>
            <w:shd w:val="clear" w:color="auto" w:fill="C4EFCE"/>
            <w:vAlign w:val="center"/>
            <w:hideMark/>
          </w:tcPr>
          <w:p w14:paraId="6B63A6F4" w14:textId="77777777" w:rsidR="00A15990" w:rsidRDefault="00686A62">
            <w:pPr>
              <w:pStyle w:val="P68B1DB1-Normal8"/>
              <w:spacing w:after="0" w:line="240" w:lineRule="auto"/>
              <w:jc w:val="center"/>
              <w:rPr>
                <w:rFonts w:eastAsia="Times New Roman" w:cs="Calibri"/>
                <w:noProof/>
              </w:rPr>
            </w:pPr>
            <w:r>
              <w:rPr>
                <w:noProof/>
              </w:rPr>
              <w:t>TRIMESTRUL 2</w:t>
            </w:r>
          </w:p>
        </w:tc>
        <w:tc>
          <w:tcPr>
            <w:tcW w:w="625" w:type="dxa"/>
            <w:shd w:val="clear" w:color="auto" w:fill="C4EFCE"/>
            <w:vAlign w:val="center"/>
            <w:hideMark/>
          </w:tcPr>
          <w:p w14:paraId="6908D626" w14:textId="77777777" w:rsidR="00A15990" w:rsidRDefault="00686A62">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130C6538" w14:textId="26B12645" w:rsidR="00A15990" w:rsidRDefault="00686A62">
            <w:pPr>
              <w:pStyle w:val="P68B1DB1-Normal8"/>
              <w:spacing w:after="0" w:line="240" w:lineRule="auto"/>
              <w:jc w:val="both"/>
              <w:rPr>
                <w:rFonts w:eastAsia="Times New Roman" w:cs="Calibri"/>
                <w:noProof/>
              </w:rPr>
            </w:pPr>
            <w:r>
              <w:rPr>
                <w:noProof/>
              </w:rPr>
              <w:t xml:space="preserve">Furnizarea de cazare organismelor finanțatoare. Cazare înseamnă o parte sau întreaga clădire cu acces independent constând în unul sau mai multe compartimente de locuit și spații private sau unități rezidențiale suplimentare pentru mai mult de o gospodărie. Clădirile noi trebuie să aibă o cerere de energie primară cu cel puțin 20 % mai mică decât necesarul de clădiri al căror consum de energie este aproape egal cu zero (cu excepția proiectelor în curs și prevăzute în buget pentru 2021 și 2022, reprezentând 14 800 000 EUR din alocarea totală pentru această măsură). Unitatea de referință este, în medie, de 73 metri pătrați pentru cele 2000 de spații de cazare. </w:t>
            </w:r>
          </w:p>
        </w:tc>
      </w:tr>
      <w:tr w:rsidR="00A15990" w14:paraId="7427DF73" w14:textId="77777777">
        <w:trPr>
          <w:trHeight w:val="1114"/>
        </w:trPr>
        <w:tc>
          <w:tcPr>
            <w:tcW w:w="1134" w:type="dxa"/>
            <w:shd w:val="clear" w:color="auto" w:fill="C5EFCE"/>
            <w:vAlign w:val="center"/>
            <w:hideMark/>
          </w:tcPr>
          <w:p w14:paraId="0D2C6831" w14:textId="77777777" w:rsidR="00A15990" w:rsidRDefault="00686A62">
            <w:pPr>
              <w:pStyle w:val="P68B1DB1-Normal7"/>
              <w:spacing w:after="0" w:line="240" w:lineRule="auto"/>
              <w:jc w:val="center"/>
              <w:rPr>
                <w:rFonts w:eastAsia="Times New Roman" w:cs="Calibri"/>
                <w:noProof/>
              </w:rPr>
            </w:pPr>
            <w:r>
              <w:rPr>
                <w:noProof/>
              </w:rPr>
              <w:t>2.8</w:t>
            </w:r>
          </w:p>
        </w:tc>
        <w:tc>
          <w:tcPr>
            <w:tcW w:w="1304" w:type="dxa"/>
            <w:shd w:val="clear" w:color="auto" w:fill="C4EFCE"/>
            <w:vAlign w:val="center"/>
            <w:hideMark/>
          </w:tcPr>
          <w:p w14:paraId="7BA5DE70" w14:textId="77777777" w:rsidR="00A15990" w:rsidRDefault="00686A62">
            <w:pPr>
              <w:pStyle w:val="P68B1DB1-Normal8"/>
              <w:spacing w:after="0" w:line="240" w:lineRule="auto"/>
              <w:jc w:val="center"/>
              <w:rPr>
                <w:rFonts w:eastAsia="Times New Roman" w:cs="Calibri"/>
                <w:noProof/>
              </w:rPr>
            </w:pPr>
            <w:r>
              <w:rPr>
                <w:noProof/>
              </w:rPr>
              <w:t>RE-C02-i02</w:t>
            </w:r>
          </w:p>
        </w:tc>
        <w:tc>
          <w:tcPr>
            <w:tcW w:w="1077" w:type="dxa"/>
            <w:shd w:val="clear" w:color="auto" w:fill="C4EFCE"/>
            <w:vAlign w:val="center"/>
            <w:hideMark/>
          </w:tcPr>
          <w:p w14:paraId="25536932"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BF77C68" w14:textId="7515E99F" w:rsidR="00A15990" w:rsidRDefault="00686A62">
            <w:pPr>
              <w:pStyle w:val="P68B1DB1-Normal8"/>
              <w:spacing w:after="0" w:line="240" w:lineRule="auto"/>
              <w:jc w:val="center"/>
              <w:rPr>
                <w:rFonts w:eastAsia="Times New Roman" w:cs="Calibri"/>
                <w:noProof/>
              </w:rPr>
            </w:pPr>
            <w:r>
              <w:rPr>
                <w:noProof/>
              </w:rPr>
              <w:t>Cazarea livrată forțelor de securitate și cazarea temporară livrată din motive umanitare sau de securitate</w:t>
            </w:r>
          </w:p>
        </w:tc>
        <w:tc>
          <w:tcPr>
            <w:tcW w:w="1355" w:type="dxa"/>
            <w:shd w:val="clear" w:color="auto" w:fill="C4EFCE"/>
            <w:vAlign w:val="center"/>
            <w:hideMark/>
          </w:tcPr>
          <w:p w14:paraId="306C6212"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FB2089" w14:textId="77777777"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651BF2FF"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7C46088F" w14:textId="77777777" w:rsidR="00A15990" w:rsidRDefault="00686A62">
            <w:pPr>
              <w:pStyle w:val="P68B1DB1-Normal8"/>
              <w:spacing w:after="0" w:line="240" w:lineRule="auto"/>
              <w:jc w:val="center"/>
              <w:rPr>
                <w:rFonts w:eastAsia="Times New Roman" w:cs="Calibri"/>
                <w:noProof/>
              </w:rPr>
            </w:pPr>
            <w:r>
              <w:rPr>
                <w:noProof/>
              </w:rPr>
              <w:t>473</w:t>
            </w:r>
          </w:p>
        </w:tc>
        <w:tc>
          <w:tcPr>
            <w:tcW w:w="473" w:type="dxa"/>
            <w:shd w:val="clear" w:color="auto" w:fill="C4EFCE"/>
            <w:vAlign w:val="center"/>
            <w:hideMark/>
          </w:tcPr>
          <w:p w14:paraId="25C353AE" w14:textId="77777777" w:rsidR="00A15990" w:rsidRDefault="00686A62">
            <w:pPr>
              <w:pStyle w:val="P68B1DB1-Normal8"/>
              <w:spacing w:after="0" w:line="240" w:lineRule="auto"/>
              <w:jc w:val="center"/>
              <w:rPr>
                <w:rFonts w:eastAsia="Times New Roman" w:cs="Calibri"/>
                <w:noProof/>
              </w:rPr>
            </w:pPr>
            <w:r>
              <w:rPr>
                <w:noProof/>
              </w:rPr>
              <w:t>TRIMESTRUL 2</w:t>
            </w:r>
          </w:p>
        </w:tc>
        <w:tc>
          <w:tcPr>
            <w:tcW w:w="625" w:type="dxa"/>
            <w:shd w:val="clear" w:color="auto" w:fill="C4EFCE"/>
            <w:vAlign w:val="center"/>
            <w:hideMark/>
          </w:tcPr>
          <w:p w14:paraId="516E0C42" w14:textId="77777777" w:rsidR="00A15990" w:rsidRDefault="00686A62">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05D915D9" w14:textId="6245803B" w:rsidR="00A15990" w:rsidRDefault="00686A62">
            <w:pPr>
              <w:pStyle w:val="P68B1DB1-Normal8"/>
              <w:spacing w:after="0" w:line="240" w:lineRule="auto"/>
              <w:jc w:val="both"/>
              <w:rPr>
                <w:rFonts w:eastAsia="Times New Roman" w:cs="Calibri"/>
                <w:noProof/>
              </w:rPr>
            </w:pPr>
            <w:r>
              <w:rPr>
                <w:noProof/>
              </w:rPr>
              <w:t>Numărul de locuințe livrate forțelor de securitate (SSGNR – Servicii sociale pentru Garda Națională; SSPSP – Servicii sociale pentru poliția de securitate publică) pentru nevoile temporare de cazare, inclusiv trei blocuri pentru forțele de securitate (în cazuri justificate de interesul public). Investiția include, de asemenea, cinci centre de cazare temporară din motive umanitare sau de securitate. Clădirile noi trebuie să aibă o cerere de energie primară cu cel puțin 20 % sub cerințele clădirilor al căror consum de energie este aproape egal cu zero.</w:t>
            </w:r>
          </w:p>
        </w:tc>
      </w:tr>
      <w:tr w:rsidR="00A15990" w14:paraId="7B72B6C0" w14:textId="77777777">
        <w:trPr>
          <w:trHeight w:val="1299"/>
        </w:trPr>
        <w:tc>
          <w:tcPr>
            <w:tcW w:w="1134" w:type="dxa"/>
            <w:shd w:val="clear" w:color="auto" w:fill="C5EFCE"/>
            <w:vAlign w:val="center"/>
            <w:hideMark/>
          </w:tcPr>
          <w:p w14:paraId="516C1714" w14:textId="77777777" w:rsidR="00A15990" w:rsidRDefault="00686A62">
            <w:pPr>
              <w:pStyle w:val="P68B1DB1-Normal7"/>
              <w:spacing w:after="0" w:line="240" w:lineRule="auto"/>
              <w:jc w:val="center"/>
              <w:rPr>
                <w:rFonts w:eastAsia="Times New Roman" w:cs="Calibri"/>
                <w:noProof/>
              </w:rPr>
            </w:pPr>
            <w:r>
              <w:rPr>
                <w:noProof/>
              </w:rPr>
              <w:t>2.10</w:t>
            </w:r>
          </w:p>
        </w:tc>
        <w:tc>
          <w:tcPr>
            <w:tcW w:w="1304" w:type="dxa"/>
            <w:shd w:val="clear" w:color="auto" w:fill="C4EFCE"/>
            <w:vAlign w:val="center"/>
            <w:hideMark/>
          </w:tcPr>
          <w:p w14:paraId="3ABE46D6" w14:textId="77777777" w:rsidR="00A15990" w:rsidRDefault="00686A62">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30B06126"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798BCDBC" w14:textId="77777777" w:rsidR="00A15990" w:rsidRDefault="00686A62">
            <w:pPr>
              <w:pStyle w:val="P68B1DB1-Normal8"/>
              <w:spacing w:after="0" w:line="240" w:lineRule="auto"/>
              <w:jc w:val="center"/>
              <w:rPr>
                <w:rFonts w:eastAsia="Times New Roman" w:cs="Calibri"/>
                <w:noProof/>
              </w:rPr>
            </w:pPr>
            <w:r>
              <w:rPr>
                <w:noProof/>
              </w:rPr>
              <w:t>Locuințe care beneficiază de sprijin în Regiunea Autonomă Madeira</w:t>
            </w:r>
          </w:p>
        </w:tc>
        <w:tc>
          <w:tcPr>
            <w:tcW w:w="1355" w:type="dxa"/>
            <w:shd w:val="clear" w:color="auto" w:fill="C4EFCE"/>
            <w:vAlign w:val="center"/>
            <w:hideMark/>
          </w:tcPr>
          <w:p w14:paraId="0360AAD3"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860824" w14:textId="520F84DE"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66F31C5A" w14:textId="6271036C"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7938948" w14:textId="77777777" w:rsidR="00A15990" w:rsidRDefault="00686A62">
            <w:pPr>
              <w:pStyle w:val="P68B1DB1-Normal8"/>
              <w:spacing w:after="0" w:line="240" w:lineRule="auto"/>
              <w:jc w:val="center"/>
              <w:rPr>
                <w:rFonts w:eastAsia="Times New Roman" w:cs="Calibri"/>
                <w:noProof/>
              </w:rPr>
            </w:pPr>
            <w:r>
              <w:rPr>
                <w:noProof/>
              </w:rPr>
              <w:t>590</w:t>
            </w:r>
          </w:p>
        </w:tc>
        <w:tc>
          <w:tcPr>
            <w:tcW w:w="473" w:type="dxa"/>
            <w:shd w:val="clear" w:color="auto" w:fill="C4EFCE"/>
            <w:vAlign w:val="center"/>
            <w:hideMark/>
          </w:tcPr>
          <w:p w14:paraId="120647CE" w14:textId="77777777" w:rsidR="00A15990" w:rsidRDefault="00686A62">
            <w:pPr>
              <w:pStyle w:val="P68B1DB1-Normal8"/>
              <w:spacing w:after="0" w:line="240" w:lineRule="auto"/>
              <w:jc w:val="center"/>
              <w:rPr>
                <w:rFonts w:eastAsia="Times New Roman" w:cs="Calibri"/>
                <w:noProof/>
              </w:rPr>
            </w:pPr>
            <w:r>
              <w:rPr>
                <w:noProof/>
              </w:rPr>
              <w:t>TRIMESTRUL 4</w:t>
            </w:r>
          </w:p>
        </w:tc>
        <w:tc>
          <w:tcPr>
            <w:tcW w:w="625" w:type="dxa"/>
            <w:shd w:val="clear" w:color="auto" w:fill="C4EFCE"/>
            <w:vAlign w:val="center"/>
            <w:hideMark/>
          </w:tcPr>
          <w:p w14:paraId="15FD699A" w14:textId="77777777" w:rsidR="00A15990" w:rsidRDefault="00686A62">
            <w:pPr>
              <w:pStyle w:val="P68B1DB1-Normal8"/>
              <w:spacing w:after="0" w:line="240" w:lineRule="auto"/>
              <w:jc w:val="center"/>
              <w:rPr>
                <w:rFonts w:eastAsia="Times New Roman" w:cs="Calibri"/>
                <w:noProof/>
              </w:rPr>
            </w:pPr>
            <w:r>
              <w:rPr>
                <w:noProof/>
              </w:rPr>
              <w:t>2024</w:t>
            </w:r>
          </w:p>
        </w:tc>
        <w:tc>
          <w:tcPr>
            <w:tcW w:w="4969" w:type="dxa"/>
            <w:shd w:val="clear" w:color="auto" w:fill="C4EFCE"/>
            <w:vAlign w:val="center"/>
            <w:hideMark/>
          </w:tcPr>
          <w:p w14:paraId="35C90287" w14:textId="0A2F9A09" w:rsidR="00A15990" w:rsidRDefault="00686A62">
            <w:pPr>
              <w:pStyle w:val="P68B1DB1-Normal8"/>
              <w:spacing w:after="0" w:line="240" w:lineRule="auto"/>
              <w:jc w:val="both"/>
              <w:rPr>
                <w:rFonts w:eastAsia="Times New Roman" w:cs="Calibri"/>
                <w:noProof/>
              </w:rPr>
            </w:pPr>
            <w:r>
              <w:rPr>
                <w:noProof/>
              </w:rPr>
              <w:t xml:space="preserve">Numărul de locuințe alocate gospodăriilor eligibile în legătură cu construirea de locuințe sociale sau cu achiziționarea de locuințe rezidențiale pentru locuințe sociale care beneficiază de sprijin. Clădirile noi trebuie să aibă o cerere de energie primară cu cel puțin 20 % sub cerințele clădirilor al căror consum de energie este aproape egal cu zero. </w:t>
            </w:r>
          </w:p>
        </w:tc>
      </w:tr>
      <w:tr w:rsidR="00A15990" w14:paraId="5BA4E6AD" w14:textId="77777777">
        <w:trPr>
          <w:trHeight w:val="1260"/>
        </w:trPr>
        <w:tc>
          <w:tcPr>
            <w:tcW w:w="1134" w:type="dxa"/>
            <w:shd w:val="clear" w:color="auto" w:fill="C5EFCE"/>
            <w:vAlign w:val="center"/>
            <w:hideMark/>
          </w:tcPr>
          <w:p w14:paraId="7AD9EF6A" w14:textId="77777777" w:rsidR="00A15990" w:rsidRDefault="00686A62">
            <w:pPr>
              <w:pStyle w:val="P68B1DB1-Normal7"/>
              <w:spacing w:after="0" w:line="240" w:lineRule="auto"/>
              <w:jc w:val="center"/>
              <w:rPr>
                <w:rFonts w:eastAsia="Times New Roman" w:cs="Calibri"/>
                <w:noProof/>
              </w:rPr>
            </w:pPr>
            <w:r>
              <w:rPr>
                <w:noProof/>
              </w:rPr>
              <w:t>2.11</w:t>
            </w:r>
          </w:p>
        </w:tc>
        <w:tc>
          <w:tcPr>
            <w:tcW w:w="1304" w:type="dxa"/>
            <w:shd w:val="clear" w:color="auto" w:fill="C4EFCE"/>
            <w:vAlign w:val="center"/>
            <w:hideMark/>
          </w:tcPr>
          <w:p w14:paraId="15C2A587" w14:textId="77777777" w:rsidR="00A15990" w:rsidRDefault="00686A62">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6754F4CC"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1401E43" w14:textId="77777777" w:rsidR="00A15990" w:rsidRDefault="00686A62">
            <w:pPr>
              <w:pStyle w:val="P68B1DB1-Normal8"/>
              <w:spacing w:after="0" w:line="240" w:lineRule="auto"/>
              <w:jc w:val="center"/>
              <w:rPr>
                <w:rFonts w:eastAsia="Times New Roman" w:cs="Calibri"/>
                <w:noProof/>
              </w:rPr>
            </w:pPr>
            <w:r>
              <w:rPr>
                <w:noProof/>
              </w:rPr>
              <w:t>Locuințe care beneficiază de sprijin în Regiunea Autonomă Madeira</w:t>
            </w:r>
          </w:p>
        </w:tc>
        <w:tc>
          <w:tcPr>
            <w:tcW w:w="1355" w:type="dxa"/>
            <w:shd w:val="clear" w:color="auto" w:fill="C4EFCE"/>
            <w:vAlign w:val="center"/>
            <w:hideMark/>
          </w:tcPr>
          <w:p w14:paraId="53D5B63F"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48BD7AC9" w14:textId="38690FCA"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281C3A14" w14:textId="77777777" w:rsidR="00A15990" w:rsidRDefault="00686A62">
            <w:pPr>
              <w:pStyle w:val="P68B1DB1-Normal8"/>
              <w:spacing w:after="0" w:line="240" w:lineRule="auto"/>
              <w:jc w:val="center"/>
              <w:rPr>
                <w:rFonts w:eastAsia="Times New Roman" w:cs="Calibri"/>
                <w:noProof/>
              </w:rPr>
            </w:pPr>
            <w:r>
              <w:rPr>
                <w:noProof/>
              </w:rPr>
              <w:t>590</w:t>
            </w:r>
          </w:p>
        </w:tc>
        <w:tc>
          <w:tcPr>
            <w:tcW w:w="897" w:type="dxa"/>
            <w:shd w:val="clear" w:color="auto" w:fill="C4EFCE"/>
            <w:vAlign w:val="center"/>
            <w:hideMark/>
          </w:tcPr>
          <w:p w14:paraId="5DECC890" w14:textId="5F34FF58" w:rsidR="00A15990" w:rsidRDefault="00686A62">
            <w:pPr>
              <w:pStyle w:val="P68B1DB1-Normal8"/>
              <w:spacing w:after="0" w:line="240" w:lineRule="auto"/>
              <w:jc w:val="center"/>
              <w:rPr>
                <w:rFonts w:eastAsia="Times New Roman" w:cs="Calibri"/>
                <w:noProof/>
              </w:rPr>
            </w:pPr>
            <w:r>
              <w:rPr>
                <w:noProof/>
              </w:rPr>
              <w:t>805</w:t>
            </w:r>
          </w:p>
        </w:tc>
        <w:tc>
          <w:tcPr>
            <w:tcW w:w="473" w:type="dxa"/>
            <w:shd w:val="clear" w:color="auto" w:fill="C4EFCE"/>
            <w:vAlign w:val="center"/>
            <w:hideMark/>
          </w:tcPr>
          <w:p w14:paraId="5FD71819" w14:textId="77777777" w:rsidR="00A15990" w:rsidRDefault="00686A62">
            <w:pPr>
              <w:pStyle w:val="P68B1DB1-Normal8"/>
              <w:spacing w:after="0" w:line="240" w:lineRule="auto"/>
              <w:jc w:val="center"/>
              <w:rPr>
                <w:rFonts w:eastAsia="Times New Roman" w:cs="Calibri"/>
                <w:noProof/>
              </w:rPr>
            </w:pPr>
            <w:r>
              <w:rPr>
                <w:noProof/>
              </w:rPr>
              <w:t>TRIMESTRUL 2</w:t>
            </w:r>
          </w:p>
        </w:tc>
        <w:tc>
          <w:tcPr>
            <w:tcW w:w="625" w:type="dxa"/>
            <w:shd w:val="clear" w:color="auto" w:fill="C4EFCE"/>
            <w:vAlign w:val="center"/>
            <w:hideMark/>
          </w:tcPr>
          <w:p w14:paraId="59C4647A" w14:textId="77777777" w:rsidR="00A15990" w:rsidRDefault="00686A62">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5E4F7DA7" w14:textId="16DA01F2" w:rsidR="00A15990" w:rsidRDefault="00686A62">
            <w:pPr>
              <w:pStyle w:val="P68B1DB1-Normal8"/>
              <w:spacing w:after="0" w:line="240" w:lineRule="auto"/>
              <w:jc w:val="both"/>
              <w:rPr>
                <w:rFonts w:eastAsia="Times New Roman" w:cs="Calibri"/>
                <w:noProof/>
              </w:rPr>
            </w:pPr>
            <w:r>
              <w:rPr>
                <w:noProof/>
              </w:rPr>
              <w:t xml:space="preserve">Numărul de locuințe alocate gospodăriilor eligibile în legătură cu construirea de locuințe sociale sau cu achiziționarea de locuințe rezidențiale pentru locuințe sociale care beneficiază de sprijin. Clădirile noi trebuie să aibă o cerere de energie primară cu cel puțin 20 % sub cerințele clădirilor al căror consum de energie este aproape egal cu zero. Unitatea de referință per locuință este, în medie, de 90 de metri pătrați pentru cele 805 de locuințe. </w:t>
            </w:r>
          </w:p>
          <w:p w14:paraId="158CF522" w14:textId="7FF039D2" w:rsidR="00A15990" w:rsidRDefault="00686A62">
            <w:pPr>
              <w:pStyle w:val="P68B1DB1-Normal8"/>
              <w:spacing w:after="0" w:line="240" w:lineRule="auto"/>
              <w:jc w:val="both"/>
              <w:rPr>
                <w:rFonts w:eastAsia="Times New Roman" w:cs="Calibri"/>
                <w:noProof/>
              </w:rPr>
            </w:pPr>
            <w:r>
              <w:rPr>
                <w:noProof/>
              </w:rPr>
              <w:t>În plus, investiția include, de asemenea, achiziționarea de servicii pentru dezvoltarea sistemelor informatice și a soluțiilor de e-guvernare în sectorul locuințelor.</w:t>
            </w:r>
          </w:p>
        </w:tc>
      </w:tr>
      <w:tr w:rsidR="00A15990" w14:paraId="28EAD265" w14:textId="77777777">
        <w:trPr>
          <w:trHeight w:val="1049"/>
        </w:trPr>
        <w:tc>
          <w:tcPr>
            <w:tcW w:w="1134" w:type="dxa"/>
            <w:shd w:val="clear" w:color="auto" w:fill="C5EFCE"/>
            <w:vAlign w:val="center"/>
            <w:hideMark/>
          </w:tcPr>
          <w:p w14:paraId="60326612" w14:textId="77777777" w:rsidR="00A15990" w:rsidRDefault="00686A62">
            <w:pPr>
              <w:pStyle w:val="P68B1DB1-Normal7"/>
              <w:spacing w:after="0" w:line="240" w:lineRule="auto"/>
              <w:jc w:val="center"/>
              <w:rPr>
                <w:rFonts w:eastAsia="Times New Roman" w:cs="Calibri"/>
                <w:noProof/>
              </w:rPr>
            </w:pPr>
            <w:r>
              <w:rPr>
                <w:noProof/>
              </w:rPr>
              <w:t>2.12</w:t>
            </w:r>
          </w:p>
        </w:tc>
        <w:tc>
          <w:tcPr>
            <w:tcW w:w="1304" w:type="dxa"/>
            <w:shd w:val="clear" w:color="auto" w:fill="C4EFCE"/>
            <w:vAlign w:val="center"/>
            <w:hideMark/>
          </w:tcPr>
          <w:p w14:paraId="0882979C" w14:textId="77777777" w:rsidR="00A15990" w:rsidRDefault="00686A62">
            <w:pPr>
              <w:pStyle w:val="P68B1DB1-Normal8"/>
              <w:spacing w:after="0" w:line="240" w:lineRule="auto"/>
              <w:jc w:val="center"/>
              <w:rPr>
                <w:rFonts w:eastAsia="Times New Roman" w:cs="Calibri"/>
                <w:noProof/>
              </w:rPr>
            </w:pPr>
            <w:r>
              <w:rPr>
                <w:noProof/>
              </w:rPr>
              <w:t>RE-C02-i03-RAM</w:t>
            </w:r>
          </w:p>
        </w:tc>
        <w:tc>
          <w:tcPr>
            <w:tcW w:w="1077" w:type="dxa"/>
            <w:shd w:val="clear" w:color="auto" w:fill="C4EFCE"/>
            <w:vAlign w:val="center"/>
            <w:hideMark/>
          </w:tcPr>
          <w:p w14:paraId="14FEF1B3"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138B1215" w14:textId="77777777" w:rsidR="00A15990" w:rsidRDefault="00686A62">
            <w:pPr>
              <w:pStyle w:val="P68B1DB1-Normal8"/>
              <w:spacing w:after="0" w:line="240" w:lineRule="auto"/>
              <w:jc w:val="center"/>
              <w:rPr>
                <w:rFonts w:eastAsia="Times New Roman" w:cs="Calibri"/>
                <w:noProof/>
              </w:rPr>
            </w:pPr>
            <w:r>
              <w:rPr>
                <w:noProof/>
              </w:rPr>
              <w:t>Numărul de locuințe ocupate de proprietari privați renovate, inclusiv cu eficiență energetică îmbunătățită</w:t>
            </w:r>
          </w:p>
        </w:tc>
        <w:tc>
          <w:tcPr>
            <w:tcW w:w="1355" w:type="dxa"/>
            <w:shd w:val="clear" w:color="auto" w:fill="C4EFCE"/>
            <w:vAlign w:val="center"/>
            <w:hideMark/>
          </w:tcPr>
          <w:p w14:paraId="59416FFE"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E723E3D" w14:textId="77777777"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3FCA7144"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54682601" w14:textId="77777777" w:rsidR="00A15990" w:rsidRDefault="00686A62">
            <w:pPr>
              <w:pStyle w:val="P68B1DB1-Normal8"/>
              <w:spacing w:after="0" w:line="240" w:lineRule="auto"/>
              <w:jc w:val="center"/>
              <w:rPr>
                <w:rFonts w:eastAsia="Times New Roman" w:cs="Calibri"/>
                <w:noProof/>
              </w:rPr>
            </w:pPr>
            <w:r>
              <w:rPr>
                <w:noProof/>
              </w:rPr>
              <w:t>325</w:t>
            </w:r>
          </w:p>
        </w:tc>
        <w:tc>
          <w:tcPr>
            <w:tcW w:w="473" w:type="dxa"/>
            <w:shd w:val="clear" w:color="auto" w:fill="C4EFCE"/>
            <w:vAlign w:val="center"/>
            <w:hideMark/>
          </w:tcPr>
          <w:p w14:paraId="3A86C835" w14:textId="77777777" w:rsidR="00A15990" w:rsidRDefault="00686A62">
            <w:pPr>
              <w:pStyle w:val="P68B1DB1-Normal8"/>
              <w:spacing w:after="0" w:line="240" w:lineRule="auto"/>
              <w:jc w:val="center"/>
              <w:rPr>
                <w:rFonts w:eastAsia="Times New Roman" w:cs="Calibri"/>
                <w:noProof/>
              </w:rPr>
            </w:pPr>
            <w:r>
              <w:rPr>
                <w:noProof/>
              </w:rPr>
              <w:t>TRIMESTRUL 2</w:t>
            </w:r>
          </w:p>
        </w:tc>
        <w:tc>
          <w:tcPr>
            <w:tcW w:w="625" w:type="dxa"/>
            <w:shd w:val="clear" w:color="auto" w:fill="C4EFCE"/>
            <w:vAlign w:val="center"/>
            <w:hideMark/>
          </w:tcPr>
          <w:p w14:paraId="5FBB7CE8" w14:textId="77777777" w:rsidR="00A15990" w:rsidRDefault="00686A62">
            <w:pPr>
              <w:pStyle w:val="P68B1DB1-Normal8"/>
              <w:spacing w:after="0" w:line="240" w:lineRule="auto"/>
              <w:jc w:val="center"/>
              <w:rPr>
                <w:rFonts w:eastAsia="Times New Roman" w:cs="Calibri"/>
                <w:noProof/>
              </w:rPr>
            </w:pPr>
            <w:r>
              <w:rPr>
                <w:noProof/>
              </w:rPr>
              <w:t>2026</w:t>
            </w:r>
          </w:p>
        </w:tc>
        <w:tc>
          <w:tcPr>
            <w:tcW w:w="4969" w:type="dxa"/>
            <w:shd w:val="clear" w:color="auto" w:fill="C4EFCE"/>
            <w:vAlign w:val="center"/>
            <w:hideMark/>
          </w:tcPr>
          <w:p w14:paraId="36B3C073" w14:textId="77777777" w:rsidR="00A15990" w:rsidRDefault="00686A62">
            <w:pPr>
              <w:pStyle w:val="P68B1DB1-Normal8"/>
              <w:spacing w:after="0" w:line="240" w:lineRule="auto"/>
              <w:jc w:val="both"/>
              <w:rPr>
                <w:rFonts w:eastAsia="Times New Roman" w:cs="Calibri"/>
                <w:noProof/>
              </w:rPr>
            </w:pPr>
            <w:r>
              <w:rPr>
                <w:noProof/>
              </w:rPr>
              <w:t xml:space="preserve">Numărul de locuințe private ocupate de proprietari renovate pentru grupurile-țintă care nu dispun de resurse financiare pentru a efectua lucrări de reabilitare. </w:t>
            </w:r>
          </w:p>
        </w:tc>
      </w:tr>
      <w:tr w:rsidR="00A15990" w14:paraId="05FD9A8C" w14:textId="77777777">
        <w:trPr>
          <w:trHeight w:val="420"/>
        </w:trPr>
        <w:tc>
          <w:tcPr>
            <w:tcW w:w="1134" w:type="dxa"/>
            <w:shd w:val="clear" w:color="auto" w:fill="C5EFCE"/>
            <w:vAlign w:val="center"/>
            <w:hideMark/>
          </w:tcPr>
          <w:p w14:paraId="539645A1" w14:textId="77777777" w:rsidR="00A15990" w:rsidRDefault="00686A62">
            <w:pPr>
              <w:pStyle w:val="P68B1DB1-Normal7"/>
              <w:spacing w:after="0" w:line="240" w:lineRule="auto"/>
              <w:jc w:val="center"/>
              <w:rPr>
                <w:rFonts w:eastAsia="Times New Roman" w:cs="Calibri"/>
                <w:noProof/>
              </w:rPr>
            </w:pPr>
            <w:r>
              <w:rPr>
                <w:noProof/>
              </w:rPr>
              <w:t>2.13</w:t>
            </w:r>
          </w:p>
        </w:tc>
        <w:tc>
          <w:tcPr>
            <w:tcW w:w="1304" w:type="dxa"/>
            <w:shd w:val="clear" w:color="auto" w:fill="C4EFCE"/>
            <w:vAlign w:val="center"/>
            <w:hideMark/>
          </w:tcPr>
          <w:p w14:paraId="46FA22A1" w14:textId="77777777" w:rsidR="00A15990" w:rsidRDefault="00686A62">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50F5EF9"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39BB19D3" w14:textId="0F34B607" w:rsidR="00A15990" w:rsidRDefault="00686A62">
            <w:pPr>
              <w:pStyle w:val="P68B1DB1-Normal8"/>
              <w:spacing w:after="0" w:line="240" w:lineRule="auto"/>
              <w:jc w:val="center"/>
              <w:rPr>
                <w:rFonts w:eastAsia="Times New Roman" w:cs="Calibri"/>
                <w:noProof/>
              </w:rPr>
            </w:pPr>
            <w:r>
              <w:rPr>
                <w:noProof/>
              </w:rPr>
              <w:t xml:space="preserve">Intervenții asupra fondului locativ public din Regiunea Autonomă Azore </w:t>
            </w:r>
          </w:p>
        </w:tc>
        <w:tc>
          <w:tcPr>
            <w:tcW w:w="1355" w:type="dxa"/>
            <w:shd w:val="clear" w:color="auto" w:fill="C4EFCE"/>
            <w:vAlign w:val="center"/>
            <w:hideMark/>
          </w:tcPr>
          <w:p w14:paraId="59DA834D"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EEBFE09" w14:textId="77777777"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2E7D69AD" w14:textId="77777777"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1C4BD37D" w14:textId="77777777" w:rsidR="00A15990" w:rsidRDefault="00686A62">
            <w:pPr>
              <w:pStyle w:val="P68B1DB1-Normal8"/>
              <w:spacing w:after="0" w:line="240" w:lineRule="auto"/>
              <w:jc w:val="center"/>
              <w:rPr>
                <w:rFonts w:eastAsia="Times New Roman" w:cs="Calibri"/>
                <w:noProof/>
              </w:rPr>
            </w:pPr>
            <w:r>
              <w:rPr>
                <w:noProof/>
              </w:rPr>
              <w:t>24</w:t>
            </w:r>
          </w:p>
        </w:tc>
        <w:tc>
          <w:tcPr>
            <w:tcW w:w="473" w:type="dxa"/>
            <w:shd w:val="clear" w:color="auto" w:fill="C4EFCE"/>
            <w:vAlign w:val="center"/>
            <w:hideMark/>
          </w:tcPr>
          <w:p w14:paraId="23FD1A62" w14:textId="77777777" w:rsidR="00A15990" w:rsidRDefault="00686A62">
            <w:pPr>
              <w:pStyle w:val="P68B1DB1-Normal8"/>
              <w:spacing w:after="0" w:line="240" w:lineRule="auto"/>
              <w:jc w:val="center"/>
              <w:rPr>
                <w:rFonts w:eastAsia="Times New Roman" w:cs="Calibri"/>
                <w:noProof/>
              </w:rPr>
            </w:pPr>
            <w:r>
              <w:rPr>
                <w:noProof/>
              </w:rPr>
              <w:t>TRIMESTRUL 4</w:t>
            </w:r>
          </w:p>
        </w:tc>
        <w:tc>
          <w:tcPr>
            <w:tcW w:w="625" w:type="dxa"/>
            <w:shd w:val="clear" w:color="auto" w:fill="C4EFCE"/>
            <w:vAlign w:val="center"/>
            <w:hideMark/>
          </w:tcPr>
          <w:p w14:paraId="3FE9EF61" w14:textId="77777777" w:rsidR="00A15990" w:rsidRDefault="00686A62">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0C91248C" w14:textId="77777777" w:rsidR="00A15990" w:rsidRDefault="00686A62">
            <w:pPr>
              <w:pStyle w:val="P68B1DB1-Normal8"/>
              <w:spacing w:after="0" w:line="240" w:lineRule="auto"/>
              <w:jc w:val="both"/>
              <w:rPr>
                <w:rFonts w:eastAsia="Times New Roman" w:cs="Calibri"/>
                <w:noProof/>
              </w:rPr>
            </w:pPr>
            <w:r>
              <w:rPr>
                <w:noProof/>
              </w:rPr>
              <w:t xml:space="preserve">Numărul de intervenții, inclusiv urbanizarea terenurilor, acolo unde este necesar, cu finalizarea lucrărilor în vederea creșterii fondului de locuințe sociale. </w:t>
            </w:r>
          </w:p>
          <w:p w14:paraId="3733CD33" w14:textId="77777777" w:rsidR="00A15990" w:rsidRDefault="00686A62">
            <w:pPr>
              <w:pStyle w:val="P68B1DB1-Normal8"/>
              <w:spacing w:after="0" w:line="240" w:lineRule="auto"/>
              <w:jc w:val="both"/>
              <w:rPr>
                <w:rFonts w:eastAsia="Times New Roman" w:cs="Calibri"/>
                <w:noProof/>
              </w:rPr>
            </w:pPr>
            <w:r>
              <w:rPr>
                <w:noProof/>
              </w:rPr>
              <w:t>În cazul în care implică construcții noi, clădirile noi au o cerere de energie primară cu cel puțin 20 % sub cerințele pentru clădirile al căror consum de energie este aproape egal cu zero.</w:t>
            </w:r>
          </w:p>
          <w:p w14:paraId="5953FC29" w14:textId="77777777" w:rsidR="00A15990" w:rsidRDefault="00686A62">
            <w:pPr>
              <w:pStyle w:val="P68B1DB1-Normal8"/>
              <w:spacing w:after="0" w:line="240" w:lineRule="auto"/>
              <w:jc w:val="both"/>
              <w:rPr>
                <w:rFonts w:eastAsia="Times New Roman" w:cs="Calibri"/>
                <w:noProof/>
              </w:rPr>
            </w:pPr>
            <w:r>
              <w:rPr>
                <w:noProof/>
              </w:rPr>
              <w:t>Locuințele au o dimensiune medie de aproximativ 120 de metri pătrați.</w:t>
            </w:r>
          </w:p>
        </w:tc>
      </w:tr>
      <w:tr w:rsidR="00A15990" w14:paraId="14A54223" w14:textId="77777777">
        <w:trPr>
          <w:trHeight w:val="420"/>
        </w:trPr>
        <w:tc>
          <w:tcPr>
            <w:tcW w:w="1134" w:type="dxa"/>
            <w:shd w:val="clear" w:color="auto" w:fill="C5EFCE"/>
            <w:vAlign w:val="center"/>
            <w:hideMark/>
          </w:tcPr>
          <w:p w14:paraId="6D1EA4AE" w14:textId="77777777" w:rsidR="00A15990" w:rsidRDefault="00686A62">
            <w:pPr>
              <w:pStyle w:val="P68B1DB1-Normal7"/>
              <w:spacing w:after="0" w:line="240" w:lineRule="auto"/>
              <w:jc w:val="center"/>
              <w:rPr>
                <w:rFonts w:eastAsia="Times New Roman" w:cs="Calibri"/>
                <w:noProof/>
              </w:rPr>
            </w:pPr>
            <w:r>
              <w:rPr>
                <w:noProof/>
              </w:rPr>
              <w:t>2.14</w:t>
            </w:r>
          </w:p>
        </w:tc>
        <w:tc>
          <w:tcPr>
            <w:tcW w:w="1304" w:type="dxa"/>
            <w:shd w:val="clear" w:color="auto" w:fill="C4EFCE"/>
            <w:vAlign w:val="center"/>
            <w:hideMark/>
          </w:tcPr>
          <w:p w14:paraId="4BA08D6A" w14:textId="77777777" w:rsidR="00A15990" w:rsidRDefault="00686A62">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695DEC0E"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5335B90A" w14:textId="77777777" w:rsidR="00A15990" w:rsidRDefault="00686A62">
            <w:pPr>
              <w:pStyle w:val="P68B1DB1-Normal8"/>
              <w:spacing w:after="0" w:line="240" w:lineRule="auto"/>
              <w:jc w:val="center"/>
              <w:rPr>
                <w:rFonts w:eastAsia="Times New Roman" w:cs="Calibri"/>
                <w:noProof/>
              </w:rPr>
            </w:pPr>
            <w:r>
              <w:rPr>
                <w:noProof/>
              </w:rPr>
              <w:t xml:space="preserve">Intervenții în fondul locativ public al Regiunii Autonome Azore – renovare </w:t>
            </w:r>
          </w:p>
        </w:tc>
        <w:tc>
          <w:tcPr>
            <w:tcW w:w="1355" w:type="dxa"/>
            <w:shd w:val="clear" w:color="auto" w:fill="C4EFCE"/>
            <w:vAlign w:val="center"/>
            <w:hideMark/>
          </w:tcPr>
          <w:p w14:paraId="4F089A4F"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814B533" w14:textId="318F9BBD"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6D78199A" w14:textId="6D5675F4" w:rsidR="00A15990" w:rsidRDefault="00686A62">
            <w:pPr>
              <w:pStyle w:val="P68B1DB1-Normal8"/>
              <w:spacing w:after="0" w:line="240" w:lineRule="auto"/>
              <w:jc w:val="center"/>
              <w:rPr>
                <w:rFonts w:eastAsia="Times New Roman" w:cs="Calibri"/>
                <w:noProof/>
              </w:rPr>
            </w:pPr>
            <w:r>
              <w:rPr>
                <w:noProof/>
              </w:rPr>
              <w:t>0</w:t>
            </w:r>
          </w:p>
        </w:tc>
        <w:tc>
          <w:tcPr>
            <w:tcW w:w="897" w:type="dxa"/>
            <w:shd w:val="clear" w:color="auto" w:fill="C4EFCE"/>
            <w:vAlign w:val="center"/>
            <w:hideMark/>
          </w:tcPr>
          <w:p w14:paraId="337B0C00" w14:textId="77777777" w:rsidR="00A15990" w:rsidRDefault="00686A62">
            <w:pPr>
              <w:pStyle w:val="P68B1DB1-Normal8"/>
              <w:spacing w:after="0" w:line="240" w:lineRule="auto"/>
              <w:jc w:val="center"/>
              <w:rPr>
                <w:rFonts w:eastAsia="Times New Roman" w:cs="Calibri"/>
                <w:noProof/>
              </w:rPr>
            </w:pPr>
            <w:r>
              <w:rPr>
                <w:noProof/>
              </w:rPr>
              <w:t>40</w:t>
            </w:r>
          </w:p>
        </w:tc>
        <w:tc>
          <w:tcPr>
            <w:tcW w:w="473" w:type="dxa"/>
            <w:shd w:val="clear" w:color="auto" w:fill="C4EFCE"/>
            <w:vAlign w:val="center"/>
            <w:hideMark/>
          </w:tcPr>
          <w:p w14:paraId="12883AF0" w14:textId="77777777" w:rsidR="00A15990" w:rsidRDefault="00686A62">
            <w:pPr>
              <w:pStyle w:val="P68B1DB1-Normal8"/>
              <w:spacing w:after="0" w:line="240" w:lineRule="auto"/>
              <w:jc w:val="center"/>
              <w:rPr>
                <w:rFonts w:eastAsia="Times New Roman" w:cs="Calibri"/>
                <w:noProof/>
              </w:rPr>
            </w:pPr>
            <w:r>
              <w:rPr>
                <w:noProof/>
              </w:rPr>
              <w:t>TRIMESTRUL 4</w:t>
            </w:r>
          </w:p>
        </w:tc>
        <w:tc>
          <w:tcPr>
            <w:tcW w:w="625" w:type="dxa"/>
            <w:shd w:val="clear" w:color="auto" w:fill="C4EFCE"/>
            <w:vAlign w:val="center"/>
            <w:hideMark/>
          </w:tcPr>
          <w:p w14:paraId="0F49C1FD" w14:textId="77777777" w:rsidR="00A15990" w:rsidRDefault="00686A62">
            <w:pPr>
              <w:pStyle w:val="P68B1DB1-Normal8"/>
              <w:spacing w:after="0" w:line="240" w:lineRule="auto"/>
              <w:jc w:val="center"/>
              <w:rPr>
                <w:rFonts w:eastAsia="Times New Roman" w:cs="Calibri"/>
                <w:noProof/>
              </w:rPr>
            </w:pPr>
            <w:r>
              <w:rPr>
                <w:noProof/>
              </w:rPr>
              <w:t>2021</w:t>
            </w:r>
          </w:p>
        </w:tc>
        <w:tc>
          <w:tcPr>
            <w:tcW w:w="4969" w:type="dxa"/>
            <w:shd w:val="clear" w:color="auto" w:fill="C4EFCE"/>
            <w:vAlign w:val="center"/>
            <w:hideMark/>
          </w:tcPr>
          <w:p w14:paraId="1BA3AE40" w14:textId="77777777" w:rsidR="00A15990" w:rsidRDefault="00686A62">
            <w:pPr>
              <w:pStyle w:val="P68B1DB1-Normal8"/>
              <w:spacing w:after="0" w:line="240" w:lineRule="auto"/>
              <w:jc w:val="both"/>
              <w:rPr>
                <w:rFonts w:eastAsia="Times New Roman" w:cs="Calibri"/>
                <w:noProof/>
              </w:rPr>
            </w:pPr>
            <w:r>
              <w:rPr>
                <w:noProof/>
              </w:rPr>
              <w:t xml:space="preserve">Investiția include renovarea sau finalizarea clădirilor și a apartamentelor, măsurată în funcție de numărul de intervenții. </w:t>
            </w:r>
          </w:p>
          <w:p w14:paraId="71608E96" w14:textId="77777777" w:rsidR="00A15990" w:rsidRDefault="00686A62">
            <w:pPr>
              <w:pStyle w:val="P68B1DB1-Normal8"/>
              <w:spacing w:after="0" w:line="240" w:lineRule="auto"/>
              <w:jc w:val="both"/>
              <w:rPr>
                <w:rFonts w:eastAsia="Times New Roman" w:cs="Calibri"/>
                <w:noProof/>
              </w:rPr>
            </w:pPr>
            <w:r>
              <w:rPr>
                <w:noProof/>
              </w:rPr>
              <w:t>Printre intervenții se numără:</w:t>
            </w:r>
          </w:p>
          <w:p w14:paraId="204AF952" w14:textId="77777777" w:rsidR="00A15990" w:rsidRDefault="00686A62">
            <w:pPr>
              <w:pStyle w:val="P68B1DB1-Normal8"/>
              <w:spacing w:after="0" w:line="240" w:lineRule="auto"/>
              <w:jc w:val="both"/>
              <w:rPr>
                <w:rFonts w:eastAsia="Times New Roman" w:cs="Calibri"/>
                <w:noProof/>
              </w:rPr>
            </w:pPr>
            <w:r>
              <w:rPr>
                <w:noProof/>
              </w:rPr>
              <w:t xml:space="preserve">transformarea clădirilor publice nerezidențiale în locuințe; </w:t>
            </w:r>
          </w:p>
          <w:p w14:paraId="774B76C2" w14:textId="77777777" w:rsidR="00A15990" w:rsidRDefault="00686A62">
            <w:pPr>
              <w:pStyle w:val="P68B1DB1-Normal8"/>
              <w:spacing w:after="0" w:line="240" w:lineRule="auto"/>
              <w:jc w:val="both"/>
              <w:rPr>
                <w:rFonts w:eastAsia="Times New Roman" w:cs="Calibri"/>
                <w:noProof/>
              </w:rPr>
            </w:pPr>
            <w:r>
              <w:rPr>
                <w:noProof/>
              </w:rPr>
              <w:t>Sprijin financiar pentru reconversia clădirilor sociale degradate (Bairros Sociais)</w:t>
            </w:r>
          </w:p>
          <w:p w14:paraId="2517E49E" w14:textId="77777777" w:rsidR="00A15990" w:rsidRDefault="00686A62">
            <w:pPr>
              <w:pStyle w:val="P68B1DB1-Normal8"/>
              <w:spacing w:after="0" w:line="240" w:lineRule="auto"/>
              <w:jc w:val="both"/>
              <w:rPr>
                <w:rFonts w:eastAsia="Times New Roman" w:cs="Calibri"/>
                <w:noProof/>
              </w:rPr>
            </w:pPr>
            <w:r>
              <w:rPr>
                <w:noProof/>
              </w:rPr>
              <w:t>— renovarea locuințelor publice pentru a respecta legislația actuală privind locuințele, în principal cerințele de eficiență energetică.</w:t>
            </w:r>
          </w:p>
          <w:p w14:paraId="20AA49DB" w14:textId="77777777" w:rsidR="00A15990" w:rsidRDefault="00686A62">
            <w:pPr>
              <w:pStyle w:val="P68B1DB1-Normal8"/>
              <w:spacing w:after="0" w:line="240" w:lineRule="auto"/>
              <w:jc w:val="both"/>
              <w:rPr>
                <w:rFonts w:eastAsia="Times New Roman" w:cs="Calibri"/>
                <w:noProof/>
              </w:rPr>
            </w:pPr>
            <w:r>
              <w:rPr>
                <w:noProof/>
              </w:rPr>
              <w:t>Renovările vizând eficiența energetică realizează, în medie, cel puțin o renovare de amploare medie, astfel cum este definită în Recomandarea Comisiei privind renovarea clădirilor (UE) 2019/786.</w:t>
            </w:r>
          </w:p>
          <w:p w14:paraId="3FE022D6" w14:textId="77777777" w:rsidR="00A15990" w:rsidRDefault="00686A62">
            <w:pPr>
              <w:pStyle w:val="P68B1DB1-Normal8"/>
              <w:spacing w:after="0" w:line="240" w:lineRule="auto"/>
              <w:jc w:val="both"/>
              <w:rPr>
                <w:rFonts w:eastAsia="Times New Roman" w:cs="Calibri"/>
                <w:noProof/>
              </w:rPr>
            </w:pPr>
            <w:r>
              <w:rPr>
                <w:noProof/>
              </w:rPr>
              <w:t>Locuința în cauză are o dimensiune medie de aproximativ 100 de metri pătrați.</w:t>
            </w:r>
          </w:p>
        </w:tc>
      </w:tr>
      <w:tr w:rsidR="00A15990" w14:paraId="0FFD0E64" w14:textId="77777777">
        <w:trPr>
          <w:trHeight w:val="2824"/>
        </w:trPr>
        <w:tc>
          <w:tcPr>
            <w:tcW w:w="1134" w:type="dxa"/>
            <w:shd w:val="clear" w:color="auto" w:fill="C5EFCE"/>
            <w:vAlign w:val="center"/>
            <w:hideMark/>
          </w:tcPr>
          <w:p w14:paraId="55203759" w14:textId="77777777" w:rsidR="00A15990" w:rsidRDefault="00686A62">
            <w:pPr>
              <w:pStyle w:val="P68B1DB1-Normal7"/>
              <w:spacing w:after="0" w:line="240" w:lineRule="auto"/>
              <w:jc w:val="center"/>
              <w:rPr>
                <w:rFonts w:eastAsia="Times New Roman" w:cs="Calibri"/>
                <w:noProof/>
              </w:rPr>
            </w:pPr>
            <w:r>
              <w:rPr>
                <w:noProof/>
              </w:rPr>
              <w:t>2.16</w:t>
            </w:r>
          </w:p>
        </w:tc>
        <w:tc>
          <w:tcPr>
            <w:tcW w:w="1304" w:type="dxa"/>
            <w:shd w:val="clear" w:color="auto" w:fill="C4EFCE"/>
            <w:vAlign w:val="center"/>
            <w:hideMark/>
          </w:tcPr>
          <w:p w14:paraId="4FF83330" w14:textId="77777777" w:rsidR="00A15990" w:rsidRDefault="00686A62">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7FD09AD1"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00D030BA" w14:textId="77777777" w:rsidR="00A15990" w:rsidRDefault="00686A62">
            <w:pPr>
              <w:pStyle w:val="P68B1DB1-Normal8"/>
              <w:spacing w:after="0" w:line="240" w:lineRule="auto"/>
              <w:jc w:val="center"/>
              <w:rPr>
                <w:rFonts w:eastAsia="Times New Roman" w:cs="Calibri"/>
                <w:noProof/>
              </w:rPr>
            </w:pPr>
            <w:r>
              <w:rPr>
                <w:noProof/>
              </w:rPr>
              <w:t xml:space="preserve">Intervenții în fondul locativ public al Regiunii Autonome Azore – renovare </w:t>
            </w:r>
          </w:p>
        </w:tc>
        <w:tc>
          <w:tcPr>
            <w:tcW w:w="1355" w:type="dxa"/>
            <w:shd w:val="clear" w:color="auto" w:fill="C4EFCE"/>
            <w:vAlign w:val="center"/>
            <w:hideMark/>
          </w:tcPr>
          <w:p w14:paraId="4DE9F928"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2408461B" w14:textId="4C0E6877"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6C763F31" w14:textId="77777777" w:rsidR="00A15990" w:rsidRDefault="00686A62">
            <w:pPr>
              <w:pStyle w:val="P68B1DB1-Normal8"/>
              <w:spacing w:after="0" w:line="240" w:lineRule="auto"/>
              <w:jc w:val="center"/>
              <w:rPr>
                <w:rFonts w:eastAsia="Times New Roman" w:cs="Calibri"/>
                <w:noProof/>
              </w:rPr>
            </w:pPr>
            <w:r>
              <w:rPr>
                <w:noProof/>
              </w:rPr>
              <w:t>40</w:t>
            </w:r>
          </w:p>
        </w:tc>
        <w:tc>
          <w:tcPr>
            <w:tcW w:w="897" w:type="dxa"/>
            <w:shd w:val="clear" w:color="auto" w:fill="C4EFCE"/>
            <w:vAlign w:val="center"/>
            <w:hideMark/>
          </w:tcPr>
          <w:p w14:paraId="0F631C49" w14:textId="32CD02EE" w:rsidR="00A15990" w:rsidRDefault="00686A62">
            <w:pPr>
              <w:pStyle w:val="P68B1DB1-Normal8"/>
              <w:spacing w:after="0" w:line="240" w:lineRule="auto"/>
              <w:jc w:val="center"/>
              <w:rPr>
                <w:rFonts w:eastAsia="Times New Roman" w:cs="Calibri"/>
                <w:noProof/>
              </w:rPr>
            </w:pPr>
            <w:r>
              <w:rPr>
                <w:noProof/>
              </w:rPr>
              <w:t>101</w:t>
            </w:r>
          </w:p>
        </w:tc>
        <w:tc>
          <w:tcPr>
            <w:tcW w:w="473" w:type="dxa"/>
            <w:shd w:val="clear" w:color="auto" w:fill="C4EFCE"/>
            <w:vAlign w:val="center"/>
            <w:hideMark/>
          </w:tcPr>
          <w:p w14:paraId="6840DC22" w14:textId="77777777" w:rsidR="00A15990" w:rsidRDefault="00686A62">
            <w:pPr>
              <w:pStyle w:val="P68B1DB1-Normal8"/>
              <w:spacing w:after="0" w:line="240" w:lineRule="auto"/>
              <w:jc w:val="center"/>
              <w:rPr>
                <w:rFonts w:eastAsia="Times New Roman" w:cs="Calibri"/>
                <w:noProof/>
              </w:rPr>
            </w:pPr>
            <w:r>
              <w:rPr>
                <w:noProof/>
              </w:rPr>
              <w:t>TRIMESTRUL 4</w:t>
            </w:r>
          </w:p>
        </w:tc>
        <w:tc>
          <w:tcPr>
            <w:tcW w:w="625" w:type="dxa"/>
            <w:shd w:val="clear" w:color="auto" w:fill="C4EFCE"/>
            <w:vAlign w:val="center"/>
            <w:hideMark/>
          </w:tcPr>
          <w:p w14:paraId="1B49E65C" w14:textId="77777777" w:rsidR="00A15990" w:rsidRDefault="00686A62">
            <w:pPr>
              <w:pStyle w:val="P68B1DB1-Normal8"/>
              <w:spacing w:after="0" w:line="240" w:lineRule="auto"/>
              <w:jc w:val="center"/>
              <w:rPr>
                <w:rFonts w:eastAsia="Times New Roman" w:cs="Calibri"/>
                <w:noProof/>
              </w:rPr>
            </w:pPr>
            <w:r>
              <w:rPr>
                <w:noProof/>
              </w:rPr>
              <w:t>2023</w:t>
            </w:r>
          </w:p>
        </w:tc>
        <w:tc>
          <w:tcPr>
            <w:tcW w:w="4969" w:type="dxa"/>
            <w:shd w:val="clear" w:color="auto" w:fill="C4EFCE"/>
            <w:vAlign w:val="center"/>
            <w:hideMark/>
          </w:tcPr>
          <w:p w14:paraId="7D17215F" w14:textId="091C177D" w:rsidR="00A15990" w:rsidRDefault="00686A62">
            <w:pPr>
              <w:pStyle w:val="P68B1DB1-Normal8"/>
              <w:spacing w:after="0" w:line="240" w:lineRule="auto"/>
              <w:jc w:val="both"/>
              <w:rPr>
                <w:rFonts w:eastAsia="Times New Roman" w:cs="Calibri"/>
                <w:noProof/>
              </w:rPr>
            </w:pPr>
            <w:r>
              <w:rPr>
                <w:noProof/>
              </w:rPr>
              <w:t xml:space="preserve">Investiția include renovarea sau finalizarea clădirilor și a apartamentelor, măsurată în funcție de numărul de intervenții, cu lucrări finalizate. </w:t>
            </w:r>
          </w:p>
          <w:p w14:paraId="7B68446D" w14:textId="11D8397B" w:rsidR="00A15990" w:rsidRDefault="00686A62">
            <w:pPr>
              <w:pStyle w:val="P68B1DB1-Normal8"/>
              <w:spacing w:after="0" w:line="240" w:lineRule="auto"/>
              <w:jc w:val="both"/>
              <w:rPr>
                <w:rFonts w:eastAsia="Times New Roman" w:cs="Calibri"/>
                <w:noProof/>
              </w:rPr>
            </w:pPr>
            <w:r>
              <w:rPr>
                <w:noProof/>
              </w:rPr>
              <w:t>Intervențiile pot include:</w:t>
            </w:r>
          </w:p>
          <w:p w14:paraId="6A1600CE" w14:textId="3C884396" w:rsidR="00A15990" w:rsidRDefault="00686A62">
            <w:pPr>
              <w:pStyle w:val="P68B1DB1-Normal8"/>
              <w:spacing w:after="0" w:line="240" w:lineRule="auto"/>
              <w:jc w:val="both"/>
              <w:rPr>
                <w:rFonts w:eastAsia="Times New Roman" w:cs="Calibri"/>
                <w:noProof/>
              </w:rPr>
            </w:pPr>
            <w:r>
              <w:rPr>
                <w:noProof/>
              </w:rPr>
              <w:t xml:space="preserve">transformarea clădirilor publice nerezidențiale în locuințe; </w:t>
            </w:r>
          </w:p>
          <w:p w14:paraId="6929DEBD" w14:textId="5295AB7B" w:rsidR="00A15990" w:rsidRDefault="00686A62">
            <w:pPr>
              <w:pStyle w:val="P68B1DB1-Normal8"/>
              <w:spacing w:after="0" w:line="240" w:lineRule="auto"/>
              <w:jc w:val="both"/>
              <w:rPr>
                <w:rFonts w:eastAsia="Times New Roman" w:cs="Calibri"/>
                <w:noProof/>
              </w:rPr>
            </w:pPr>
            <w:r>
              <w:rPr>
                <w:noProof/>
              </w:rPr>
              <w:t>Sprijin financiar pentru reconversia clădirilor sociale degradate (Bairros Sociais)</w:t>
            </w:r>
          </w:p>
          <w:p w14:paraId="0652D4D3" w14:textId="77777777" w:rsidR="00A15990" w:rsidRDefault="00686A62">
            <w:pPr>
              <w:pStyle w:val="P68B1DB1-Normal8"/>
              <w:spacing w:after="0" w:line="240" w:lineRule="auto"/>
              <w:jc w:val="both"/>
              <w:rPr>
                <w:rFonts w:eastAsia="Times New Roman" w:cs="Calibri"/>
                <w:noProof/>
              </w:rPr>
            </w:pPr>
            <w:r>
              <w:rPr>
                <w:noProof/>
              </w:rPr>
              <w:t>— Renovarea locuințelor publice pentru a respecta legislația actuală privind locuințele, în principal cerințele de eficiență energetică.</w:t>
            </w:r>
          </w:p>
          <w:p w14:paraId="32BB662A" w14:textId="77777777" w:rsidR="00A15990" w:rsidRDefault="00686A62">
            <w:pPr>
              <w:pStyle w:val="P68B1DB1-Normal8"/>
              <w:spacing w:after="0" w:line="240" w:lineRule="auto"/>
              <w:jc w:val="both"/>
              <w:rPr>
                <w:rFonts w:eastAsia="Times New Roman" w:cs="Calibri"/>
                <w:noProof/>
              </w:rPr>
            </w:pPr>
            <w:r>
              <w:rPr>
                <w:noProof/>
              </w:rPr>
              <w:t>Renovările vizând eficiența energetică realizează, în medie, cel puțin o renovare de amploare medie, astfel cum este definită în Recomandarea Comisiei privind renovarea clădirilor (UE) 2019/786.</w:t>
            </w:r>
          </w:p>
          <w:p w14:paraId="5A4B25FC" w14:textId="77777777" w:rsidR="00A15990" w:rsidRDefault="00686A62">
            <w:pPr>
              <w:pStyle w:val="P68B1DB1-Normal8"/>
              <w:spacing w:after="0" w:line="240" w:lineRule="auto"/>
              <w:jc w:val="both"/>
              <w:rPr>
                <w:rFonts w:eastAsia="Times New Roman" w:cs="Calibri"/>
                <w:noProof/>
              </w:rPr>
            </w:pPr>
            <w:r>
              <w:rPr>
                <w:noProof/>
              </w:rPr>
              <w:t>Locuința în cauză are o dimensiune medie de aproximativ 100 de metri pătrați.</w:t>
            </w:r>
          </w:p>
        </w:tc>
      </w:tr>
      <w:tr w:rsidR="00A15990" w14:paraId="0FEE8F26" w14:textId="77777777">
        <w:trPr>
          <w:trHeight w:val="420"/>
        </w:trPr>
        <w:tc>
          <w:tcPr>
            <w:tcW w:w="1134" w:type="dxa"/>
            <w:shd w:val="clear" w:color="auto" w:fill="C5EFCE"/>
            <w:vAlign w:val="center"/>
            <w:hideMark/>
          </w:tcPr>
          <w:p w14:paraId="7A1DBDA2" w14:textId="77777777" w:rsidR="00A15990" w:rsidRDefault="00686A62">
            <w:pPr>
              <w:pStyle w:val="P68B1DB1-Normal7"/>
              <w:spacing w:after="0" w:line="240" w:lineRule="auto"/>
              <w:jc w:val="center"/>
              <w:rPr>
                <w:rFonts w:eastAsia="Times New Roman" w:cs="Calibri"/>
                <w:noProof/>
              </w:rPr>
            </w:pPr>
            <w:r>
              <w:rPr>
                <w:noProof/>
              </w:rPr>
              <w:t>2.17</w:t>
            </w:r>
          </w:p>
        </w:tc>
        <w:tc>
          <w:tcPr>
            <w:tcW w:w="1304" w:type="dxa"/>
            <w:shd w:val="clear" w:color="auto" w:fill="C4EFCE"/>
            <w:vAlign w:val="center"/>
            <w:hideMark/>
          </w:tcPr>
          <w:p w14:paraId="6200EF9A" w14:textId="77777777" w:rsidR="00A15990" w:rsidRDefault="00686A62">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58F4DB9C"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4499C265" w14:textId="77777777" w:rsidR="00A15990" w:rsidRDefault="00686A62">
            <w:pPr>
              <w:pStyle w:val="P68B1DB1-Normal8"/>
              <w:spacing w:after="0" w:line="240" w:lineRule="auto"/>
              <w:jc w:val="center"/>
              <w:rPr>
                <w:rFonts w:eastAsia="Times New Roman" w:cs="Calibri"/>
                <w:noProof/>
              </w:rPr>
            </w:pPr>
            <w:r>
              <w:rPr>
                <w:noProof/>
              </w:rPr>
              <w:t>Intervenții în parcul imobiliar public al Regiunii Autonome Azore – construcția de clădiri</w:t>
            </w:r>
          </w:p>
        </w:tc>
        <w:tc>
          <w:tcPr>
            <w:tcW w:w="1355" w:type="dxa"/>
            <w:shd w:val="clear" w:color="auto" w:fill="C4EFCE"/>
            <w:vAlign w:val="center"/>
            <w:hideMark/>
          </w:tcPr>
          <w:p w14:paraId="59C3648C"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37F5301E" w14:textId="5FCA7618"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5443BFE5" w14:textId="7DF628DE" w:rsidR="00A15990" w:rsidRDefault="00686A62">
            <w:pPr>
              <w:pStyle w:val="P68B1DB1-Normal8"/>
              <w:spacing w:after="0" w:line="240" w:lineRule="auto"/>
              <w:jc w:val="center"/>
              <w:rPr>
                <w:rFonts w:eastAsia="Times New Roman" w:cs="Calibri"/>
                <w:noProof/>
              </w:rPr>
            </w:pPr>
            <w:r>
              <w:rPr>
                <w:noProof/>
              </w:rPr>
              <w:t>24</w:t>
            </w:r>
          </w:p>
        </w:tc>
        <w:tc>
          <w:tcPr>
            <w:tcW w:w="897" w:type="dxa"/>
            <w:shd w:val="clear" w:color="auto" w:fill="C4EFCE"/>
            <w:vAlign w:val="center"/>
            <w:hideMark/>
          </w:tcPr>
          <w:p w14:paraId="46259B98" w14:textId="678AC6A1" w:rsidR="00A15990" w:rsidRDefault="00686A62">
            <w:pPr>
              <w:pStyle w:val="P68B1DB1-Normal8"/>
              <w:spacing w:after="0" w:line="240" w:lineRule="auto"/>
              <w:jc w:val="center"/>
              <w:rPr>
                <w:rFonts w:eastAsia="Times New Roman" w:cs="Calibri"/>
                <w:noProof/>
              </w:rPr>
            </w:pPr>
            <w:r>
              <w:rPr>
                <w:noProof/>
              </w:rPr>
              <w:t>100</w:t>
            </w:r>
          </w:p>
        </w:tc>
        <w:tc>
          <w:tcPr>
            <w:tcW w:w="473" w:type="dxa"/>
            <w:shd w:val="clear" w:color="auto" w:fill="C4EFCE"/>
            <w:vAlign w:val="center"/>
            <w:hideMark/>
          </w:tcPr>
          <w:p w14:paraId="2BCEE32C" w14:textId="77777777" w:rsidR="00A15990" w:rsidRDefault="00686A62">
            <w:pPr>
              <w:pStyle w:val="P68B1DB1-Normal8"/>
              <w:spacing w:after="0" w:line="240" w:lineRule="auto"/>
              <w:jc w:val="center"/>
              <w:rPr>
                <w:rFonts w:eastAsia="Times New Roman" w:cs="Calibri"/>
                <w:noProof/>
              </w:rPr>
            </w:pPr>
            <w:r>
              <w:rPr>
                <w:noProof/>
              </w:rPr>
              <w:t>TRIMESTRUL 4</w:t>
            </w:r>
          </w:p>
        </w:tc>
        <w:tc>
          <w:tcPr>
            <w:tcW w:w="625" w:type="dxa"/>
            <w:shd w:val="clear" w:color="auto" w:fill="C4EFCE"/>
            <w:vAlign w:val="center"/>
            <w:hideMark/>
          </w:tcPr>
          <w:p w14:paraId="3AEDD75E" w14:textId="77777777" w:rsidR="00A15990" w:rsidRDefault="00686A62">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516BF675" w14:textId="77777777" w:rsidR="00A15990" w:rsidRDefault="00686A62">
            <w:pPr>
              <w:pStyle w:val="P68B1DB1-Normal8"/>
              <w:spacing w:after="0" w:line="240" w:lineRule="auto"/>
              <w:jc w:val="both"/>
              <w:rPr>
                <w:rFonts w:eastAsia="Times New Roman" w:cs="Calibri"/>
                <w:noProof/>
              </w:rPr>
            </w:pPr>
            <w:r>
              <w:rPr>
                <w:noProof/>
              </w:rPr>
              <w:t xml:space="preserve">Numărul de intervenții, inclusiv urbanizarea terenurilor, acolo unde este necesar, cu finalizarea lucrărilor în vederea creșterii fondului de locuințe sociale. </w:t>
            </w:r>
          </w:p>
          <w:p w14:paraId="35DAC105" w14:textId="77777777" w:rsidR="00A15990" w:rsidRDefault="00686A62">
            <w:pPr>
              <w:pStyle w:val="P68B1DB1-Normal8"/>
              <w:spacing w:after="0" w:line="240" w:lineRule="auto"/>
              <w:jc w:val="both"/>
              <w:rPr>
                <w:rFonts w:eastAsia="Times New Roman" w:cs="Calibri"/>
                <w:noProof/>
              </w:rPr>
            </w:pPr>
            <w:r>
              <w:rPr>
                <w:noProof/>
              </w:rPr>
              <w:t>În cazul în care implică construcții noi, clădirile noi au o cerere de energie primară cu cel puțin 20 % sub cerințele pentru clădirile al căror consum de energie este aproape egal cu zero.</w:t>
            </w:r>
          </w:p>
          <w:p w14:paraId="38B842FC" w14:textId="0042F4F2" w:rsidR="00A15990" w:rsidRDefault="00686A62">
            <w:pPr>
              <w:pStyle w:val="P68B1DB1-Normal8"/>
              <w:spacing w:after="0" w:line="240" w:lineRule="auto"/>
              <w:jc w:val="both"/>
              <w:rPr>
                <w:rFonts w:eastAsia="Times New Roman" w:cs="Calibri"/>
                <w:noProof/>
              </w:rPr>
            </w:pPr>
            <w:r>
              <w:rPr>
                <w:noProof/>
              </w:rPr>
              <w:t>Locuințele au o dimensiune medie de aproximativ 120 de metri pătrați.</w:t>
            </w:r>
          </w:p>
        </w:tc>
      </w:tr>
      <w:tr w:rsidR="00A15990" w14:paraId="25FEA8B5" w14:textId="77777777">
        <w:trPr>
          <w:trHeight w:val="831"/>
        </w:trPr>
        <w:tc>
          <w:tcPr>
            <w:tcW w:w="1134" w:type="dxa"/>
            <w:shd w:val="clear" w:color="auto" w:fill="C5EFCE"/>
            <w:vAlign w:val="center"/>
            <w:hideMark/>
          </w:tcPr>
          <w:p w14:paraId="4DF650DD" w14:textId="77777777" w:rsidR="00A15990" w:rsidRDefault="00686A62">
            <w:pPr>
              <w:pStyle w:val="P68B1DB1-Normal7"/>
              <w:spacing w:after="0" w:line="240" w:lineRule="auto"/>
              <w:jc w:val="center"/>
              <w:rPr>
                <w:rFonts w:eastAsia="Times New Roman" w:cs="Calibri"/>
                <w:noProof/>
              </w:rPr>
            </w:pPr>
            <w:r>
              <w:rPr>
                <w:noProof/>
              </w:rPr>
              <w:t>2.18</w:t>
            </w:r>
          </w:p>
        </w:tc>
        <w:tc>
          <w:tcPr>
            <w:tcW w:w="1304" w:type="dxa"/>
            <w:shd w:val="clear" w:color="auto" w:fill="C4EFCE"/>
            <w:vAlign w:val="center"/>
            <w:hideMark/>
          </w:tcPr>
          <w:p w14:paraId="7D8900A1" w14:textId="77777777" w:rsidR="00A15990" w:rsidRDefault="00686A62">
            <w:pPr>
              <w:pStyle w:val="P68B1DB1-Normal8"/>
              <w:spacing w:after="0" w:line="240" w:lineRule="auto"/>
              <w:jc w:val="center"/>
              <w:rPr>
                <w:rFonts w:eastAsia="Times New Roman" w:cs="Calibri"/>
                <w:noProof/>
              </w:rPr>
            </w:pPr>
            <w:r>
              <w:rPr>
                <w:noProof/>
              </w:rPr>
              <w:t>RE-C02-i04-RAA</w:t>
            </w:r>
          </w:p>
        </w:tc>
        <w:tc>
          <w:tcPr>
            <w:tcW w:w="1077" w:type="dxa"/>
            <w:shd w:val="clear" w:color="auto" w:fill="C4EFCE"/>
            <w:vAlign w:val="center"/>
            <w:hideMark/>
          </w:tcPr>
          <w:p w14:paraId="0BEA123C" w14:textId="77777777" w:rsidR="00A15990" w:rsidRDefault="00686A62">
            <w:pPr>
              <w:pStyle w:val="P68B1DB1-Normal8"/>
              <w:spacing w:after="0" w:line="240" w:lineRule="auto"/>
              <w:jc w:val="center"/>
              <w:rPr>
                <w:rFonts w:eastAsia="Times New Roman" w:cs="Calibri"/>
                <w:noProof/>
              </w:rPr>
            </w:pPr>
            <w:r>
              <w:rPr>
                <w:noProof/>
              </w:rPr>
              <w:t>T</w:t>
            </w:r>
          </w:p>
        </w:tc>
        <w:tc>
          <w:tcPr>
            <w:tcW w:w="2026" w:type="dxa"/>
            <w:shd w:val="clear" w:color="auto" w:fill="C4EFCE"/>
            <w:vAlign w:val="center"/>
            <w:hideMark/>
          </w:tcPr>
          <w:p w14:paraId="2DCA3115" w14:textId="77777777" w:rsidR="00A15990" w:rsidRDefault="00686A62">
            <w:pPr>
              <w:pStyle w:val="P68B1DB1-Normal8"/>
              <w:spacing w:after="0" w:line="240" w:lineRule="auto"/>
              <w:jc w:val="center"/>
              <w:rPr>
                <w:rFonts w:eastAsia="Times New Roman" w:cs="Calibri"/>
                <w:noProof/>
              </w:rPr>
            </w:pPr>
            <w:r>
              <w:rPr>
                <w:noProof/>
              </w:rPr>
              <w:t>Intervenții în fondul locativ public al Regiunii Autonome Azore – renovare</w:t>
            </w:r>
          </w:p>
        </w:tc>
        <w:tc>
          <w:tcPr>
            <w:tcW w:w="1355" w:type="dxa"/>
            <w:shd w:val="clear" w:color="auto" w:fill="C4EFCE"/>
            <w:vAlign w:val="center"/>
            <w:hideMark/>
          </w:tcPr>
          <w:p w14:paraId="40C9CFB1" w14:textId="77777777" w:rsidR="00A15990" w:rsidRDefault="00686A62">
            <w:pPr>
              <w:pStyle w:val="P68B1DB1-Normal8"/>
              <w:spacing w:after="0" w:line="240" w:lineRule="auto"/>
              <w:jc w:val="center"/>
              <w:rPr>
                <w:rFonts w:eastAsia="Times New Roman" w:cs="Calibri"/>
                <w:noProof/>
              </w:rPr>
            </w:pPr>
            <w:r>
              <w:rPr>
                <w:noProof/>
              </w:rPr>
              <w:t> </w:t>
            </w:r>
          </w:p>
        </w:tc>
        <w:tc>
          <w:tcPr>
            <w:tcW w:w="1021" w:type="dxa"/>
            <w:shd w:val="clear" w:color="auto" w:fill="C4EFCE"/>
            <w:vAlign w:val="center"/>
            <w:hideMark/>
          </w:tcPr>
          <w:p w14:paraId="193183B5" w14:textId="752160E4" w:rsidR="00A15990" w:rsidRDefault="00686A62">
            <w:pPr>
              <w:pStyle w:val="P68B1DB1-Normal8"/>
              <w:spacing w:after="0" w:line="240" w:lineRule="auto"/>
              <w:jc w:val="center"/>
              <w:rPr>
                <w:rFonts w:eastAsia="Times New Roman" w:cs="Calibri"/>
                <w:noProof/>
              </w:rPr>
            </w:pPr>
            <w:r>
              <w:rPr>
                <w:noProof/>
              </w:rPr>
              <w:t>Numărul</w:t>
            </w:r>
          </w:p>
        </w:tc>
        <w:tc>
          <w:tcPr>
            <w:tcW w:w="1134" w:type="dxa"/>
            <w:shd w:val="clear" w:color="auto" w:fill="C4EFCE"/>
            <w:vAlign w:val="center"/>
            <w:hideMark/>
          </w:tcPr>
          <w:p w14:paraId="1B967865" w14:textId="51F3039A" w:rsidR="00A15990" w:rsidRDefault="00686A62">
            <w:pPr>
              <w:pStyle w:val="P68B1DB1-Normal8"/>
              <w:spacing w:after="0" w:line="240" w:lineRule="auto"/>
              <w:jc w:val="center"/>
              <w:rPr>
                <w:rFonts w:eastAsia="Times New Roman" w:cs="Calibri"/>
                <w:noProof/>
              </w:rPr>
            </w:pPr>
            <w:r>
              <w:rPr>
                <w:noProof/>
              </w:rPr>
              <w:t>101</w:t>
            </w:r>
          </w:p>
        </w:tc>
        <w:tc>
          <w:tcPr>
            <w:tcW w:w="897" w:type="dxa"/>
            <w:shd w:val="clear" w:color="auto" w:fill="C4EFCE"/>
            <w:vAlign w:val="center"/>
            <w:hideMark/>
          </w:tcPr>
          <w:p w14:paraId="769572A9" w14:textId="49DD8B07" w:rsidR="00A15990" w:rsidRDefault="00686A62">
            <w:pPr>
              <w:pStyle w:val="P68B1DB1-Normal8"/>
              <w:spacing w:after="0" w:line="240" w:lineRule="auto"/>
              <w:jc w:val="center"/>
              <w:rPr>
                <w:rFonts w:eastAsia="Times New Roman" w:cs="Calibri"/>
                <w:noProof/>
              </w:rPr>
            </w:pPr>
            <w:r>
              <w:rPr>
                <w:noProof/>
              </w:rPr>
              <w:t>602</w:t>
            </w:r>
          </w:p>
        </w:tc>
        <w:tc>
          <w:tcPr>
            <w:tcW w:w="473" w:type="dxa"/>
            <w:shd w:val="clear" w:color="auto" w:fill="C4EFCE"/>
            <w:vAlign w:val="center"/>
            <w:hideMark/>
          </w:tcPr>
          <w:p w14:paraId="5E5CB188" w14:textId="77777777" w:rsidR="00A15990" w:rsidRDefault="00686A62">
            <w:pPr>
              <w:pStyle w:val="P68B1DB1-Normal8"/>
              <w:spacing w:after="0" w:line="240" w:lineRule="auto"/>
              <w:jc w:val="center"/>
              <w:rPr>
                <w:rFonts w:eastAsia="Times New Roman" w:cs="Calibri"/>
                <w:noProof/>
              </w:rPr>
            </w:pPr>
            <w:r>
              <w:rPr>
                <w:noProof/>
              </w:rPr>
              <w:t>TRIMESTRUL 4</w:t>
            </w:r>
          </w:p>
        </w:tc>
        <w:tc>
          <w:tcPr>
            <w:tcW w:w="625" w:type="dxa"/>
            <w:shd w:val="clear" w:color="auto" w:fill="C4EFCE"/>
            <w:vAlign w:val="center"/>
            <w:hideMark/>
          </w:tcPr>
          <w:p w14:paraId="25139D3A" w14:textId="77777777" w:rsidR="00A15990" w:rsidRDefault="00686A62">
            <w:pPr>
              <w:pStyle w:val="P68B1DB1-Normal8"/>
              <w:spacing w:after="0" w:line="240" w:lineRule="auto"/>
              <w:jc w:val="center"/>
              <w:rPr>
                <w:rFonts w:eastAsia="Times New Roman" w:cs="Calibri"/>
                <w:noProof/>
              </w:rPr>
            </w:pPr>
            <w:r>
              <w:rPr>
                <w:noProof/>
              </w:rPr>
              <w:t>2025</w:t>
            </w:r>
          </w:p>
        </w:tc>
        <w:tc>
          <w:tcPr>
            <w:tcW w:w="4969" w:type="dxa"/>
            <w:shd w:val="clear" w:color="auto" w:fill="C4EFCE"/>
            <w:vAlign w:val="center"/>
            <w:hideMark/>
          </w:tcPr>
          <w:p w14:paraId="7C838658" w14:textId="2AF73229" w:rsidR="00A15990" w:rsidRDefault="00686A62">
            <w:pPr>
              <w:pStyle w:val="P68B1DB1-Normal8"/>
              <w:spacing w:after="0" w:line="240" w:lineRule="auto"/>
              <w:jc w:val="both"/>
              <w:rPr>
                <w:rFonts w:eastAsia="Times New Roman" w:cs="Calibri"/>
                <w:noProof/>
              </w:rPr>
            </w:pPr>
            <w:r>
              <w:rPr>
                <w:noProof/>
              </w:rPr>
              <w:t xml:space="preserve">Investiția include renovarea sau finalizarea clădirilor și a apartamentelor, măsurată în funcție de numărul de intervenții. </w:t>
            </w:r>
          </w:p>
          <w:p w14:paraId="5CC5DAB9" w14:textId="0CE72A03" w:rsidR="00A15990" w:rsidRDefault="00686A62">
            <w:pPr>
              <w:pStyle w:val="P68B1DB1-Normal8"/>
              <w:spacing w:after="0" w:line="240" w:lineRule="auto"/>
              <w:jc w:val="both"/>
              <w:rPr>
                <w:rFonts w:eastAsia="Times New Roman" w:cs="Calibri"/>
                <w:noProof/>
              </w:rPr>
            </w:pPr>
            <w:r>
              <w:rPr>
                <w:noProof/>
              </w:rPr>
              <w:t>Intervențiile pot include:</w:t>
            </w:r>
          </w:p>
          <w:p w14:paraId="2D64D5AE" w14:textId="684C0690" w:rsidR="00A15990" w:rsidRDefault="00686A62">
            <w:pPr>
              <w:pStyle w:val="P68B1DB1-Normal8"/>
              <w:spacing w:after="0" w:line="240" w:lineRule="auto"/>
              <w:jc w:val="both"/>
              <w:rPr>
                <w:rFonts w:eastAsia="Times New Roman" w:cs="Calibri"/>
                <w:noProof/>
              </w:rPr>
            </w:pPr>
            <w:r>
              <w:rPr>
                <w:noProof/>
              </w:rPr>
              <w:t xml:space="preserve">transformarea clădirilor publice nerezidențiale în locuințe; </w:t>
            </w:r>
          </w:p>
          <w:p w14:paraId="10665253" w14:textId="532B6F1F" w:rsidR="00A15990" w:rsidRDefault="00686A62">
            <w:pPr>
              <w:pStyle w:val="P68B1DB1-Normal8"/>
              <w:spacing w:after="0" w:line="240" w:lineRule="auto"/>
              <w:jc w:val="both"/>
              <w:rPr>
                <w:rFonts w:eastAsia="Times New Roman" w:cs="Calibri"/>
                <w:noProof/>
              </w:rPr>
            </w:pPr>
            <w:r>
              <w:rPr>
                <w:noProof/>
              </w:rPr>
              <w:t xml:space="preserve">operaționalizarea unui plan de promovare a închirierii tinerilor (de exemplu, transformarea cazării locale – Alojamento Local- în închiriere pe termen lung, reabilitarea centrelor urbane). </w:t>
            </w:r>
          </w:p>
          <w:p w14:paraId="4070F306" w14:textId="0A1C2EF3" w:rsidR="00A15990" w:rsidRDefault="00686A62">
            <w:pPr>
              <w:pStyle w:val="P68B1DB1-Normal8"/>
              <w:spacing w:after="0" w:line="240" w:lineRule="auto"/>
              <w:jc w:val="both"/>
              <w:rPr>
                <w:rFonts w:eastAsia="Times New Roman" w:cs="Calibri"/>
                <w:noProof/>
              </w:rPr>
            </w:pPr>
            <w:r>
              <w:rPr>
                <w:noProof/>
              </w:rPr>
              <w:t>Sprijin financiar pentru reconversia clădirilor sociale degradate (Bairros Sociais)</w:t>
            </w:r>
          </w:p>
          <w:p w14:paraId="482801D9" w14:textId="77777777" w:rsidR="00A15990" w:rsidRDefault="00686A62">
            <w:pPr>
              <w:pStyle w:val="P68B1DB1-Normal8"/>
              <w:spacing w:after="0" w:line="240" w:lineRule="auto"/>
              <w:jc w:val="both"/>
              <w:rPr>
                <w:rFonts w:eastAsia="Times New Roman" w:cs="Calibri"/>
                <w:noProof/>
              </w:rPr>
            </w:pPr>
            <w:r>
              <w:rPr>
                <w:noProof/>
              </w:rPr>
              <w:t>— renovarea locuințelor publice pentru a respecta legislația actuală privind locuințele, în principal cerințele de eficiență energetică.</w:t>
            </w:r>
          </w:p>
          <w:p w14:paraId="41DBC569" w14:textId="77777777" w:rsidR="00A15990" w:rsidRDefault="00686A62">
            <w:pPr>
              <w:pStyle w:val="P68B1DB1-Normal8"/>
              <w:spacing w:after="0" w:line="240" w:lineRule="auto"/>
              <w:jc w:val="both"/>
              <w:rPr>
                <w:rFonts w:eastAsia="Times New Roman" w:cs="Calibri"/>
                <w:noProof/>
              </w:rPr>
            </w:pPr>
            <w:r>
              <w:rPr>
                <w:noProof/>
              </w:rPr>
              <w:t>Renovările vizând eficiența energetică realizează, în medie, cel puțin o renovare de amploare medie, astfel cum este definită în Recomandarea Comisiei privind renovarea clădirilor (UE) 2019/786.</w:t>
            </w:r>
          </w:p>
          <w:p w14:paraId="27313658" w14:textId="77777777" w:rsidR="00A15990" w:rsidRDefault="00686A62">
            <w:pPr>
              <w:pStyle w:val="P68B1DB1-Normal8"/>
              <w:spacing w:after="0" w:line="240" w:lineRule="auto"/>
              <w:jc w:val="both"/>
              <w:rPr>
                <w:rFonts w:eastAsia="Times New Roman" w:cs="Calibri"/>
                <w:noProof/>
              </w:rPr>
            </w:pPr>
            <w:r>
              <w:rPr>
                <w:noProof/>
              </w:rPr>
              <w:t>Locuințele în cauză au o dimensiune medie de aproximativ 100 de metri pătrați.</w:t>
            </w:r>
          </w:p>
        </w:tc>
      </w:tr>
      <w:tr w:rsidR="00A15990" w14:paraId="347B37FF" w14:textId="77777777">
        <w:trPr>
          <w:trHeight w:val="1897"/>
        </w:trPr>
        <w:tc>
          <w:tcPr>
            <w:tcW w:w="1134" w:type="dxa"/>
            <w:shd w:val="clear" w:color="auto" w:fill="C4EFCE"/>
            <w:vAlign w:val="center"/>
          </w:tcPr>
          <w:p w14:paraId="55D5B2CB" w14:textId="77777777" w:rsidR="00A15990" w:rsidRDefault="00686A62">
            <w:pPr>
              <w:pStyle w:val="P68B1DB1-Normal7"/>
              <w:spacing w:after="0" w:line="240" w:lineRule="auto"/>
              <w:jc w:val="center"/>
              <w:rPr>
                <w:rFonts w:eastAsia="Times New Roman" w:cs="Calibri"/>
                <w:noProof/>
              </w:rPr>
            </w:pPr>
            <w:r>
              <w:rPr>
                <w:noProof/>
              </w:rPr>
              <w:t>2.19</w:t>
            </w:r>
          </w:p>
        </w:tc>
        <w:tc>
          <w:tcPr>
            <w:tcW w:w="1304" w:type="dxa"/>
            <w:shd w:val="clear" w:color="auto" w:fill="C4EFCE"/>
            <w:vAlign w:val="center"/>
          </w:tcPr>
          <w:p w14:paraId="02390AF0" w14:textId="77777777" w:rsidR="00A15990" w:rsidRDefault="00686A62">
            <w:pPr>
              <w:pStyle w:val="P68B1DB1-Normal8"/>
              <w:spacing w:after="0" w:line="240" w:lineRule="auto"/>
              <w:jc w:val="center"/>
              <w:rPr>
                <w:rFonts w:eastAsia="Times New Roman" w:cs="Calibri"/>
                <w:noProof/>
              </w:rPr>
            </w:pPr>
            <w:r>
              <w:rPr>
                <w:noProof/>
              </w:rPr>
              <w:t>RE-C02-r04</w:t>
            </w:r>
          </w:p>
        </w:tc>
        <w:tc>
          <w:tcPr>
            <w:tcW w:w="1077" w:type="dxa"/>
            <w:shd w:val="clear" w:color="auto" w:fill="C4EFCE"/>
            <w:vAlign w:val="center"/>
          </w:tcPr>
          <w:p w14:paraId="61654FF5" w14:textId="77777777" w:rsidR="00A15990" w:rsidRDefault="00686A62">
            <w:pPr>
              <w:pStyle w:val="P68B1DB1-Normal8"/>
              <w:spacing w:after="0" w:line="240" w:lineRule="auto"/>
              <w:jc w:val="center"/>
              <w:rPr>
                <w:rFonts w:eastAsia="Times New Roman" w:cs="Calibri"/>
                <w:noProof/>
              </w:rPr>
            </w:pPr>
            <w:r>
              <w:rPr>
                <w:noProof/>
              </w:rPr>
              <w:t>M</w:t>
            </w:r>
          </w:p>
        </w:tc>
        <w:tc>
          <w:tcPr>
            <w:tcW w:w="2026" w:type="dxa"/>
            <w:shd w:val="clear" w:color="auto" w:fill="C4EFCE"/>
            <w:vAlign w:val="center"/>
          </w:tcPr>
          <w:p w14:paraId="06B961BF" w14:textId="7AB820AD" w:rsidR="00A15990" w:rsidRDefault="00686A62">
            <w:pPr>
              <w:pStyle w:val="P68B1DB1-Normal9"/>
              <w:spacing w:after="0" w:line="240" w:lineRule="auto"/>
              <w:rPr>
                <w:rFonts w:eastAsia="Times New Roman" w:cs="Calibri"/>
                <w:noProof/>
                <w:sz w:val="16"/>
              </w:rPr>
            </w:pPr>
            <w:r>
              <w:rPr>
                <w:noProof/>
                <w:sz w:val="16"/>
              </w:rPr>
              <w:t>Intrarea în vigoare a Decretului-lege de aprobare a cadrului juridic pentru planul</w:t>
            </w:r>
            <w:r w:rsidR="00852019">
              <w:rPr>
                <w:noProof/>
                <w:sz w:val="16"/>
              </w:rPr>
              <w:t xml:space="preserve"> </w:t>
            </w:r>
            <w:r>
              <w:rPr>
                <w:noProof/>
                <w:sz w:val="16"/>
              </w:rPr>
              <w:t>național de urgență și temporar privind locuințele</w:t>
            </w:r>
          </w:p>
        </w:tc>
        <w:tc>
          <w:tcPr>
            <w:tcW w:w="1355" w:type="dxa"/>
            <w:shd w:val="clear" w:color="auto" w:fill="C4EFCE"/>
            <w:vAlign w:val="center"/>
          </w:tcPr>
          <w:p w14:paraId="10E78A8C" w14:textId="77777777" w:rsidR="00A15990" w:rsidRDefault="00686A62">
            <w:pPr>
              <w:pStyle w:val="P68B1DB1-Normal8"/>
              <w:spacing w:after="0" w:line="240" w:lineRule="auto"/>
              <w:rPr>
                <w:rFonts w:eastAsia="Times New Roman" w:cs="Calibri"/>
                <w:noProof/>
              </w:rPr>
            </w:pPr>
            <w:r>
              <w:rPr>
                <w:noProof/>
              </w:rPr>
              <w:t>Intrarea în vigoare a decretului-lege</w:t>
            </w:r>
          </w:p>
        </w:tc>
        <w:tc>
          <w:tcPr>
            <w:tcW w:w="1021" w:type="dxa"/>
            <w:shd w:val="clear" w:color="auto" w:fill="C4EFCE"/>
            <w:vAlign w:val="center"/>
          </w:tcPr>
          <w:p w14:paraId="1DBACC24" w14:textId="1C8EF36E" w:rsidR="00A15990" w:rsidRDefault="00A15990">
            <w:pPr>
              <w:spacing w:after="0" w:line="240" w:lineRule="auto"/>
              <w:jc w:val="center"/>
              <w:rPr>
                <w:rFonts w:ascii="Calibri" w:eastAsia="Times New Roman" w:hAnsi="Calibri" w:cs="Calibri"/>
                <w:noProof/>
                <w:sz w:val="16"/>
              </w:rPr>
            </w:pPr>
          </w:p>
        </w:tc>
        <w:tc>
          <w:tcPr>
            <w:tcW w:w="1134" w:type="dxa"/>
            <w:shd w:val="clear" w:color="auto" w:fill="C4EFCE"/>
            <w:vAlign w:val="center"/>
          </w:tcPr>
          <w:p w14:paraId="22364C29" w14:textId="331D8C51" w:rsidR="00A15990" w:rsidRDefault="00A15990">
            <w:pPr>
              <w:spacing w:after="0" w:line="240" w:lineRule="auto"/>
              <w:jc w:val="center"/>
              <w:rPr>
                <w:rFonts w:ascii="Calibri" w:eastAsia="Times New Roman" w:hAnsi="Calibri" w:cs="Calibri"/>
                <w:noProof/>
                <w:sz w:val="16"/>
              </w:rPr>
            </w:pPr>
          </w:p>
        </w:tc>
        <w:tc>
          <w:tcPr>
            <w:tcW w:w="897" w:type="dxa"/>
            <w:shd w:val="clear" w:color="auto" w:fill="C4EFCE"/>
            <w:vAlign w:val="center"/>
          </w:tcPr>
          <w:p w14:paraId="18147486" w14:textId="0F9CD299" w:rsidR="00A15990" w:rsidRDefault="00A15990">
            <w:pPr>
              <w:spacing w:after="0" w:line="240" w:lineRule="auto"/>
              <w:jc w:val="center"/>
              <w:rPr>
                <w:rFonts w:ascii="Calibri" w:eastAsia="Times New Roman" w:hAnsi="Calibri" w:cs="Calibri"/>
                <w:noProof/>
                <w:sz w:val="16"/>
              </w:rPr>
            </w:pPr>
          </w:p>
        </w:tc>
        <w:tc>
          <w:tcPr>
            <w:tcW w:w="473" w:type="dxa"/>
            <w:shd w:val="clear" w:color="auto" w:fill="C4EFCE"/>
            <w:vAlign w:val="center"/>
          </w:tcPr>
          <w:p w14:paraId="63C6F1EC" w14:textId="77777777" w:rsidR="00A15990" w:rsidRDefault="00686A62">
            <w:pPr>
              <w:pStyle w:val="P68B1DB1-Normal8"/>
              <w:spacing w:after="0" w:line="240" w:lineRule="auto"/>
              <w:rPr>
                <w:rFonts w:eastAsia="Times New Roman" w:cs="Calibri"/>
                <w:noProof/>
              </w:rPr>
            </w:pPr>
            <w:r>
              <w:rPr>
                <w:noProof/>
              </w:rPr>
              <w:t>TRIMESTRUL 2</w:t>
            </w:r>
          </w:p>
        </w:tc>
        <w:tc>
          <w:tcPr>
            <w:tcW w:w="625" w:type="dxa"/>
            <w:shd w:val="clear" w:color="auto" w:fill="C4EFCE"/>
            <w:vAlign w:val="center"/>
          </w:tcPr>
          <w:p w14:paraId="623BE23E" w14:textId="77777777" w:rsidR="00A15990" w:rsidRDefault="00686A62">
            <w:pPr>
              <w:pStyle w:val="P68B1DB1-Normal8"/>
              <w:spacing w:after="0" w:line="240" w:lineRule="auto"/>
              <w:rPr>
                <w:rFonts w:eastAsia="Times New Roman" w:cs="Calibri"/>
                <w:noProof/>
              </w:rPr>
            </w:pPr>
            <w:r>
              <w:rPr>
                <w:noProof/>
              </w:rPr>
              <w:t>2021</w:t>
            </w:r>
          </w:p>
        </w:tc>
        <w:tc>
          <w:tcPr>
            <w:tcW w:w="4969" w:type="dxa"/>
            <w:shd w:val="clear" w:color="auto" w:fill="C4EFCE"/>
            <w:vAlign w:val="center"/>
          </w:tcPr>
          <w:p w14:paraId="2E6359DD" w14:textId="77777777" w:rsidR="00A15990" w:rsidRDefault="00686A62">
            <w:pPr>
              <w:pStyle w:val="P68B1DB1-Normal8"/>
              <w:spacing w:after="0" w:line="240" w:lineRule="auto"/>
              <w:jc w:val="both"/>
              <w:rPr>
                <w:rFonts w:eastAsia="Times New Roman" w:cs="Calibri"/>
                <w:noProof/>
              </w:rPr>
            </w:pPr>
            <w:r>
              <w:rPr>
                <w:noProof/>
              </w:rPr>
              <w:t>Decretul-lege definește structura planului și a fondului locativ, în special în ceea ce privește beneficiarii eligibili, soluțiile în materie de locuințe și modelul de finanțare. Pe lângă cadrul juridic, Planul național privind locuințele este prezentat guvernului și aprobat de acesta, care include planificarea strategică a soluțiilor locative care urmează să fie promovate și sprijinul necesar în acest scop, în funcție de nevoile și particularitățile locale și de coeziunea socioteritorială.</w:t>
            </w:r>
          </w:p>
        </w:tc>
      </w:tr>
      <w:tr w:rsidR="00A15990" w14:paraId="4A43709F" w14:textId="77777777">
        <w:trPr>
          <w:trHeight w:val="982"/>
        </w:trPr>
        <w:tc>
          <w:tcPr>
            <w:tcW w:w="1134" w:type="dxa"/>
            <w:shd w:val="clear" w:color="auto" w:fill="C4EFCE"/>
            <w:vAlign w:val="center"/>
          </w:tcPr>
          <w:p w14:paraId="4CC0270E" w14:textId="60006A58" w:rsidR="00A15990" w:rsidRDefault="00686A62">
            <w:pPr>
              <w:pStyle w:val="P68B1DB1-Normal11"/>
              <w:spacing w:after="0" w:line="240" w:lineRule="auto"/>
              <w:jc w:val="center"/>
              <w:rPr>
                <w:rFonts w:eastAsia="Times New Roman" w:cstheme="minorHAnsi"/>
                <w:noProof/>
              </w:rPr>
            </w:pPr>
            <w:r>
              <w:rPr>
                <w:noProof/>
              </w:rPr>
              <w:t>2.30</w:t>
            </w:r>
          </w:p>
        </w:tc>
        <w:tc>
          <w:tcPr>
            <w:tcW w:w="1304" w:type="dxa"/>
            <w:shd w:val="clear" w:color="auto" w:fill="C4EFCE"/>
            <w:vAlign w:val="center"/>
          </w:tcPr>
          <w:p w14:paraId="02A729EB" w14:textId="0AFCA7AF" w:rsidR="00A15990" w:rsidRDefault="00686A62">
            <w:pPr>
              <w:pStyle w:val="P68B1DB1-Normal12"/>
              <w:spacing w:after="0" w:line="240" w:lineRule="auto"/>
              <w:jc w:val="center"/>
              <w:rPr>
                <w:rFonts w:eastAsia="Times New Roman" w:cstheme="minorHAnsi"/>
                <w:noProof/>
              </w:rPr>
            </w:pPr>
            <w:r>
              <w:rPr>
                <w:noProof/>
              </w:rPr>
              <w:t>RE-C02-i07-RAA</w:t>
            </w:r>
          </w:p>
        </w:tc>
        <w:tc>
          <w:tcPr>
            <w:tcW w:w="1077" w:type="dxa"/>
            <w:shd w:val="clear" w:color="auto" w:fill="C4EFCE"/>
            <w:vAlign w:val="center"/>
          </w:tcPr>
          <w:p w14:paraId="61FFCA13" w14:textId="7B8D2070" w:rsidR="00A15990" w:rsidRDefault="00686A62">
            <w:pPr>
              <w:pStyle w:val="P68B1DB1-Normal12"/>
              <w:spacing w:after="0" w:line="240" w:lineRule="auto"/>
              <w:jc w:val="center"/>
              <w:rPr>
                <w:rFonts w:eastAsia="Times New Roman" w:cstheme="minorHAnsi"/>
                <w:noProof/>
              </w:rPr>
            </w:pPr>
            <w:r>
              <w:rPr>
                <w:noProof/>
              </w:rPr>
              <w:t>T</w:t>
            </w:r>
          </w:p>
        </w:tc>
        <w:tc>
          <w:tcPr>
            <w:tcW w:w="2026" w:type="dxa"/>
            <w:shd w:val="clear" w:color="auto" w:fill="C4EFCE"/>
            <w:vAlign w:val="center"/>
          </w:tcPr>
          <w:p w14:paraId="2CF83377" w14:textId="702263B8" w:rsidR="00A15990" w:rsidRDefault="00686A62">
            <w:pPr>
              <w:pStyle w:val="P68B1DB1-Normal12"/>
              <w:spacing w:after="0" w:line="240" w:lineRule="auto"/>
              <w:rPr>
                <w:rFonts w:eastAsia="Times New Roman" w:cstheme="minorHAnsi"/>
                <w:noProof/>
              </w:rPr>
            </w:pPr>
            <w:r>
              <w:rPr>
                <w:noProof/>
              </w:rPr>
              <w:t>Infrastructura parcelelor de teren</w:t>
            </w:r>
          </w:p>
        </w:tc>
        <w:tc>
          <w:tcPr>
            <w:tcW w:w="1355" w:type="dxa"/>
            <w:shd w:val="clear" w:color="auto" w:fill="C4EFCE"/>
            <w:vAlign w:val="center"/>
          </w:tcPr>
          <w:p w14:paraId="48DB30AD" w14:textId="77777777" w:rsidR="00A15990" w:rsidRDefault="00A15990">
            <w:pPr>
              <w:spacing w:after="0" w:line="240" w:lineRule="auto"/>
              <w:rPr>
                <w:rFonts w:eastAsia="Times New Roman" w:cstheme="minorHAnsi"/>
                <w:noProof/>
                <w:sz w:val="16"/>
              </w:rPr>
            </w:pPr>
          </w:p>
        </w:tc>
        <w:tc>
          <w:tcPr>
            <w:tcW w:w="1021" w:type="dxa"/>
            <w:shd w:val="clear" w:color="auto" w:fill="C4EFCE"/>
            <w:vAlign w:val="center"/>
          </w:tcPr>
          <w:p w14:paraId="1BE72B86" w14:textId="72586D92" w:rsidR="00A15990" w:rsidRDefault="00686A62">
            <w:pPr>
              <w:pStyle w:val="P68B1DB1-Normal12"/>
              <w:spacing w:after="0" w:line="240" w:lineRule="auto"/>
              <w:jc w:val="center"/>
              <w:rPr>
                <w:rFonts w:eastAsia="Times New Roman" w:cstheme="minorHAnsi"/>
                <w:noProof/>
              </w:rPr>
            </w:pPr>
            <w:r>
              <w:rPr>
                <w:noProof/>
              </w:rPr>
              <w:t>Numărul</w:t>
            </w:r>
          </w:p>
        </w:tc>
        <w:tc>
          <w:tcPr>
            <w:tcW w:w="1134" w:type="dxa"/>
            <w:shd w:val="clear" w:color="auto" w:fill="C4EFCE"/>
            <w:vAlign w:val="center"/>
          </w:tcPr>
          <w:p w14:paraId="0E7D82E2" w14:textId="45707140" w:rsidR="00A15990" w:rsidRDefault="00686A62">
            <w:pPr>
              <w:pStyle w:val="P68B1DB1-Normal12"/>
              <w:spacing w:after="0" w:line="240" w:lineRule="auto"/>
              <w:jc w:val="center"/>
              <w:rPr>
                <w:rFonts w:eastAsia="Times New Roman" w:cstheme="minorHAnsi"/>
                <w:noProof/>
              </w:rPr>
            </w:pPr>
            <w:r>
              <w:rPr>
                <w:noProof/>
              </w:rPr>
              <w:t>0</w:t>
            </w:r>
          </w:p>
        </w:tc>
        <w:tc>
          <w:tcPr>
            <w:tcW w:w="897" w:type="dxa"/>
            <w:shd w:val="clear" w:color="auto" w:fill="C4EFCE"/>
            <w:vAlign w:val="center"/>
          </w:tcPr>
          <w:p w14:paraId="0012CB5B" w14:textId="05B57DCB" w:rsidR="00A15990" w:rsidRDefault="00686A62">
            <w:pPr>
              <w:pStyle w:val="P68B1DB1-Normal12"/>
              <w:spacing w:after="0" w:line="240" w:lineRule="auto"/>
              <w:jc w:val="center"/>
              <w:rPr>
                <w:rFonts w:eastAsia="Times New Roman" w:cstheme="minorHAnsi"/>
                <w:noProof/>
              </w:rPr>
            </w:pPr>
            <w:r>
              <w:rPr>
                <w:noProof/>
              </w:rPr>
              <w:t>145</w:t>
            </w:r>
          </w:p>
        </w:tc>
        <w:tc>
          <w:tcPr>
            <w:tcW w:w="473" w:type="dxa"/>
            <w:shd w:val="clear" w:color="auto" w:fill="C4EFCE"/>
            <w:vAlign w:val="center"/>
          </w:tcPr>
          <w:p w14:paraId="6C101ED3" w14:textId="1EA78A8C" w:rsidR="00A15990" w:rsidRDefault="00686A62">
            <w:pPr>
              <w:pStyle w:val="P68B1DB1-Normal12"/>
              <w:spacing w:after="0" w:line="240" w:lineRule="auto"/>
              <w:rPr>
                <w:rFonts w:eastAsia="Times New Roman" w:cstheme="minorHAnsi"/>
                <w:noProof/>
              </w:rPr>
            </w:pPr>
            <w:r>
              <w:rPr>
                <w:noProof/>
              </w:rPr>
              <w:t>TRIMESTRUL 2</w:t>
            </w:r>
          </w:p>
        </w:tc>
        <w:tc>
          <w:tcPr>
            <w:tcW w:w="625" w:type="dxa"/>
            <w:shd w:val="clear" w:color="auto" w:fill="C4EFCE"/>
            <w:vAlign w:val="center"/>
          </w:tcPr>
          <w:p w14:paraId="417B6A68" w14:textId="1C7AE05F" w:rsidR="00A15990" w:rsidRDefault="00686A62">
            <w:pPr>
              <w:pStyle w:val="P68B1DB1-Normal12"/>
              <w:spacing w:after="0" w:line="240" w:lineRule="auto"/>
              <w:rPr>
                <w:rFonts w:eastAsia="Times New Roman" w:cstheme="minorHAnsi"/>
                <w:noProof/>
              </w:rPr>
            </w:pPr>
            <w:r>
              <w:rPr>
                <w:noProof/>
              </w:rPr>
              <w:t>2026</w:t>
            </w:r>
          </w:p>
        </w:tc>
        <w:tc>
          <w:tcPr>
            <w:tcW w:w="4969" w:type="dxa"/>
            <w:shd w:val="clear" w:color="auto" w:fill="C4EFCE"/>
            <w:vAlign w:val="center"/>
          </w:tcPr>
          <w:p w14:paraId="36ADF2AC" w14:textId="5E49F17C" w:rsidR="00A15990" w:rsidRDefault="00686A62">
            <w:pPr>
              <w:pStyle w:val="P68B1DB1-Normal12"/>
              <w:spacing w:after="0" w:line="240" w:lineRule="auto"/>
              <w:jc w:val="both"/>
              <w:rPr>
                <w:rFonts w:eastAsia="Times New Roman" w:cstheme="minorHAnsi"/>
                <w:noProof/>
              </w:rPr>
            </w:pPr>
            <w:r>
              <w:rPr>
                <w:noProof/>
              </w:rPr>
              <w:t>Numărul de parcele de teren cu infrastructuri create sau îmbunătățite și alocate candidaților selectați, în urma unei proceduri de selecție care a definit condițiile și cerințele pentru selecție. Tinerilor li se acordă prioritate, astfel cum se specifică în descrierea investiției.</w:t>
            </w:r>
          </w:p>
        </w:tc>
      </w:tr>
      <w:tr w:rsidR="00A15990" w14:paraId="01719C1D" w14:textId="77777777">
        <w:trPr>
          <w:trHeight w:val="981"/>
        </w:trPr>
        <w:tc>
          <w:tcPr>
            <w:tcW w:w="1134" w:type="dxa"/>
            <w:shd w:val="clear" w:color="auto" w:fill="C4EFCE"/>
            <w:vAlign w:val="center"/>
          </w:tcPr>
          <w:p w14:paraId="364FFF3B" w14:textId="22B6B22B" w:rsidR="00A15990" w:rsidRDefault="00686A62">
            <w:pPr>
              <w:pStyle w:val="P68B1DB1-Normal11"/>
              <w:spacing w:after="0" w:line="240" w:lineRule="auto"/>
              <w:jc w:val="center"/>
              <w:rPr>
                <w:rFonts w:cstheme="minorHAnsi"/>
                <w:noProof/>
              </w:rPr>
            </w:pPr>
            <w:r>
              <w:rPr>
                <w:noProof/>
              </w:rPr>
              <w:t>2.31</w:t>
            </w:r>
          </w:p>
        </w:tc>
        <w:tc>
          <w:tcPr>
            <w:tcW w:w="1304" w:type="dxa"/>
            <w:shd w:val="clear" w:color="auto" w:fill="C4EFCE"/>
            <w:vAlign w:val="center"/>
          </w:tcPr>
          <w:p w14:paraId="35FF57B8" w14:textId="021904BB" w:rsidR="00A15990" w:rsidRDefault="00686A62">
            <w:pPr>
              <w:pStyle w:val="P68B1DB1-Normal12"/>
              <w:spacing w:after="0" w:line="240" w:lineRule="auto"/>
              <w:jc w:val="center"/>
              <w:rPr>
                <w:rFonts w:cstheme="minorHAnsi"/>
                <w:noProof/>
              </w:rPr>
            </w:pPr>
            <w:r>
              <w:rPr>
                <w:noProof/>
              </w:rPr>
              <w:t>RE-C02-i08-RAA</w:t>
            </w:r>
          </w:p>
        </w:tc>
        <w:tc>
          <w:tcPr>
            <w:tcW w:w="1077" w:type="dxa"/>
            <w:shd w:val="clear" w:color="auto" w:fill="C4EFCE"/>
            <w:vAlign w:val="center"/>
          </w:tcPr>
          <w:p w14:paraId="1FD50D28" w14:textId="3A075D13" w:rsidR="00A15990" w:rsidRDefault="00686A62">
            <w:pPr>
              <w:pStyle w:val="P68B1DB1-Normal12"/>
              <w:spacing w:after="0" w:line="240" w:lineRule="auto"/>
              <w:jc w:val="center"/>
              <w:rPr>
                <w:rFonts w:cstheme="minorHAnsi"/>
                <w:noProof/>
              </w:rPr>
            </w:pPr>
            <w:r>
              <w:rPr>
                <w:noProof/>
              </w:rPr>
              <w:t>T</w:t>
            </w:r>
          </w:p>
        </w:tc>
        <w:tc>
          <w:tcPr>
            <w:tcW w:w="2026" w:type="dxa"/>
            <w:shd w:val="clear" w:color="auto" w:fill="C4EFCE"/>
            <w:vAlign w:val="center"/>
          </w:tcPr>
          <w:p w14:paraId="4B666CCE" w14:textId="478A7D51" w:rsidR="00A15990" w:rsidRDefault="00686A62">
            <w:pPr>
              <w:pStyle w:val="P68B1DB1-Normal12"/>
              <w:spacing w:after="0" w:line="240" w:lineRule="auto"/>
              <w:rPr>
                <w:rFonts w:cstheme="minorHAnsi"/>
                <w:noProof/>
              </w:rPr>
            </w:pPr>
            <w:r>
              <w:rPr>
                <w:noProof/>
              </w:rPr>
              <w:t>Consolidarea fondului de locuințe sociale din Regiunea Autonomă Azore – locuințe construite</w:t>
            </w:r>
          </w:p>
        </w:tc>
        <w:tc>
          <w:tcPr>
            <w:tcW w:w="1355" w:type="dxa"/>
            <w:shd w:val="clear" w:color="auto" w:fill="C4EFCE"/>
            <w:vAlign w:val="center"/>
          </w:tcPr>
          <w:p w14:paraId="3368FA4C" w14:textId="77777777" w:rsidR="00A15990" w:rsidRDefault="00A15990">
            <w:pPr>
              <w:spacing w:after="0" w:line="240" w:lineRule="auto"/>
              <w:rPr>
                <w:rFonts w:eastAsia="Times New Roman" w:cstheme="minorHAnsi"/>
                <w:noProof/>
                <w:sz w:val="16"/>
              </w:rPr>
            </w:pPr>
          </w:p>
        </w:tc>
        <w:tc>
          <w:tcPr>
            <w:tcW w:w="1021" w:type="dxa"/>
            <w:shd w:val="clear" w:color="auto" w:fill="C4EFCE"/>
            <w:vAlign w:val="center"/>
          </w:tcPr>
          <w:p w14:paraId="5D56F8D2" w14:textId="26F656FB" w:rsidR="00A15990" w:rsidRDefault="00686A62">
            <w:pPr>
              <w:pStyle w:val="P68B1DB1-Normal12"/>
              <w:spacing w:after="0" w:line="240" w:lineRule="auto"/>
              <w:jc w:val="center"/>
              <w:rPr>
                <w:rFonts w:cstheme="minorHAnsi"/>
                <w:noProof/>
              </w:rPr>
            </w:pPr>
            <w:r>
              <w:rPr>
                <w:noProof/>
              </w:rPr>
              <w:t>Numărul</w:t>
            </w:r>
          </w:p>
        </w:tc>
        <w:tc>
          <w:tcPr>
            <w:tcW w:w="1134" w:type="dxa"/>
            <w:shd w:val="clear" w:color="auto" w:fill="C4EFCE"/>
            <w:vAlign w:val="center"/>
          </w:tcPr>
          <w:p w14:paraId="6C946781" w14:textId="5373AAC2" w:rsidR="00A15990" w:rsidRDefault="00686A62">
            <w:pPr>
              <w:pStyle w:val="P68B1DB1-Normal12"/>
              <w:spacing w:after="0" w:line="240" w:lineRule="auto"/>
              <w:jc w:val="center"/>
              <w:rPr>
                <w:rFonts w:cstheme="minorHAnsi"/>
                <w:noProof/>
              </w:rPr>
            </w:pPr>
            <w:r>
              <w:rPr>
                <w:noProof/>
              </w:rPr>
              <w:t>0</w:t>
            </w:r>
          </w:p>
        </w:tc>
        <w:tc>
          <w:tcPr>
            <w:tcW w:w="897" w:type="dxa"/>
            <w:shd w:val="clear" w:color="auto" w:fill="C4EFCE"/>
            <w:vAlign w:val="center"/>
          </w:tcPr>
          <w:p w14:paraId="1453AA31" w14:textId="176AAA92" w:rsidR="00A15990" w:rsidRDefault="00686A62">
            <w:pPr>
              <w:pStyle w:val="P68B1DB1-Normal12"/>
              <w:spacing w:after="0" w:line="240" w:lineRule="auto"/>
              <w:jc w:val="center"/>
              <w:rPr>
                <w:rFonts w:cstheme="minorHAnsi"/>
                <w:noProof/>
              </w:rPr>
            </w:pPr>
            <w:r>
              <w:rPr>
                <w:noProof/>
              </w:rPr>
              <w:t>126</w:t>
            </w:r>
          </w:p>
        </w:tc>
        <w:tc>
          <w:tcPr>
            <w:tcW w:w="473" w:type="dxa"/>
            <w:shd w:val="clear" w:color="auto" w:fill="C4EFCE"/>
            <w:vAlign w:val="center"/>
          </w:tcPr>
          <w:p w14:paraId="68B4C3AF" w14:textId="721E7190" w:rsidR="00A15990" w:rsidRDefault="00686A62">
            <w:pPr>
              <w:pStyle w:val="P68B1DB1-Normal12"/>
              <w:spacing w:after="0" w:line="240" w:lineRule="auto"/>
              <w:rPr>
                <w:rFonts w:cstheme="minorHAnsi"/>
                <w:noProof/>
              </w:rPr>
            </w:pPr>
            <w:r>
              <w:rPr>
                <w:noProof/>
              </w:rPr>
              <w:t>TRIMESTRUL 4</w:t>
            </w:r>
          </w:p>
        </w:tc>
        <w:tc>
          <w:tcPr>
            <w:tcW w:w="625" w:type="dxa"/>
            <w:shd w:val="clear" w:color="auto" w:fill="C4EFCE"/>
            <w:vAlign w:val="center"/>
          </w:tcPr>
          <w:p w14:paraId="79C3FF04" w14:textId="14F788F1" w:rsidR="00A15990" w:rsidRDefault="00686A62">
            <w:pPr>
              <w:pStyle w:val="P68B1DB1-Normal12"/>
              <w:spacing w:after="0" w:line="240" w:lineRule="auto"/>
              <w:rPr>
                <w:rFonts w:cstheme="minorHAnsi"/>
                <w:noProof/>
              </w:rPr>
            </w:pPr>
            <w:r>
              <w:rPr>
                <w:noProof/>
              </w:rPr>
              <w:t>2025</w:t>
            </w:r>
          </w:p>
        </w:tc>
        <w:tc>
          <w:tcPr>
            <w:tcW w:w="4969" w:type="dxa"/>
            <w:shd w:val="clear" w:color="auto" w:fill="C4EFCE"/>
            <w:vAlign w:val="center"/>
          </w:tcPr>
          <w:p w14:paraId="6F1B329D" w14:textId="70FC1EBF" w:rsidR="00A15990" w:rsidRDefault="00686A62">
            <w:pPr>
              <w:pStyle w:val="P68B1DB1-Normal12"/>
              <w:spacing w:after="0" w:line="240" w:lineRule="auto"/>
              <w:jc w:val="both"/>
              <w:rPr>
                <w:rFonts w:cstheme="minorHAnsi"/>
                <w:noProof/>
              </w:rPr>
            </w:pPr>
            <w:r>
              <w:rPr>
                <w:noProof/>
              </w:rPr>
              <w:t xml:space="preserve">Numărul de locuințe construite finalizate. Clădirile noi trebuie să aibă o cerere de energie primară cu cel puțin 20 % sub cerințele clădirilor al căror consum de energie este aproape egal cu zero. Dimensiunea medie a locuințelor este de aproximativ 101 de metri pătrați. </w:t>
            </w:r>
          </w:p>
        </w:tc>
      </w:tr>
    </w:tbl>
    <w:p w14:paraId="4EA37B94" w14:textId="77777777" w:rsidR="00A15990" w:rsidRDefault="00A15990">
      <w:pPr>
        <w:spacing w:before="40" w:after="0" w:line="259" w:lineRule="auto"/>
        <w:jc w:val="both"/>
        <w:rPr>
          <w:rFonts w:ascii="Times New Roman" w:eastAsiaTheme="minorEastAsia" w:hAnsi="Times New Roman" w:cs="Times New Roman"/>
          <w:b/>
          <w:noProof/>
          <w:sz w:val="24"/>
        </w:rPr>
      </w:pPr>
    </w:p>
    <w:p w14:paraId="5E20B4D8" w14:textId="77777777" w:rsidR="00A15990" w:rsidRDefault="00A15990">
      <w:pPr>
        <w:spacing w:before="40" w:after="0" w:line="259" w:lineRule="auto"/>
        <w:jc w:val="both"/>
        <w:rPr>
          <w:rFonts w:ascii="Times New Roman" w:eastAsiaTheme="minorEastAsia" w:hAnsi="Times New Roman" w:cs="Times New Roman"/>
          <w:b/>
          <w:noProof/>
          <w:sz w:val="24"/>
        </w:rPr>
      </w:pPr>
    </w:p>
    <w:p w14:paraId="097E5357" w14:textId="77777777" w:rsidR="00A15990" w:rsidRDefault="00A15990">
      <w:pPr>
        <w:spacing w:before="40" w:after="0" w:line="259" w:lineRule="auto"/>
        <w:jc w:val="both"/>
        <w:rPr>
          <w:rFonts w:ascii="Times New Roman" w:eastAsiaTheme="minorEastAsia" w:hAnsi="Times New Roman" w:cs="Times New Roman"/>
          <w:b/>
          <w:noProof/>
          <w:sz w:val="24"/>
        </w:rPr>
      </w:pPr>
    </w:p>
    <w:p w14:paraId="4E113063" w14:textId="77777777" w:rsidR="00A15990" w:rsidRDefault="00A15990">
      <w:pPr>
        <w:spacing w:before="40" w:after="0" w:line="259" w:lineRule="auto"/>
        <w:jc w:val="both"/>
        <w:rPr>
          <w:rFonts w:ascii="Times New Roman" w:eastAsiaTheme="minorEastAsia" w:hAnsi="Times New Roman" w:cs="Times New Roman"/>
          <w:b/>
          <w:noProof/>
          <w:sz w:val="24"/>
        </w:rPr>
        <w:sectPr w:rsidR="00A15990" w:rsidSect="00E00EDD">
          <w:headerReference w:type="even" r:id="rId54"/>
          <w:headerReference w:type="default" r:id="rId55"/>
          <w:footerReference w:type="even" r:id="rId56"/>
          <w:footerReference w:type="default" r:id="rId57"/>
          <w:headerReference w:type="first" r:id="rId58"/>
          <w:footerReference w:type="first" r:id="rId59"/>
          <w:pgSz w:w="16839" w:h="11907" w:orient="landscape"/>
          <w:pgMar w:top="1134" w:right="1134" w:bottom="1134" w:left="1134" w:header="567" w:footer="567" w:gutter="0"/>
          <w:cols w:space="720"/>
          <w:docGrid w:linePitch="360"/>
        </w:sectPr>
      </w:pPr>
    </w:p>
    <w:p w14:paraId="047A1851" w14:textId="77777777" w:rsidR="00A15990" w:rsidRDefault="00A15990">
      <w:pPr>
        <w:spacing w:before="40" w:after="0" w:line="259" w:lineRule="auto"/>
        <w:jc w:val="both"/>
        <w:rPr>
          <w:rFonts w:ascii="Times New Roman" w:eastAsiaTheme="minorEastAsia" w:hAnsi="Times New Roman" w:cs="Times New Roman"/>
          <w:noProof/>
          <w:sz w:val="24"/>
        </w:rPr>
      </w:pPr>
    </w:p>
    <w:p w14:paraId="5B038070" w14:textId="77777777" w:rsidR="00A15990" w:rsidRDefault="00686A62">
      <w:pPr>
        <w:pStyle w:val="P68B1DB1-Normal3"/>
        <w:spacing w:before="40" w:after="0" w:line="259" w:lineRule="auto"/>
        <w:ind w:left="130" w:firstLine="720"/>
        <w:jc w:val="both"/>
        <w:outlineLvl w:val="2"/>
        <w:rPr>
          <w:rFonts w:eastAsiaTheme="minorEastAsia" w:cs="Times New Roman"/>
          <w:noProof/>
        </w:rPr>
      </w:pPr>
      <w:r>
        <w:rPr>
          <w:noProof/>
        </w:rPr>
        <w:t>B.3. Descrierea reformelor și a investițiilor pentru împrumut</w:t>
      </w:r>
    </w:p>
    <w:p w14:paraId="30633E8D" w14:textId="77777777" w:rsidR="00A15990" w:rsidRDefault="00686A62">
      <w:pPr>
        <w:pStyle w:val="P68B1DB1-Normal5"/>
        <w:spacing w:before="240" w:after="0" w:line="259" w:lineRule="auto"/>
        <w:ind w:left="851"/>
        <w:jc w:val="both"/>
        <w:outlineLvl w:val="3"/>
        <w:rPr>
          <w:rFonts w:eastAsiaTheme="minorEastAsia" w:cs="Times New Roman"/>
          <w:b/>
          <w:noProof/>
        </w:rPr>
      </w:pPr>
      <w:r>
        <w:rPr>
          <w:noProof/>
        </w:rPr>
        <w:t>Investiția RE-C02-i05: Parc de locuințe publice la prețuri accesibile</w:t>
      </w:r>
    </w:p>
    <w:p w14:paraId="6A637658" w14:textId="77777777" w:rsidR="00A15990" w:rsidRDefault="00686A62">
      <w:pPr>
        <w:pStyle w:val="P68B1DB1-Normal4"/>
        <w:keepNext/>
        <w:spacing w:before="40" w:after="0" w:line="259" w:lineRule="auto"/>
        <w:jc w:val="both"/>
        <w:rPr>
          <w:rFonts w:eastAsia="Times New Roman" w:cs="Times New Roman"/>
          <w:noProof/>
        </w:rPr>
      </w:pPr>
      <w:r>
        <w:rPr>
          <w:noProof/>
        </w:rPr>
        <w:t xml:space="preserve">Obiectivul investiției este de a răspunde dinamicii actuale a prețurilor locuințelor în raport cu nivelurile veniturilor gospodăriilor portugheze, în special în mediile urbane mari, prin furnizarea unui stoc public de locuințe care pot fi închiriate la prețuri accesibile pentru anumite grupuri-țintă. </w:t>
      </w:r>
    </w:p>
    <w:p w14:paraId="04C006FB" w14:textId="77777777" w:rsidR="00A15990" w:rsidRDefault="00686A62">
      <w:pPr>
        <w:pStyle w:val="P68B1DB1-Normal4"/>
        <w:keepNext/>
        <w:spacing w:before="40" w:after="0" w:line="259" w:lineRule="auto"/>
        <w:jc w:val="both"/>
        <w:rPr>
          <w:rFonts w:eastAsia="Times New Roman" w:cs="Times New Roman"/>
          <w:noProof/>
        </w:rPr>
      </w:pPr>
      <w:r>
        <w:rPr>
          <w:noProof/>
        </w:rPr>
        <w:t xml:space="preserve">Investiția constă în construirea, inclusiv achiziționarea, de clădiri noi și reabilitarea locuințelor publice pentru a oferi 6 800 de locuințe și închirierea ulterioară la prețuri accesibile pentru grupurile-țintă identificate. </w:t>
      </w:r>
    </w:p>
    <w:p w14:paraId="55D88C12"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p w14:paraId="6F8273EA"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Investiția RE-C02-i06: Cazare pentru studenți la prețuri accesibile</w:t>
      </w:r>
    </w:p>
    <w:p w14:paraId="7AA5CEFE"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investiții este de a crește oferta națională de cazare pentru studenți la prețuri accesibile, deoarece aceasta rămâne unul dintre cele mai mari obstacole în calea accesului la învățământul terțiar. Aceste facilități de cazare contribuie la reducerea costurilor directe ale studenților și ale familiilor acestora, cu un accent deosebit pe studenții cei mai vulnerabili din punct de vedere social și economic. Oferta existentă sprijină doar o mică parte (aproximativ 10 %) din studenții care au nevoie de cazare, în contextul unei creșteri semnificative a costurilor cu locuința, în special în cele mai mari centre urbane, unde sunt concentrate instituțiile de învățământ superior. </w:t>
      </w:r>
    </w:p>
    <w:p w14:paraId="4602D132" w14:textId="51E322E5" w:rsidR="00A15990" w:rsidRDefault="00686A62">
      <w:pPr>
        <w:pStyle w:val="P68B1DB1-Normal4"/>
        <w:keepNext/>
        <w:spacing w:before="40" w:after="0" w:line="259" w:lineRule="auto"/>
        <w:jc w:val="both"/>
        <w:rPr>
          <w:rFonts w:eastAsiaTheme="minorEastAsia" w:cs="Times New Roman"/>
          <w:noProof/>
        </w:rPr>
      </w:pPr>
      <w:r>
        <w:rPr>
          <w:noProof/>
        </w:rPr>
        <w:t>Investiția constă în punerea la dispoziție a 18 000 de paturi noi și renovate prin construirea de clădiri noi, reabilitarea clădirilor existente și modernizarea și extinderea unităților de cazare studențești existente pentru a fi utilizate cu prioritate de către studenți. În plus și numai după îndeplinirea nevoilor studenților, se pot pune la dispoziție paturi și cercetătorilor, cadrelor didactice și personalului nedidactic din instituțiile de învățământ superior, în special în ceea ce privește mobilitatea națională sau internațională, inclusiv în cadrul programului ERASMUS +, al rețelelor de „universități europene” și al altor acorduri internaționale de mobilitate încheiate cu statul portughez.</w:t>
      </w:r>
    </w:p>
    <w:p w14:paraId="75204CCB" w14:textId="77777777" w:rsidR="00A15990" w:rsidRDefault="00686A62">
      <w:pPr>
        <w:pStyle w:val="P68B1DB1-Normal4"/>
        <w:keepNext/>
        <w:spacing w:before="40" w:after="0" w:line="259" w:lineRule="auto"/>
        <w:jc w:val="both"/>
        <w:rPr>
          <w:rFonts w:eastAsia="Times New Roman" w:cs="Times New Roman"/>
          <w:noProof/>
        </w:rPr>
      </w:pPr>
      <w:r>
        <w:rPr>
          <w:noProof/>
        </w:rPr>
        <w:t xml:space="preserve">Punerea în aplicare a investiției se va finaliza până la 31 martie 2026. </w:t>
      </w:r>
    </w:p>
    <w:p w14:paraId="1558FB4C" w14:textId="1B1EAE65" w:rsidR="00A15990" w:rsidRDefault="00686A62">
      <w:pPr>
        <w:pStyle w:val="P68B1DB1-Normal5"/>
        <w:spacing w:before="240" w:after="0" w:line="259" w:lineRule="auto"/>
        <w:ind w:left="851"/>
        <w:jc w:val="both"/>
        <w:outlineLvl w:val="3"/>
        <w:rPr>
          <w:rFonts w:eastAsiaTheme="minorEastAsia" w:cs="Times New Roman"/>
          <w:noProof/>
        </w:rPr>
      </w:pPr>
      <w:bookmarkStart w:id="4" w:name="_Hlk143873116"/>
      <w:r>
        <w:rPr>
          <w:noProof/>
        </w:rPr>
        <w:t>Investiția RE-C02-i09: Măsură extinsă: Programul de sprijin pentru accesul la locuințe (împrumut)</w:t>
      </w:r>
    </w:p>
    <w:p w14:paraId="11AD560D" w14:textId="5F5C3FC8" w:rsidR="00A15990" w:rsidRDefault="00686A62">
      <w:pPr>
        <w:pStyle w:val="P68B1DB1-Normal4"/>
        <w:keepNext/>
        <w:spacing w:before="40" w:after="0" w:line="259" w:lineRule="auto"/>
        <w:jc w:val="both"/>
        <w:rPr>
          <w:rFonts w:eastAsiaTheme="minorEastAsia" w:cs="Times New Roman"/>
          <w:noProof/>
        </w:rPr>
      </w:pPr>
      <w:r>
        <w:rPr>
          <w:noProof/>
        </w:rPr>
        <w:t>Obiectivul investiției este de a extinde investițiile RE-C02-i01: Programul de sprijin pentru accesul la locuințe, în cadrul componentei 2. Partea extinsă a măsurii mărește numărul de locuințe furnizate gospodăriilor.</w:t>
      </w:r>
    </w:p>
    <w:p w14:paraId="41CADB9F"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bookmarkEnd w:id="4"/>
    <w:p w14:paraId="3A847D52" w14:textId="77777777" w:rsidR="00A15990" w:rsidRDefault="00A15990">
      <w:pPr>
        <w:keepNext/>
        <w:spacing w:before="40" w:after="0" w:line="259" w:lineRule="auto"/>
        <w:jc w:val="both"/>
        <w:rPr>
          <w:rFonts w:ascii="Times New Roman" w:eastAsia="Times New Roman" w:hAnsi="Times New Roman" w:cs="Times New Roman"/>
          <w:noProof/>
          <w:sz w:val="24"/>
        </w:rPr>
      </w:pPr>
    </w:p>
    <w:p w14:paraId="0CBADF13" w14:textId="77777777" w:rsidR="00A15990" w:rsidRDefault="00A15990">
      <w:pPr>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60"/>
          <w:headerReference w:type="default" r:id="rId61"/>
          <w:footerReference w:type="even" r:id="rId62"/>
          <w:footerReference w:type="default" r:id="rId63"/>
          <w:headerReference w:type="first" r:id="rId64"/>
          <w:footerReference w:type="first" r:id="rId65"/>
          <w:pgSz w:w="11907" w:h="16839"/>
          <w:pgMar w:top="1134" w:right="1134" w:bottom="1134" w:left="1134" w:header="567" w:footer="567" w:gutter="0"/>
          <w:cols w:space="720"/>
          <w:docGrid w:linePitch="360"/>
        </w:sectPr>
      </w:pPr>
    </w:p>
    <w:p w14:paraId="780C899B" w14:textId="77777777" w:rsidR="00A15990" w:rsidRDefault="00686A62">
      <w:pPr>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B.4. </w:t>
      </w:r>
      <w:r>
        <w:rPr>
          <w:noProof/>
        </w:rPr>
        <w:tab/>
      </w:r>
      <w:r>
        <w:rPr>
          <w:rFonts w:ascii="Times New Roman" w:hAnsi="Times New Roman"/>
          <w:b/>
          <w:noProof/>
          <w:sz w:val="24"/>
          <w:u w:val="single"/>
        </w:rPr>
        <w:t>Jaloane, ținte, indicatori și calendarul de monitorizare și implementare aplicabile împrumutului</w:t>
      </w:r>
    </w:p>
    <w:p w14:paraId="1407F7DF" w14:textId="77777777" w:rsidR="00A15990" w:rsidRDefault="00A15990">
      <w:pPr>
        <w:spacing w:before="40" w:after="0" w:line="259" w:lineRule="auto"/>
        <w:jc w:val="both"/>
        <w:rPr>
          <w:rFonts w:ascii="Times New Roman" w:eastAsiaTheme="minorEastAsia" w:hAnsi="Times New Roman" w:cs="Times New Roman"/>
          <w:noProof/>
          <w:sz w:val="24"/>
        </w:rPr>
      </w:pPr>
    </w:p>
    <w:tbl>
      <w:tblPr>
        <w:tblW w:w="149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259"/>
        <w:gridCol w:w="1119"/>
        <w:gridCol w:w="1677"/>
        <w:gridCol w:w="1258"/>
        <w:gridCol w:w="981"/>
        <w:gridCol w:w="980"/>
        <w:gridCol w:w="701"/>
        <w:gridCol w:w="561"/>
        <w:gridCol w:w="700"/>
        <w:gridCol w:w="4606"/>
      </w:tblGrid>
      <w:tr w:rsidR="00A15990" w14:paraId="4C665869" w14:textId="77777777">
        <w:trPr>
          <w:trHeight w:val="910"/>
          <w:tblHeader/>
        </w:trPr>
        <w:tc>
          <w:tcPr>
            <w:tcW w:w="1121" w:type="dxa"/>
            <w:vMerge w:val="restart"/>
            <w:shd w:val="clear" w:color="auto" w:fill="BDD6EE"/>
            <w:vAlign w:val="center"/>
            <w:hideMark/>
          </w:tcPr>
          <w:p w14:paraId="10BCE388"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59" w:type="dxa"/>
            <w:vMerge w:val="restart"/>
            <w:shd w:val="clear" w:color="auto" w:fill="BDD6EE"/>
            <w:vAlign w:val="center"/>
            <w:hideMark/>
          </w:tcPr>
          <w:p w14:paraId="397190C1"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19" w:type="dxa"/>
            <w:vMerge w:val="restart"/>
            <w:shd w:val="clear" w:color="auto" w:fill="BDD6EE"/>
            <w:vAlign w:val="center"/>
            <w:hideMark/>
          </w:tcPr>
          <w:p w14:paraId="42500290" w14:textId="5DE464FD" w:rsidR="00A15990" w:rsidRDefault="008D37D6">
            <w:pPr>
              <w:pStyle w:val="P68B1DB1-Normal6"/>
              <w:spacing w:after="0" w:line="240" w:lineRule="auto"/>
              <w:jc w:val="center"/>
              <w:rPr>
                <w:rFonts w:eastAsia="Times New Roman" w:cs="Times New Roman"/>
                <w:noProof/>
              </w:rPr>
            </w:pPr>
            <w:bookmarkStart w:id="5" w:name="_Hlk146291987"/>
            <w:r>
              <w:rPr>
                <w:noProof/>
              </w:rPr>
              <w:t>Jalon</w:t>
            </w:r>
            <w:r w:rsidR="00686A62">
              <w:rPr>
                <w:noProof/>
              </w:rPr>
              <w:t>/</w:t>
            </w:r>
          </w:p>
          <w:p w14:paraId="54CB065E" w14:textId="127F2F46" w:rsidR="00A15990" w:rsidRDefault="00686A62">
            <w:pPr>
              <w:pStyle w:val="P68B1DB1-Normal6"/>
              <w:spacing w:after="0" w:line="240" w:lineRule="auto"/>
              <w:jc w:val="center"/>
              <w:rPr>
                <w:rFonts w:eastAsia="Times New Roman" w:cs="Times New Roman"/>
                <w:noProof/>
              </w:rPr>
            </w:pPr>
            <w:r>
              <w:rPr>
                <w:noProof/>
              </w:rPr>
              <w:t>Țintă</w:t>
            </w:r>
            <w:bookmarkEnd w:id="5"/>
          </w:p>
        </w:tc>
        <w:tc>
          <w:tcPr>
            <w:tcW w:w="1677" w:type="dxa"/>
            <w:vMerge w:val="restart"/>
            <w:shd w:val="clear" w:color="auto" w:fill="BDD6EE"/>
            <w:vAlign w:val="center"/>
            <w:hideMark/>
          </w:tcPr>
          <w:p w14:paraId="0BC01E37"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58" w:type="dxa"/>
            <w:vMerge w:val="restart"/>
            <w:shd w:val="clear" w:color="auto" w:fill="BDD6EE"/>
            <w:vAlign w:val="center"/>
            <w:hideMark/>
          </w:tcPr>
          <w:p w14:paraId="6453E431"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62" w:type="dxa"/>
            <w:gridSpan w:val="3"/>
            <w:shd w:val="clear" w:color="auto" w:fill="BDD6EE"/>
            <w:vAlign w:val="center"/>
            <w:hideMark/>
          </w:tcPr>
          <w:p w14:paraId="01661F32"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61" w:type="dxa"/>
            <w:gridSpan w:val="2"/>
            <w:shd w:val="clear" w:color="auto" w:fill="BDD6EE"/>
            <w:vAlign w:val="center"/>
            <w:hideMark/>
          </w:tcPr>
          <w:p w14:paraId="45C76A26"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606" w:type="dxa"/>
            <w:vMerge w:val="restart"/>
            <w:shd w:val="clear" w:color="auto" w:fill="BDD6EE"/>
            <w:noWrap/>
            <w:vAlign w:val="center"/>
            <w:hideMark/>
          </w:tcPr>
          <w:p w14:paraId="0E401B5C"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5F9D413E" w14:textId="77777777">
        <w:trPr>
          <w:trHeight w:val="470"/>
          <w:tblHeader/>
        </w:trPr>
        <w:tc>
          <w:tcPr>
            <w:tcW w:w="1121" w:type="dxa"/>
            <w:vMerge/>
            <w:vAlign w:val="center"/>
            <w:hideMark/>
          </w:tcPr>
          <w:p w14:paraId="0D5A92A2" w14:textId="77777777" w:rsidR="00A15990" w:rsidRDefault="00A15990">
            <w:pPr>
              <w:spacing w:after="0" w:line="240" w:lineRule="auto"/>
              <w:rPr>
                <w:rFonts w:ascii="Times New Roman" w:eastAsia="Times New Roman" w:hAnsi="Times New Roman" w:cs="Times New Roman"/>
                <w:b/>
                <w:noProof/>
                <w:sz w:val="18"/>
              </w:rPr>
            </w:pPr>
          </w:p>
        </w:tc>
        <w:tc>
          <w:tcPr>
            <w:tcW w:w="1259" w:type="dxa"/>
            <w:vMerge/>
            <w:vAlign w:val="center"/>
            <w:hideMark/>
          </w:tcPr>
          <w:p w14:paraId="66B80633" w14:textId="77777777" w:rsidR="00A15990" w:rsidRDefault="00A15990">
            <w:pPr>
              <w:spacing w:after="0" w:line="240" w:lineRule="auto"/>
              <w:rPr>
                <w:rFonts w:ascii="Times New Roman" w:eastAsia="Times New Roman" w:hAnsi="Times New Roman" w:cs="Times New Roman"/>
                <w:b/>
                <w:noProof/>
                <w:sz w:val="18"/>
              </w:rPr>
            </w:pPr>
          </w:p>
        </w:tc>
        <w:tc>
          <w:tcPr>
            <w:tcW w:w="1119" w:type="dxa"/>
            <w:vMerge/>
            <w:vAlign w:val="center"/>
            <w:hideMark/>
          </w:tcPr>
          <w:p w14:paraId="3CD2B8F4" w14:textId="5872AC7C" w:rsidR="00A15990" w:rsidRDefault="00A15990">
            <w:pPr>
              <w:spacing w:after="0" w:line="240" w:lineRule="auto"/>
              <w:jc w:val="center"/>
              <w:rPr>
                <w:rFonts w:ascii="Times New Roman" w:eastAsia="Times New Roman" w:hAnsi="Times New Roman" w:cs="Times New Roman"/>
                <w:b/>
                <w:noProof/>
                <w:sz w:val="18"/>
              </w:rPr>
            </w:pPr>
          </w:p>
        </w:tc>
        <w:tc>
          <w:tcPr>
            <w:tcW w:w="1677" w:type="dxa"/>
            <w:vMerge/>
            <w:vAlign w:val="center"/>
            <w:hideMark/>
          </w:tcPr>
          <w:p w14:paraId="7B0E4E17" w14:textId="77777777" w:rsidR="00A15990" w:rsidRDefault="00A15990">
            <w:pPr>
              <w:spacing w:after="0" w:line="240" w:lineRule="auto"/>
              <w:rPr>
                <w:rFonts w:ascii="Times New Roman" w:eastAsia="Times New Roman" w:hAnsi="Times New Roman" w:cs="Times New Roman"/>
                <w:b/>
                <w:noProof/>
                <w:sz w:val="18"/>
              </w:rPr>
            </w:pPr>
          </w:p>
        </w:tc>
        <w:tc>
          <w:tcPr>
            <w:tcW w:w="1258" w:type="dxa"/>
            <w:vMerge/>
            <w:vAlign w:val="center"/>
            <w:hideMark/>
          </w:tcPr>
          <w:p w14:paraId="6ED6C64F" w14:textId="77777777" w:rsidR="00A15990" w:rsidRDefault="00A15990">
            <w:pPr>
              <w:spacing w:after="0" w:line="240" w:lineRule="auto"/>
              <w:rPr>
                <w:rFonts w:ascii="Times New Roman" w:eastAsia="Times New Roman" w:hAnsi="Times New Roman" w:cs="Times New Roman"/>
                <w:b/>
                <w:noProof/>
                <w:sz w:val="18"/>
              </w:rPr>
            </w:pPr>
          </w:p>
        </w:tc>
        <w:tc>
          <w:tcPr>
            <w:tcW w:w="981" w:type="dxa"/>
            <w:shd w:val="clear" w:color="auto" w:fill="BDD6EE"/>
            <w:vAlign w:val="center"/>
            <w:hideMark/>
          </w:tcPr>
          <w:p w14:paraId="4082AB93"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80" w:type="dxa"/>
            <w:shd w:val="clear" w:color="auto" w:fill="BDD6EE"/>
            <w:vAlign w:val="center"/>
            <w:hideMark/>
          </w:tcPr>
          <w:p w14:paraId="6FFD0F60"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1" w:type="dxa"/>
            <w:shd w:val="clear" w:color="auto" w:fill="BDD6EE"/>
            <w:vAlign w:val="center"/>
            <w:hideMark/>
          </w:tcPr>
          <w:p w14:paraId="5A43C212"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1" w:type="dxa"/>
            <w:shd w:val="clear" w:color="auto" w:fill="BDD6EE"/>
            <w:vAlign w:val="center"/>
            <w:hideMark/>
          </w:tcPr>
          <w:p w14:paraId="74791177" w14:textId="77777777" w:rsidR="00A15990" w:rsidRDefault="00686A62">
            <w:pPr>
              <w:pStyle w:val="P68B1DB1-Normal6"/>
              <w:spacing w:after="0" w:line="240" w:lineRule="auto"/>
              <w:jc w:val="center"/>
              <w:rPr>
                <w:rFonts w:eastAsia="Times New Roman" w:cs="Times New Roman"/>
                <w:noProof/>
              </w:rPr>
            </w:pPr>
            <w:r>
              <w:rPr>
                <w:noProof/>
              </w:rPr>
              <w:t>Q</w:t>
            </w:r>
          </w:p>
        </w:tc>
        <w:tc>
          <w:tcPr>
            <w:tcW w:w="700" w:type="dxa"/>
            <w:shd w:val="clear" w:color="auto" w:fill="BDD6EE"/>
            <w:vAlign w:val="center"/>
            <w:hideMark/>
          </w:tcPr>
          <w:p w14:paraId="639FF5C5" w14:textId="77777777" w:rsidR="00A15990" w:rsidRDefault="00686A62">
            <w:pPr>
              <w:pStyle w:val="P68B1DB1-Normal6"/>
              <w:spacing w:after="0" w:line="240" w:lineRule="auto"/>
              <w:jc w:val="center"/>
              <w:rPr>
                <w:rFonts w:eastAsia="Times New Roman" w:cs="Times New Roman"/>
                <w:noProof/>
              </w:rPr>
            </w:pPr>
            <w:r>
              <w:rPr>
                <w:noProof/>
              </w:rPr>
              <w:t>Anul</w:t>
            </w:r>
          </w:p>
        </w:tc>
        <w:tc>
          <w:tcPr>
            <w:tcW w:w="4606" w:type="dxa"/>
            <w:vMerge/>
            <w:vAlign w:val="center"/>
            <w:hideMark/>
          </w:tcPr>
          <w:p w14:paraId="0AA46401" w14:textId="77777777" w:rsidR="00A15990" w:rsidRDefault="00A15990">
            <w:pPr>
              <w:spacing w:after="0" w:line="240" w:lineRule="auto"/>
              <w:rPr>
                <w:rFonts w:ascii="Times New Roman" w:eastAsia="Times New Roman" w:hAnsi="Times New Roman" w:cs="Times New Roman"/>
                <w:b/>
                <w:noProof/>
                <w:sz w:val="18"/>
              </w:rPr>
            </w:pPr>
          </w:p>
        </w:tc>
      </w:tr>
      <w:tr w:rsidR="00A15990" w14:paraId="6365BE4E" w14:textId="77777777">
        <w:trPr>
          <w:trHeight w:val="1260"/>
        </w:trPr>
        <w:tc>
          <w:tcPr>
            <w:tcW w:w="1121" w:type="dxa"/>
            <w:shd w:val="clear" w:color="auto" w:fill="C4EFCE"/>
            <w:vAlign w:val="center"/>
            <w:hideMark/>
          </w:tcPr>
          <w:p w14:paraId="2EDCE149" w14:textId="77777777" w:rsidR="00A15990" w:rsidRDefault="00686A62">
            <w:pPr>
              <w:pStyle w:val="P68B1DB1-Normal7"/>
              <w:spacing w:after="0" w:line="240" w:lineRule="auto"/>
              <w:jc w:val="center"/>
              <w:rPr>
                <w:rFonts w:eastAsia="Times New Roman" w:cs="Calibri"/>
                <w:noProof/>
              </w:rPr>
            </w:pPr>
            <w:r>
              <w:rPr>
                <w:noProof/>
              </w:rPr>
              <w:t>2.20</w:t>
            </w:r>
          </w:p>
        </w:tc>
        <w:tc>
          <w:tcPr>
            <w:tcW w:w="1259" w:type="dxa"/>
            <w:shd w:val="clear" w:color="auto" w:fill="C4EFCE"/>
            <w:vAlign w:val="center"/>
            <w:hideMark/>
          </w:tcPr>
          <w:p w14:paraId="6ABB675D" w14:textId="77777777" w:rsidR="00A15990" w:rsidRDefault="00686A62">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2793D51"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03220CB" w14:textId="5E5D9102" w:rsidR="00A15990" w:rsidRDefault="00686A62">
            <w:pPr>
              <w:pStyle w:val="P68B1DB1-Normal8"/>
              <w:spacing w:after="0" w:line="240" w:lineRule="auto"/>
              <w:jc w:val="center"/>
              <w:rPr>
                <w:rFonts w:eastAsia="Times New Roman" w:cs="Calibri"/>
                <w:noProof/>
              </w:rPr>
            </w:pPr>
            <w:r>
              <w:rPr>
                <w:noProof/>
              </w:rPr>
              <w:t>Parc de locuințe publice la prețuri accesibile – Locuințe cu lucrări începute (construite cu eficiență energetică ridicată sau reabilitate cu o performanță energetică îmbunătățită)</w:t>
            </w:r>
          </w:p>
        </w:tc>
        <w:tc>
          <w:tcPr>
            <w:tcW w:w="1258" w:type="dxa"/>
            <w:shd w:val="clear" w:color="auto" w:fill="C4EFCE"/>
            <w:vAlign w:val="center"/>
            <w:hideMark/>
          </w:tcPr>
          <w:p w14:paraId="4E20F9D1"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621C9A52"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7E591BFE" w14:textId="77777777" w:rsidR="00A15990" w:rsidRDefault="00686A62">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3B93E82B" w14:textId="77777777" w:rsidR="00A15990" w:rsidRDefault="00686A62">
            <w:pPr>
              <w:pStyle w:val="P68B1DB1-Normal8"/>
              <w:spacing w:after="0" w:line="240" w:lineRule="auto"/>
              <w:jc w:val="center"/>
              <w:rPr>
                <w:rFonts w:eastAsia="Times New Roman" w:cs="Calibri"/>
                <w:noProof/>
              </w:rPr>
            </w:pPr>
            <w:r>
              <w:rPr>
                <w:noProof/>
              </w:rPr>
              <w:t>520</w:t>
            </w:r>
          </w:p>
        </w:tc>
        <w:tc>
          <w:tcPr>
            <w:tcW w:w="561" w:type="dxa"/>
            <w:shd w:val="clear" w:color="auto" w:fill="C4EFCE"/>
            <w:vAlign w:val="center"/>
            <w:hideMark/>
          </w:tcPr>
          <w:p w14:paraId="343E8E11"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0" w:type="dxa"/>
            <w:shd w:val="clear" w:color="auto" w:fill="C4EFCE"/>
            <w:vAlign w:val="center"/>
            <w:hideMark/>
          </w:tcPr>
          <w:p w14:paraId="5EDCF0D9" w14:textId="77777777" w:rsidR="00A15990" w:rsidRDefault="00686A62">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5D10AA65" w14:textId="77777777" w:rsidR="00A15990" w:rsidRDefault="00686A62">
            <w:pPr>
              <w:pStyle w:val="P68B1DB1-Normal8"/>
              <w:spacing w:after="0" w:line="240" w:lineRule="auto"/>
              <w:jc w:val="both"/>
              <w:rPr>
                <w:rFonts w:eastAsia="Times New Roman" w:cs="Calibri"/>
                <w:noProof/>
              </w:rPr>
            </w:pPr>
            <w:r>
              <w:rPr>
                <w:noProof/>
              </w:rPr>
              <w:t>Numărul de locuințe pentru care lucrările încep în urma procedurii de licitație și a semnării unui contract. În cazul în care implică construcții noi, clădirile noi au o cerere de energie primară cu cel puțin 20 % sub cerințele pentru clădirile al căror consum de energie este aproape egal cu zero.</w:t>
            </w:r>
          </w:p>
        </w:tc>
      </w:tr>
      <w:tr w:rsidR="00A15990" w14:paraId="33B4307F" w14:textId="77777777">
        <w:trPr>
          <w:trHeight w:val="1066"/>
        </w:trPr>
        <w:tc>
          <w:tcPr>
            <w:tcW w:w="1121" w:type="dxa"/>
            <w:shd w:val="clear" w:color="auto" w:fill="C4EFCE"/>
            <w:vAlign w:val="center"/>
            <w:hideMark/>
          </w:tcPr>
          <w:p w14:paraId="0EA394FE" w14:textId="77777777" w:rsidR="00A15990" w:rsidRDefault="00686A62">
            <w:pPr>
              <w:pStyle w:val="P68B1DB1-Normal7"/>
              <w:spacing w:after="0" w:line="240" w:lineRule="auto"/>
              <w:jc w:val="center"/>
              <w:rPr>
                <w:rFonts w:eastAsia="Times New Roman" w:cs="Calibri"/>
                <w:noProof/>
              </w:rPr>
            </w:pPr>
            <w:r>
              <w:rPr>
                <w:noProof/>
              </w:rPr>
              <w:t>2.21</w:t>
            </w:r>
          </w:p>
        </w:tc>
        <w:tc>
          <w:tcPr>
            <w:tcW w:w="1259" w:type="dxa"/>
            <w:shd w:val="clear" w:color="auto" w:fill="C4EFCE"/>
            <w:vAlign w:val="center"/>
            <w:hideMark/>
          </w:tcPr>
          <w:p w14:paraId="34979C95" w14:textId="77777777" w:rsidR="00A15990" w:rsidRDefault="00686A62">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375EBE78"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8BDE03A" w14:textId="7879BBFF" w:rsidR="00A15990" w:rsidRDefault="00686A62">
            <w:pPr>
              <w:pStyle w:val="P68B1DB1-Normal8"/>
              <w:spacing w:after="0" w:line="240" w:lineRule="auto"/>
              <w:jc w:val="center"/>
              <w:rPr>
                <w:rFonts w:eastAsia="Times New Roman" w:cs="Calibri"/>
                <w:noProof/>
              </w:rPr>
            </w:pPr>
            <w:r>
              <w:rPr>
                <w:noProof/>
              </w:rPr>
              <w:t>Parc de locuințe publice la prețuri accesibile – Locuințe cu lucrări începute (construite cu eficiență energetică ridicată sau reabilitate cu o performanță energetică îmbunătățită)</w:t>
            </w:r>
          </w:p>
        </w:tc>
        <w:tc>
          <w:tcPr>
            <w:tcW w:w="1258" w:type="dxa"/>
            <w:shd w:val="clear" w:color="auto" w:fill="C4EFCE"/>
            <w:vAlign w:val="center"/>
            <w:hideMark/>
          </w:tcPr>
          <w:p w14:paraId="374FFAB8"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2524308"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78E249BE" w14:textId="77777777" w:rsidR="00A15990" w:rsidRDefault="00686A62">
            <w:pPr>
              <w:pStyle w:val="P68B1DB1-Normal8"/>
              <w:spacing w:after="0" w:line="240" w:lineRule="auto"/>
              <w:jc w:val="center"/>
              <w:rPr>
                <w:rFonts w:eastAsia="Times New Roman" w:cs="Calibri"/>
                <w:noProof/>
              </w:rPr>
            </w:pPr>
            <w:r>
              <w:rPr>
                <w:noProof/>
              </w:rPr>
              <w:t>520</w:t>
            </w:r>
          </w:p>
        </w:tc>
        <w:tc>
          <w:tcPr>
            <w:tcW w:w="701" w:type="dxa"/>
            <w:shd w:val="clear" w:color="auto" w:fill="C4EFCE"/>
            <w:vAlign w:val="center"/>
            <w:hideMark/>
          </w:tcPr>
          <w:p w14:paraId="1C33F4F0" w14:textId="11BE8C74" w:rsidR="00A15990" w:rsidRDefault="00686A62">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104858DB"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0" w:type="dxa"/>
            <w:shd w:val="clear" w:color="auto" w:fill="C4EFCE"/>
            <w:vAlign w:val="center"/>
            <w:hideMark/>
          </w:tcPr>
          <w:p w14:paraId="42858FD7" w14:textId="77777777" w:rsidR="00A15990" w:rsidRDefault="00686A62">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18EC137C" w14:textId="77777777" w:rsidR="00A15990" w:rsidRDefault="00686A62">
            <w:pPr>
              <w:pStyle w:val="P68B1DB1-Normal8"/>
              <w:spacing w:after="0" w:line="240" w:lineRule="auto"/>
              <w:jc w:val="both"/>
              <w:rPr>
                <w:rFonts w:eastAsia="Times New Roman" w:cs="Calibri"/>
                <w:noProof/>
              </w:rPr>
            </w:pPr>
            <w:r>
              <w:rPr>
                <w:noProof/>
              </w:rPr>
              <w:t>Numărul de locuințe pentru care lucrările încep în urma procedurii de licitație și a semnării unui contract. În cazul în care implică construcții noi, clădirile noi au o cerere de energie primară cu cel puțin 20 % sub cerințele pentru clădirile al căror consum de energie este aproape egal cu zero.</w:t>
            </w:r>
          </w:p>
        </w:tc>
      </w:tr>
      <w:tr w:rsidR="00A15990" w14:paraId="367756BF" w14:textId="77777777">
        <w:trPr>
          <w:trHeight w:val="1050"/>
        </w:trPr>
        <w:tc>
          <w:tcPr>
            <w:tcW w:w="1121" w:type="dxa"/>
            <w:shd w:val="clear" w:color="auto" w:fill="C4EFCE"/>
            <w:vAlign w:val="center"/>
            <w:hideMark/>
          </w:tcPr>
          <w:p w14:paraId="06EC68F7" w14:textId="77777777" w:rsidR="00A15990" w:rsidRDefault="00686A62">
            <w:pPr>
              <w:pStyle w:val="P68B1DB1-Normal7"/>
              <w:spacing w:after="0" w:line="240" w:lineRule="auto"/>
              <w:jc w:val="center"/>
              <w:rPr>
                <w:rFonts w:eastAsia="Times New Roman" w:cs="Calibri"/>
                <w:noProof/>
              </w:rPr>
            </w:pPr>
            <w:r>
              <w:rPr>
                <w:noProof/>
              </w:rPr>
              <w:t>2.22</w:t>
            </w:r>
          </w:p>
        </w:tc>
        <w:tc>
          <w:tcPr>
            <w:tcW w:w="1259" w:type="dxa"/>
            <w:shd w:val="clear" w:color="auto" w:fill="C4EFCE"/>
            <w:vAlign w:val="center"/>
            <w:hideMark/>
          </w:tcPr>
          <w:p w14:paraId="36837DB5" w14:textId="77777777" w:rsidR="00A15990" w:rsidRDefault="00686A62">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D7A6883"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0C0848AD" w14:textId="599D6981" w:rsidR="00A15990" w:rsidRDefault="00686A62">
            <w:pPr>
              <w:pStyle w:val="P68B1DB1-Normal8"/>
              <w:spacing w:after="0" w:line="240" w:lineRule="auto"/>
              <w:jc w:val="center"/>
              <w:rPr>
                <w:rFonts w:eastAsia="Times New Roman" w:cs="Calibri"/>
                <w:noProof/>
              </w:rPr>
            </w:pPr>
            <w:r>
              <w:rPr>
                <w:noProof/>
              </w:rPr>
              <w:t>Parc de locuințe publice la prețuri accesibile – Locuințe atribuite (construite cu eficiență energetică ridicată sau reabilitate cu o performanță energetică îmbunătățită)</w:t>
            </w:r>
          </w:p>
        </w:tc>
        <w:tc>
          <w:tcPr>
            <w:tcW w:w="1258" w:type="dxa"/>
            <w:shd w:val="clear" w:color="auto" w:fill="C4EFCE"/>
            <w:vAlign w:val="center"/>
            <w:hideMark/>
          </w:tcPr>
          <w:p w14:paraId="34D8DBA8"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E6F8874"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17D2D4D6" w14:textId="77777777" w:rsidR="00A15990" w:rsidRDefault="00686A62">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0E3BD19D" w14:textId="561EE8C6" w:rsidR="00A15990" w:rsidRDefault="00686A62">
            <w:pPr>
              <w:pStyle w:val="P68B1DB1-Normal8"/>
              <w:spacing w:after="0" w:line="240" w:lineRule="auto"/>
              <w:jc w:val="center"/>
              <w:rPr>
                <w:rFonts w:eastAsia="Calibri" w:cs="Calibri"/>
                <w:noProof/>
              </w:rPr>
            </w:pPr>
            <w:r>
              <w:rPr>
                <w:noProof/>
              </w:rPr>
              <w:t>520</w:t>
            </w:r>
          </w:p>
        </w:tc>
        <w:tc>
          <w:tcPr>
            <w:tcW w:w="561" w:type="dxa"/>
            <w:shd w:val="clear" w:color="auto" w:fill="C4EFCE"/>
            <w:vAlign w:val="center"/>
            <w:hideMark/>
          </w:tcPr>
          <w:p w14:paraId="27E52C88"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0" w:type="dxa"/>
            <w:shd w:val="clear" w:color="auto" w:fill="C4EFCE"/>
            <w:vAlign w:val="center"/>
            <w:hideMark/>
          </w:tcPr>
          <w:p w14:paraId="1DEA3599" w14:textId="77777777" w:rsidR="00A15990" w:rsidRDefault="00686A62">
            <w:pPr>
              <w:pStyle w:val="P68B1DB1-Normal8"/>
              <w:spacing w:after="0" w:line="240" w:lineRule="auto"/>
              <w:jc w:val="center"/>
              <w:rPr>
                <w:rFonts w:eastAsia="Times New Roman" w:cs="Calibri"/>
                <w:noProof/>
              </w:rPr>
            </w:pPr>
            <w:r>
              <w:rPr>
                <w:noProof/>
              </w:rPr>
              <w:t>2024</w:t>
            </w:r>
          </w:p>
        </w:tc>
        <w:tc>
          <w:tcPr>
            <w:tcW w:w="4606" w:type="dxa"/>
            <w:shd w:val="clear" w:color="auto" w:fill="C4EFCE"/>
            <w:vAlign w:val="center"/>
            <w:hideMark/>
          </w:tcPr>
          <w:p w14:paraId="3D170067" w14:textId="77777777" w:rsidR="00A15990" w:rsidRDefault="00686A62">
            <w:pPr>
              <w:pStyle w:val="P68B1DB1-Normal8"/>
              <w:spacing w:after="0" w:line="240" w:lineRule="auto"/>
              <w:jc w:val="both"/>
              <w:rPr>
                <w:rFonts w:eastAsia="Times New Roman" w:cs="Calibri"/>
                <w:noProof/>
              </w:rPr>
            </w:pPr>
            <w:r>
              <w:rPr>
                <w:noProof/>
              </w:rPr>
              <w:t>Numărul de locuințe livrate gospodăriilor eligibile prin intermediul schimbului de locuințe la costuri accesibile (DL 82/2020 din 2 octombrie) sau prin programul municipal. Locuințele accesibile sunt definite ca fiind cele puse la dispoziție în conformitate cu programul de închiriere a accesului, instituit prin Decretul-lege nr. 68/2019 din 22 mai, al sistemului de închiriere sprijinit, instituit prin Legea nr. 81/2014 din 19 decembrie, cu modificările ulterioare, al regimului de chirii condiționate, instituit prin Legea nr. 80/2014 din 19 decembrie, al sistemului de costuri controlate, reglementat prin Ordinul ministerial de punere în aplicare nr. 65/2019 din 19 februarie, sau al programelor municipale speciale. În cazul în care implică construcții noi, clădirile noi au o cerere de energie primară cu cel puțin 20 % sub cerințele pentru clădirile al căror consum de energie este aproape egal cu zero.</w:t>
            </w:r>
          </w:p>
        </w:tc>
      </w:tr>
      <w:tr w:rsidR="00A15990" w14:paraId="3D12978B" w14:textId="77777777">
        <w:trPr>
          <w:trHeight w:val="1050"/>
        </w:trPr>
        <w:tc>
          <w:tcPr>
            <w:tcW w:w="1121" w:type="dxa"/>
            <w:shd w:val="clear" w:color="auto" w:fill="C4EFCE"/>
            <w:vAlign w:val="center"/>
            <w:hideMark/>
          </w:tcPr>
          <w:p w14:paraId="1C8AA54B" w14:textId="77777777" w:rsidR="00A15990" w:rsidRDefault="00686A62">
            <w:pPr>
              <w:pStyle w:val="P68B1DB1-Normal7"/>
              <w:spacing w:after="0" w:line="240" w:lineRule="auto"/>
              <w:jc w:val="center"/>
              <w:rPr>
                <w:rFonts w:eastAsia="Times New Roman" w:cs="Calibri"/>
                <w:noProof/>
              </w:rPr>
            </w:pPr>
            <w:r>
              <w:rPr>
                <w:noProof/>
              </w:rPr>
              <w:t>2.23</w:t>
            </w:r>
          </w:p>
        </w:tc>
        <w:tc>
          <w:tcPr>
            <w:tcW w:w="1259" w:type="dxa"/>
            <w:shd w:val="clear" w:color="auto" w:fill="C4EFCE"/>
            <w:vAlign w:val="center"/>
            <w:hideMark/>
          </w:tcPr>
          <w:p w14:paraId="0DF3ED6A" w14:textId="77777777" w:rsidR="00A15990" w:rsidRDefault="00686A62">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1E7B3B4"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10E5E313" w14:textId="292E0959" w:rsidR="00A15990" w:rsidRDefault="00686A62">
            <w:pPr>
              <w:pStyle w:val="P68B1DB1-Normal8"/>
              <w:spacing w:after="0" w:line="240" w:lineRule="auto"/>
              <w:jc w:val="center"/>
              <w:rPr>
                <w:rFonts w:eastAsia="Times New Roman" w:cs="Calibri"/>
                <w:noProof/>
              </w:rPr>
            </w:pPr>
            <w:r>
              <w:rPr>
                <w:noProof/>
              </w:rPr>
              <w:t>Parc de locuințe publice la prețuri accesibile – Locuințe atribuite (construite cu eficiență energetică ridicată sau reabilitate cu o performanță energetică îmbunătățită)</w:t>
            </w:r>
          </w:p>
        </w:tc>
        <w:tc>
          <w:tcPr>
            <w:tcW w:w="1258" w:type="dxa"/>
            <w:shd w:val="clear" w:color="auto" w:fill="C4EFCE"/>
            <w:vAlign w:val="center"/>
            <w:hideMark/>
          </w:tcPr>
          <w:p w14:paraId="5E450BD8"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9E4434D"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64F68EAD" w14:textId="7AD4DB54" w:rsidR="00A15990" w:rsidRDefault="00686A62">
            <w:pPr>
              <w:pStyle w:val="P68B1DB1-Normal8"/>
              <w:spacing w:after="0" w:line="240" w:lineRule="auto"/>
              <w:jc w:val="center"/>
              <w:rPr>
                <w:rFonts w:eastAsia="Calibri" w:cs="Calibri"/>
                <w:noProof/>
              </w:rPr>
            </w:pPr>
            <w:r>
              <w:rPr>
                <w:noProof/>
              </w:rPr>
              <w:t>520</w:t>
            </w:r>
          </w:p>
        </w:tc>
        <w:tc>
          <w:tcPr>
            <w:tcW w:w="701" w:type="dxa"/>
            <w:shd w:val="clear" w:color="auto" w:fill="C4EFCE"/>
            <w:vAlign w:val="center"/>
            <w:hideMark/>
          </w:tcPr>
          <w:p w14:paraId="61CC7B68" w14:textId="52EF18D4" w:rsidR="00A15990" w:rsidRDefault="00686A62">
            <w:pPr>
              <w:pStyle w:val="P68B1DB1-Normal8"/>
              <w:spacing w:after="0" w:line="240" w:lineRule="auto"/>
              <w:jc w:val="center"/>
              <w:rPr>
                <w:rFonts w:eastAsia="Calibri" w:cs="Calibri"/>
                <w:noProof/>
              </w:rPr>
            </w:pPr>
            <w:r>
              <w:rPr>
                <w:noProof/>
              </w:rPr>
              <w:t>1400</w:t>
            </w:r>
          </w:p>
        </w:tc>
        <w:tc>
          <w:tcPr>
            <w:tcW w:w="561" w:type="dxa"/>
            <w:shd w:val="clear" w:color="auto" w:fill="C4EFCE"/>
            <w:vAlign w:val="center"/>
            <w:hideMark/>
          </w:tcPr>
          <w:p w14:paraId="7CA72895"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0" w:type="dxa"/>
            <w:shd w:val="clear" w:color="auto" w:fill="C4EFCE"/>
            <w:vAlign w:val="center"/>
            <w:hideMark/>
          </w:tcPr>
          <w:p w14:paraId="33CCDA3C" w14:textId="77777777" w:rsidR="00A15990" w:rsidRDefault="00686A62">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54DCFE3F" w14:textId="77777777" w:rsidR="00A15990" w:rsidRDefault="00686A62">
            <w:pPr>
              <w:pStyle w:val="P68B1DB1-Normal8"/>
              <w:spacing w:after="0" w:line="240" w:lineRule="auto"/>
              <w:jc w:val="both"/>
              <w:rPr>
                <w:rFonts w:eastAsia="Times New Roman" w:cs="Calibri"/>
                <w:noProof/>
              </w:rPr>
            </w:pPr>
            <w:r>
              <w:rPr>
                <w:noProof/>
              </w:rPr>
              <w:t>Numărul de locuințe livrate gospodăriilor eligibile prin intermediul schimbului de locuințe la costuri accesibile (DL 82/2020 din 2 octombrie) sau prin programul municipal. Locuințele accesibile sunt definite ca fiind cele puse la dispoziție în conformitate cu programul de închiriere a accesului, instituit prin Decretul-lege nr. 68/2019 din 22 mai, al sistemului de închiriere sprijinit, instituit prin Legea nr. 81/2014 din 19 decembrie, cu modificările ulterioare, al regimului de chirii condiționate, instituit prin Legea nr. 80/2014 din 19 decembrie, al sistemului de costuri controlate, reglementat prin Ordinul ministerial de punere în aplicare nr. 65/2019 din 19 februarie, sau al programelor municipale speciale. În cazul în care implică construcții noi, clădirile noi au o cerere de energie primară cu cel puțin 20 % sub cerințele pentru clădirile al căror consum de energie este aproape egal cu zero.</w:t>
            </w:r>
          </w:p>
        </w:tc>
      </w:tr>
      <w:tr w:rsidR="00A15990" w14:paraId="609C4778" w14:textId="77777777">
        <w:trPr>
          <w:trHeight w:val="1050"/>
        </w:trPr>
        <w:tc>
          <w:tcPr>
            <w:tcW w:w="1121" w:type="dxa"/>
            <w:shd w:val="clear" w:color="auto" w:fill="C4EFCE"/>
            <w:vAlign w:val="center"/>
            <w:hideMark/>
          </w:tcPr>
          <w:p w14:paraId="30CCA252" w14:textId="77777777" w:rsidR="00A15990" w:rsidRDefault="00686A62">
            <w:pPr>
              <w:pStyle w:val="P68B1DB1-Normal7"/>
              <w:spacing w:after="0" w:line="240" w:lineRule="auto"/>
              <w:jc w:val="center"/>
              <w:rPr>
                <w:rFonts w:eastAsia="Times New Roman" w:cs="Calibri"/>
                <w:noProof/>
              </w:rPr>
            </w:pPr>
            <w:r>
              <w:rPr>
                <w:noProof/>
              </w:rPr>
              <w:t>2.24</w:t>
            </w:r>
          </w:p>
        </w:tc>
        <w:tc>
          <w:tcPr>
            <w:tcW w:w="1259" w:type="dxa"/>
            <w:shd w:val="clear" w:color="auto" w:fill="C4EFCE"/>
            <w:vAlign w:val="center"/>
            <w:hideMark/>
          </w:tcPr>
          <w:p w14:paraId="357BE13B" w14:textId="77777777" w:rsidR="00A15990" w:rsidRDefault="00686A62">
            <w:pPr>
              <w:pStyle w:val="P68B1DB1-Normal8"/>
              <w:spacing w:after="0" w:line="240" w:lineRule="auto"/>
              <w:jc w:val="center"/>
              <w:rPr>
                <w:rFonts w:eastAsia="Times New Roman" w:cs="Calibri"/>
                <w:noProof/>
              </w:rPr>
            </w:pPr>
            <w:r>
              <w:rPr>
                <w:noProof/>
              </w:rPr>
              <w:t>RE-C02-i05</w:t>
            </w:r>
          </w:p>
        </w:tc>
        <w:tc>
          <w:tcPr>
            <w:tcW w:w="1119" w:type="dxa"/>
            <w:shd w:val="clear" w:color="auto" w:fill="C4EFCE"/>
            <w:vAlign w:val="center"/>
            <w:hideMark/>
          </w:tcPr>
          <w:p w14:paraId="6C7C6C2C"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C4EC8B8" w14:textId="7569987A" w:rsidR="00A15990" w:rsidRDefault="00686A62">
            <w:pPr>
              <w:pStyle w:val="P68B1DB1-Normal8"/>
              <w:spacing w:after="0" w:line="240" w:lineRule="auto"/>
              <w:jc w:val="center"/>
              <w:rPr>
                <w:rFonts w:eastAsia="Times New Roman" w:cs="Calibri"/>
                <w:noProof/>
              </w:rPr>
            </w:pPr>
            <w:r>
              <w:rPr>
                <w:noProof/>
              </w:rPr>
              <w:t>Parc de locuințe publice la prețuri accesibile – Locuințe atribuite (construite cu eficiență energetică ridicată sau reabilitate cu o performanță energetică îmbunătățită)</w:t>
            </w:r>
          </w:p>
        </w:tc>
        <w:tc>
          <w:tcPr>
            <w:tcW w:w="1258" w:type="dxa"/>
            <w:shd w:val="clear" w:color="auto" w:fill="C4EFCE"/>
            <w:vAlign w:val="center"/>
            <w:hideMark/>
          </w:tcPr>
          <w:p w14:paraId="75773B0B"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7A210D1A"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6100A53D" w14:textId="39986BD6" w:rsidR="00A15990" w:rsidRDefault="00686A62">
            <w:pPr>
              <w:pStyle w:val="P68B1DB1-Normal8"/>
              <w:spacing w:after="0" w:line="240" w:lineRule="auto"/>
              <w:jc w:val="center"/>
              <w:rPr>
                <w:rFonts w:eastAsia="Calibri" w:cs="Calibri"/>
                <w:noProof/>
              </w:rPr>
            </w:pPr>
            <w:r>
              <w:rPr>
                <w:noProof/>
              </w:rPr>
              <w:t>1400</w:t>
            </w:r>
          </w:p>
        </w:tc>
        <w:tc>
          <w:tcPr>
            <w:tcW w:w="701" w:type="dxa"/>
            <w:shd w:val="clear" w:color="auto" w:fill="C4EFCE"/>
            <w:vAlign w:val="center"/>
            <w:hideMark/>
          </w:tcPr>
          <w:p w14:paraId="70D00CAB" w14:textId="77777777" w:rsidR="00A15990" w:rsidRDefault="00686A62">
            <w:pPr>
              <w:pStyle w:val="P68B1DB1-Normal8"/>
              <w:spacing w:after="0" w:line="240" w:lineRule="auto"/>
              <w:jc w:val="center"/>
              <w:rPr>
                <w:rFonts w:eastAsia="Times New Roman" w:cs="Calibri"/>
                <w:noProof/>
              </w:rPr>
            </w:pPr>
            <w:r>
              <w:rPr>
                <w:noProof/>
              </w:rPr>
              <w:t>6 800</w:t>
            </w:r>
          </w:p>
        </w:tc>
        <w:tc>
          <w:tcPr>
            <w:tcW w:w="561" w:type="dxa"/>
            <w:shd w:val="clear" w:color="auto" w:fill="C4EFCE"/>
            <w:vAlign w:val="center"/>
            <w:hideMark/>
          </w:tcPr>
          <w:p w14:paraId="7882F175" w14:textId="77777777" w:rsidR="00A15990" w:rsidRDefault="00686A62">
            <w:pPr>
              <w:pStyle w:val="P68B1DB1-Normal8"/>
              <w:spacing w:after="0" w:line="240" w:lineRule="auto"/>
              <w:jc w:val="center"/>
              <w:rPr>
                <w:rFonts w:eastAsia="Times New Roman" w:cs="Calibri"/>
                <w:noProof/>
              </w:rPr>
            </w:pPr>
            <w:r>
              <w:rPr>
                <w:noProof/>
              </w:rPr>
              <w:t>TRIMESTRUL 2</w:t>
            </w:r>
          </w:p>
        </w:tc>
        <w:tc>
          <w:tcPr>
            <w:tcW w:w="700" w:type="dxa"/>
            <w:shd w:val="clear" w:color="auto" w:fill="C4EFCE"/>
            <w:vAlign w:val="center"/>
            <w:hideMark/>
          </w:tcPr>
          <w:p w14:paraId="527600BA" w14:textId="77777777" w:rsidR="00A15990" w:rsidRDefault="00686A62">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1406B6B7" w14:textId="77777777" w:rsidR="00A15990" w:rsidRDefault="00686A62">
            <w:pPr>
              <w:pStyle w:val="P68B1DB1-Normal8"/>
              <w:spacing w:after="0" w:line="240" w:lineRule="auto"/>
              <w:jc w:val="both"/>
              <w:rPr>
                <w:rFonts w:eastAsia="Times New Roman" w:cs="Calibri"/>
                <w:noProof/>
              </w:rPr>
            </w:pPr>
            <w:r>
              <w:rPr>
                <w:noProof/>
              </w:rPr>
              <w:t>Numărul de locuințe livrate gospodăriilor eligibile prin intermediul schimbului de locuințe la costuri accesibile (DL 82/2020 din 2 octombrie) sau prin programul municipal. Locuințele accesibile sunt definite ca fiind cele puse la dispoziție în conformitate cu programul de închiriere a accesului, instituit prin Decretul-lege nr. 68/2019 din 22 mai, al sistemului de închiriere sprijinit, instituit prin Legea nr. 81/2014 din 19 decembrie, cu modificările ulterioare, al regimului de chirii condiționate, instituit prin Legea nr. 80/2014 din 19 decembrie, al sistemului de costuri controlate, reglementat prin Ordinul ministerial de punere în aplicare nr. 65/2019 din 19 februarie, sau al programelor municipale speciale. În cazul în care implică construcții noi, clădirile noi au o cerere de energie primară cu cel puțin 20 % sub cerințele pentru clădirile al căror consum de energie este aproape egal cu zero.</w:t>
            </w:r>
          </w:p>
        </w:tc>
      </w:tr>
      <w:tr w:rsidR="00A15990" w14:paraId="0C0D0EA3" w14:textId="77777777">
        <w:trPr>
          <w:trHeight w:val="2254"/>
        </w:trPr>
        <w:tc>
          <w:tcPr>
            <w:tcW w:w="1121" w:type="dxa"/>
            <w:shd w:val="clear" w:color="auto" w:fill="C4EFCE"/>
            <w:vAlign w:val="center"/>
            <w:hideMark/>
          </w:tcPr>
          <w:p w14:paraId="4DFAE66D" w14:textId="77777777" w:rsidR="00A15990" w:rsidRDefault="00686A62">
            <w:pPr>
              <w:pStyle w:val="P68B1DB1-Normal7"/>
              <w:spacing w:after="0" w:line="240" w:lineRule="auto"/>
              <w:jc w:val="center"/>
              <w:rPr>
                <w:rFonts w:eastAsia="Times New Roman" w:cs="Calibri"/>
                <w:noProof/>
              </w:rPr>
            </w:pPr>
            <w:r>
              <w:rPr>
                <w:noProof/>
              </w:rPr>
              <w:t>2.25</w:t>
            </w:r>
          </w:p>
        </w:tc>
        <w:tc>
          <w:tcPr>
            <w:tcW w:w="1259" w:type="dxa"/>
            <w:shd w:val="clear" w:color="auto" w:fill="C4EFCE"/>
            <w:vAlign w:val="center"/>
            <w:hideMark/>
          </w:tcPr>
          <w:p w14:paraId="2D66C9F3" w14:textId="77777777" w:rsidR="00A15990" w:rsidRDefault="00686A62">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B5E4DC3"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05985C2" w14:textId="52462DC9" w:rsidR="00A15990" w:rsidRDefault="00686A62">
            <w:pPr>
              <w:pStyle w:val="P68B1DB1-Normal8"/>
              <w:spacing w:after="0" w:line="240" w:lineRule="auto"/>
              <w:jc w:val="center"/>
              <w:rPr>
                <w:rFonts w:eastAsia="Times New Roman" w:cs="Calibri"/>
                <w:noProof/>
              </w:rPr>
            </w:pPr>
            <w:r>
              <w:rPr>
                <w:noProof/>
              </w:rPr>
              <w:t>Cazarea studenților la costuri accesibile – numărul de locuri de cazare pentru studenți cu licitații lansate</w:t>
            </w:r>
          </w:p>
        </w:tc>
        <w:tc>
          <w:tcPr>
            <w:tcW w:w="1258" w:type="dxa"/>
            <w:shd w:val="clear" w:color="auto" w:fill="C4EFCE"/>
            <w:vAlign w:val="center"/>
            <w:hideMark/>
          </w:tcPr>
          <w:p w14:paraId="456D3B11"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0A7FE1FB"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670D15C0" w14:textId="77777777" w:rsidR="00A15990" w:rsidRDefault="00686A62">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7C085019" w14:textId="77777777" w:rsidR="00A15990" w:rsidRDefault="00686A62">
            <w:pPr>
              <w:pStyle w:val="P68B1DB1-Normal8"/>
              <w:spacing w:after="0" w:line="240" w:lineRule="auto"/>
              <w:jc w:val="center"/>
              <w:rPr>
                <w:rFonts w:eastAsia="Times New Roman" w:cs="Calibri"/>
                <w:noProof/>
              </w:rPr>
            </w:pPr>
            <w:r>
              <w:rPr>
                <w:noProof/>
              </w:rPr>
              <w:t>7000</w:t>
            </w:r>
          </w:p>
        </w:tc>
        <w:tc>
          <w:tcPr>
            <w:tcW w:w="561" w:type="dxa"/>
            <w:shd w:val="clear" w:color="auto" w:fill="C4EFCE"/>
            <w:vAlign w:val="center"/>
            <w:hideMark/>
          </w:tcPr>
          <w:p w14:paraId="65F5B7C1"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0" w:type="dxa"/>
            <w:shd w:val="clear" w:color="auto" w:fill="C4EFCE"/>
            <w:vAlign w:val="center"/>
            <w:hideMark/>
          </w:tcPr>
          <w:p w14:paraId="1E975DE1" w14:textId="77777777" w:rsidR="00A15990" w:rsidRDefault="00686A62">
            <w:pPr>
              <w:pStyle w:val="P68B1DB1-Normal8"/>
              <w:spacing w:after="0" w:line="240" w:lineRule="auto"/>
              <w:jc w:val="center"/>
              <w:rPr>
                <w:rFonts w:eastAsia="Times New Roman" w:cs="Calibri"/>
                <w:noProof/>
              </w:rPr>
            </w:pPr>
            <w:r>
              <w:rPr>
                <w:noProof/>
              </w:rPr>
              <w:t>2022</w:t>
            </w:r>
          </w:p>
        </w:tc>
        <w:tc>
          <w:tcPr>
            <w:tcW w:w="4606" w:type="dxa"/>
            <w:shd w:val="clear" w:color="auto" w:fill="C4EFCE"/>
            <w:vAlign w:val="center"/>
            <w:hideMark/>
          </w:tcPr>
          <w:p w14:paraId="2FF93065" w14:textId="787D3203" w:rsidR="00A15990" w:rsidRDefault="00686A62">
            <w:pPr>
              <w:pStyle w:val="P68B1DB1-Normal8"/>
              <w:spacing w:after="0" w:line="240" w:lineRule="auto"/>
              <w:jc w:val="both"/>
              <w:rPr>
                <w:rFonts w:eastAsia="Times New Roman" w:cs="Calibri"/>
                <w:noProof/>
              </w:rPr>
            </w:pPr>
            <w:r>
              <w:rPr>
                <w:noProof/>
              </w:rPr>
              <w:t>Numărul de locuri de cazare noi și renovate destinate în principal studenților din învățământul superior pentru care au fost lansate licitații publice.</w:t>
            </w:r>
          </w:p>
          <w:p w14:paraId="05C25A40" w14:textId="77777777" w:rsidR="00A15990" w:rsidRDefault="00686A62">
            <w:pPr>
              <w:pStyle w:val="P68B1DB1-Normal8"/>
              <w:spacing w:after="0" w:line="240" w:lineRule="auto"/>
              <w:jc w:val="both"/>
              <w:rPr>
                <w:rFonts w:eastAsia="Times New Roman" w:cs="Calibri"/>
                <w:noProof/>
              </w:rPr>
            </w:pPr>
            <w:r>
              <w:rPr>
                <w:noProof/>
              </w:rPr>
              <w:t>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0D33B44C" w14:textId="77777777">
        <w:trPr>
          <w:trHeight w:val="543"/>
        </w:trPr>
        <w:tc>
          <w:tcPr>
            <w:tcW w:w="1121" w:type="dxa"/>
            <w:shd w:val="clear" w:color="auto" w:fill="C4EFCE"/>
            <w:vAlign w:val="center"/>
            <w:hideMark/>
          </w:tcPr>
          <w:p w14:paraId="6BF73E55" w14:textId="77777777" w:rsidR="00A15990" w:rsidRDefault="00686A62">
            <w:pPr>
              <w:pStyle w:val="P68B1DB1-Normal7"/>
              <w:spacing w:after="0" w:line="240" w:lineRule="auto"/>
              <w:jc w:val="center"/>
              <w:rPr>
                <w:rFonts w:eastAsia="Times New Roman" w:cs="Calibri"/>
                <w:noProof/>
              </w:rPr>
            </w:pPr>
            <w:r>
              <w:rPr>
                <w:noProof/>
              </w:rPr>
              <w:t>2.26</w:t>
            </w:r>
          </w:p>
        </w:tc>
        <w:tc>
          <w:tcPr>
            <w:tcW w:w="1259" w:type="dxa"/>
            <w:shd w:val="clear" w:color="auto" w:fill="C4EFCE"/>
            <w:vAlign w:val="center"/>
            <w:hideMark/>
          </w:tcPr>
          <w:p w14:paraId="071F28C9" w14:textId="77777777" w:rsidR="00A15990" w:rsidRDefault="00686A62">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516C5BB2"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450689BD" w14:textId="77777777" w:rsidR="00A15990" w:rsidRDefault="00686A62">
            <w:pPr>
              <w:pStyle w:val="P68B1DB1-Normal8"/>
              <w:spacing w:after="0" w:line="240" w:lineRule="auto"/>
              <w:jc w:val="center"/>
              <w:rPr>
                <w:rFonts w:eastAsia="Times New Roman" w:cs="Calibri"/>
                <w:noProof/>
              </w:rPr>
            </w:pPr>
            <w:r>
              <w:rPr>
                <w:noProof/>
              </w:rPr>
              <w:t xml:space="preserve">Cazarea studenților la costuri accesibile </w:t>
            </w:r>
          </w:p>
        </w:tc>
        <w:tc>
          <w:tcPr>
            <w:tcW w:w="1258" w:type="dxa"/>
            <w:shd w:val="clear" w:color="auto" w:fill="C4EFCE"/>
            <w:vAlign w:val="center"/>
            <w:hideMark/>
          </w:tcPr>
          <w:p w14:paraId="26DEFBD7"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53703B53"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13A0BF4A" w14:textId="77777777" w:rsidR="00A15990" w:rsidRDefault="00686A62">
            <w:pPr>
              <w:pStyle w:val="P68B1DB1-Normal8"/>
              <w:spacing w:after="0" w:line="240" w:lineRule="auto"/>
              <w:jc w:val="center"/>
              <w:rPr>
                <w:rFonts w:eastAsia="Times New Roman" w:cs="Calibri"/>
                <w:noProof/>
              </w:rPr>
            </w:pPr>
            <w:r>
              <w:rPr>
                <w:noProof/>
              </w:rPr>
              <w:t>0</w:t>
            </w:r>
          </w:p>
        </w:tc>
        <w:tc>
          <w:tcPr>
            <w:tcW w:w="701" w:type="dxa"/>
            <w:shd w:val="clear" w:color="auto" w:fill="C4EFCE"/>
            <w:vAlign w:val="center"/>
            <w:hideMark/>
          </w:tcPr>
          <w:p w14:paraId="18D72F16" w14:textId="276DBD05" w:rsidR="00A15990" w:rsidRDefault="00686A62">
            <w:pPr>
              <w:pStyle w:val="P68B1DB1-Normal8"/>
              <w:spacing w:after="0" w:line="240" w:lineRule="auto"/>
              <w:jc w:val="center"/>
              <w:rPr>
                <w:rFonts w:eastAsia="Times New Roman" w:cs="Calibri"/>
                <w:noProof/>
              </w:rPr>
            </w:pPr>
            <w:r>
              <w:rPr>
                <w:noProof/>
              </w:rPr>
              <w:t>7 200</w:t>
            </w:r>
          </w:p>
        </w:tc>
        <w:tc>
          <w:tcPr>
            <w:tcW w:w="561" w:type="dxa"/>
            <w:shd w:val="clear" w:color="auto" w:fill="C4EFCE"/>
            <w:vAlign w:val="center"/>
            <w:hideMark/>
          </w:tcPr>
          <w:p w14:paraId="1236111F"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0" w:type="dxa"/>
            <w:shd w:val="clear" w:color="auto" w:fill="C4EFCE"/>
            <w:vAlign w:val="center"/>
            <w:hideMark/>
          </w:tcPr>
          <w:p w14:paraId="3F3B9998" w14:textId="37F93F36" w:rsidR="00A15990" w:rsidRDefault="00686A62">
            <w:pPr>
              <w:pStyle w:val="P68B1DB1-Normal8"/>
              <w:spacing w:after="0" w:line="240" w:lineRule="auto"/>
              <w:jc w:val="both"/>
              <w:rPr>
                <w:rFonts w:eastAsia="Times New Roman" w:cs="Calibri"/>
                <w:noProof/>
              </w:rPr>
            </w:pPr>
            <w:r>
              <w:rPr>
                <w:noProof/>
              </w:rPr>
              <w:t>2024</w:t>
            </w:r>
          </w:p>
        </w:tc>
        <w:tc>
          <w:tcPr>
            <w:tcW w:w="4606" w:type="dxa"/>
            <w:shd w:val="clear" w:color="auto" w:fill="C4EFCE"/>
            <w:vAlign w:val="center"/>
            <w:hideMark/>
          </w:tcPr>
          <w:p w14:paraId="778022FF" w14:textId="62E05FA1" w:rsidR="00A15990" w:rsidRDefault="00686A62">
            <w:pPr>
              <w:pStyle w:val="P68B1DB1-Normal8"/>
              <w:spacing w:after="0" w:line="240" w:lineRule="auto"/>
              <w:jc w:val="both"/>
              <w:rPr>
                <w:rFonts w:eastAsia="Times New Roman" w:cs="Calibri"/>
                <w:noProof/>
              </w:rPr>
            </w:pPr>
            <w:r>
              <w:rPr>
                <w:noProof/>
              </w:rPr>
              <w:t xml:space="preserve">Numărul de locuri noi și renovate puse la dispoziție în principal studenților din învățământul superior în clădiri urbane sau mixte destinate, integral sau parțial, cazării temporare a studenților care studiază într-un alt loc decât domiciliul lor și care au nevoie de cazare pentru a urma studii superioare, inclusiv reședințe pentru studenți din învățământul superior, care cuprind în mod necesar dormitoare, băi, bucătării și spații pentru masă și care pot include locuri de studiu și cazare, parcare și echipamente; </w:t>
            </w:r>
          </w:p>
          <w:p w14:paraId="6C80330F" w14:textId="606400D0" w:rsidR="00A15990" w:rsidRDefault="00686A62">
            <w:pPr>
              <w:pStyle w:val="P68B1DB1-Normal8"/>
              <w:spacing w:after="0" w:line="240" w:lineRule="auto"/>
              <w:jc w:val="both"/>
              <w:rPr>
                <w:rFonts w:eastAsia="Times New Roman" w:cs="Calibri"/>
                <w:noProof/>
              </w:rPr>
            </w:pPr>
            <w:r>
              <w:rPr>
                <w:noProof/>
              </w:rPr>
              <w:t>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6E7A4C44" w14:textId="77777777">
        <w:trPr>
          <w:trHeight w:val="543"/>
        </w:trPr>
        <w:tc>
          <w:tcPr>
            <w:tcW w:w="1121" w:type="dxa"/>
            <w:shd w:val="clear" w:color="auto" w:fill="C4EFCE"/>
            <w:vAlign w:val="center"/>
            <w:hideMark/>
          </w:tcPr>
          <w:p w14:paraId="2FE553C4" w14:textId="77777777" w:rsidR="00A15990" w:rsidRDefault="00686A62">
            <w:pPr>
              <w:pStyle w:val="P68B1DB1-Normal7"/>
              <w:spacing w:after="0" w:line="240" w:lineRule="auto"/>
              <w:jc w:val="center"/>
              <w:rPr>
                <w:rFonts w:eastAsia="Times New Roman" w:cs="Calibri"/>
                <w:noProof/>
              </w:rPr>
            </w:pPr>
            <w:r>
              <w:rPr>
                <w:noProof/>
              </w:rPr>
              <w:t>2.27</w:t>
            </w:r>
          </w:p>
        </w:tc>
        <w:tc>
          <w:tcPr>
            <w:tcW w:w="1259" w:type="dxa"/>
            <w:shd w:val="clear" w:color="auto" w:fill="C4EFCE"/>
            <w:vAlign w:val="center"/>
            <w:hideMark/>
          </w:tcPr>
          <w:p w14:paraId="0BCB48BE" w14:textId="77777777" w:rsidR="00A15990" w:rsidRDefault="00686A62">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10B25FE4"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26157084" w14:textId="77777777" w:rsidR="00A15990" w:rsidRDefault="00686A62">
            <w:pPr>
              <w:pStyle w:val="P68B1DB1-Normal8"/>
              <w:spacing w:after="0" w:line="240" w:lineRule="auto"/>
              <w:jc w:val="center"/>
              <w:rPr>
                <w:rFonts w:eastAsia="Times New Roman" w:cs="Calibri"/>
                <w:noProof/>
              </w:rPr>
            </w:pPr>
            <w:r>
              <w:rPr>
                <w:noProof/>
              </w:rPr>
              <w:t xml:space="preserve">Cazarea studenților la costuri accesibile </w:t>
            </w:r>
          </w:p>
        </w:tc>
        <w:tc>
          <w:tcPr>
            <w:tcW w:w="1258" w:type="dxa"/>
            <w:shd w:val="clear" w:color="auto" w:fill="C4EFCE"/>
            <w:vAlign w:val="center"/>
            <w:hideMark/>
          </w:tcPr>
          <w:p w14:paraId="1F8A44C2"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167C80EC" w14:textId="77777777" w:rsidR="00A15990" w:rsidRDefault="00686A62">
            <w:pPr>
              <w:pStyle w:val="P68B1DB1-Normal8"/>
              <w:spacing w:after="0" w:line="240" w:lineRule="auto"/>
              <w:jc w:val="center"/>
              <w:rPr>
                <w:rFonts w:eastAsia="Times New Roman" w:cs="Calibri"/>
                <w:noProof/>
              </w:rPr>
            </w:pPr>
            <w:r>
              <w:rPr>
                <w:noProof/>
              </w:rPr>
              <w:t>Numărul</w:t>
            </w:r>
          </w:p>
        </w:tc>
        <w:tc>
          <w:tcPr>
            <w:tcW w:w="980" w:type="dxa"/>
            <w:shd w:val="clear" w:color="auto" w:fill="C4EFCE"/>
            <w:vAlign w:val="center"/>
            <w:hideMark/>
          </w:tcPr>
          <w:p w14:paraId="416AAB49" w14:textId="54C17EC0" w:rsidR="00A15990" w:rsidRDefault="00686A62">
            <w:pPr>
              <w:pStyle w:val="P68B1DB1-Normal8"/>
              <w:spacing w:after="0" w:line="240" w:lineRule="auto"/>
              <w:jc w:val="center"/>
              <w:rPr>
                <w:rFonts w:eastAsia="Times New Roman" w:cs="Calibri"/>
                <w:noProof/>
              </w:rPr>
            </w:pPr>
            <w:r>
              <w:rPr>
                <w:noProof/>
              </w:rPr>
              <w:t>7 200</w:t>
            </w:r>
          </w:p>
        </w:tc>
        <w:tc>
          <w:tcPr>
            <w:tcW w:w="701" w:type="dxa"/>
            <w:shd w:val="clear" w:color="auto" w:fill="C4EFCE"/>
            <w:vAlign w:val="center"/>
            <w:hideMark/>
          </w:tcPr>
          <w:p w14:paraId="3439E949" w14:textId="1E287A32" w:rsidR="00A15990" w:rsidRDefault="00686A62">
            <w:pPr>
              <w:pStyle w:val="P68B1DB1-Normal8"/>
              <w:spacing w:after="0" w:line="240" w:lineRule="auto"/>
              <w:jc w:val="center"/>
              <w:rPr>
                <w:rFonts w:eastAsia="Times New Roman" w:cs="Calibri"/>
                <w:noProof/>
              </w:rPr>
            </w:pPr>
            <w:r>
              <w:rPr>
                <w:noProof/>
              </w:rPr>
              <w:t>13 300</w:t>
            </w:r>
          </w:p>
        </w:tc>
        <w:tc>
          <w:tcPr>
            <w:tcW w:w="561" w:type="dxa"/>
            <w:shd w:val="clear" w:color="auto" w:fill="C4EFCE"/>
            <w:vAlign w:val="center"/>
            <w:hideMark/>
          </w:tcPr>
          <w:p w14:paraId="2CB76039"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0" w:type="dxa"/>
            <w:shd w:val="clear" w:color="auto" w:fill="C4EFCE"/>
            <w:vAlign w:val="center"/>
            <w:hideMark/>
          </w:tcPr>
          <w:p w14:paraId="11F34838" w14:textId="11E49FF7" w:rsidR="00A15990" w:rsidRDefault="00686A62">
            <w:pPr>
              <w:pStyle w:val="P68B1DB1-Normal8"/>
              <w:spacing w:after="0" w:line="240" w:lineRule="auto"/>
              <w:jc w:val="center"/>
              <w:rPr>
                <w:rFonts w:eastAsia="Times New Roman" w:cs="Calibri"/>
                <w:noProof/>
              </w:rPr>
            </w:pPr>
            <w:r>
              <w:rPr>
                <w:noProof/>
              </w:rPr>
              <w:t>2025</w:t>
            </w:r>
          </w:p>
        </w:tc>
        <w:tc>
          <w:tcPr>
            <w:tcW w:w="4606" w:type="dxa"/>
            <w:shd w:val="clear" w:color="auto" w:fill="C4EFCE"/>
            <w:vAlign w:val="center"/>
            <w:hideMark/>
          </w:tcPr>
          <w:p w14:paraId="3D265A32" w14:textId="56C4574F" w:rsidR="00A15990" w:rsidRDefault="00686A62">
            <w:pPr>
              <w:pStyle w:val="P68B1DB1-Normal8"/>
              <w:spacing w:after="0" w:line="240" w:lineRule="auto"/>
              <w:jc w:val="both"/>
              <w:rPr>
                <w:rFonts w:eastAsia="Times New Roman" w:cs="Calibri"/>
                <w:noProof/>
              </w:rPr>
            </w:pPr>
            <w:r>
              <w:rPr>
                <w:noProof/>
              </w:rPr>
              <w:t>Numărul de locuri noi și renovate puse la dispoziție în principal pentru studenții din învățământul superior în clădiri urbane sau mixte destinate, integral sau parțial, cazării temporare de către studenții care studiază într-un alt loc decât domiciliul lor și care au nevoie de cazare pentru a urma studii superioare, inclusiv reședințe pentru studenți din învățământul superior, care cuprind în mod necesar dormitoare, băi, bucătării și spații pentru masă și care pot include locuri de studiu și cazare, parcare și echipamente;</w:t>
            </w:r>
          </w:p>
          <w:p w14:paraId="035EFF71" w14:textId="77777777" w:rsidR="00A15990" w:rsidRDefault="00686A62">
            <w:pPr>
              <w:pStyle w:val="P68B1DB1-Normal8"/>
              <w:spacing w:after="0" w:line="240" w:lineRule="auto"/>
              <w:jc w:val="both"/>
              <w:rPr>
                <w:rFonts w:eastAsia="Times New Roman" w:cs="Calibri"/>
                <w:noProof/>
              </w:rPr>
            </w:pPr>
            <w:r>
              <w:rPr>
                <w:noProof/>
              </w:rPr>
              <w:t>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3787F6D4" w14:textId="77777777">
        <w:trPr>
          <w:trHeight w:val="1050"/>
        </w:trPr>
        <w:tc>
          <w:tcPr>
            <w:tcW w:w="1121" w:type="dxa"/>
            <w:shd w:val="clear" w:color="auto" w:fill="C4EFCE"/>
            <w:vAlign w:val="center"/>
            <w:hideMark/>
          </w:tcPr>
          <w:p w14:paraId="64CCD213" w14:textId="77777777" w:rsidR="00A15990" w:rsidRDefault="00686A62">
            <w:pPr>
              <w:pStyle w:val="P68B1DB1-Normal7"/>
              <w:spacing w:after="0" w:line="240" w:lineRule="auto"/>
              <w:jc w:val="center"/>
              <w:rPr>
                <w:rFonts w:eastAsia="Times New Roman" w:cs="Calibri"/>
                <w:noProof/>
              </w:rPr>
            </w:pPr>
            <w:r>
              <w:rPr>
                <w:noProof/>
              </w:rPr>
              <w:t>2.28</w:t>
            </w:r>
          </w:p>
        </w:tc>
        <w:tc>
          <w:tcPr>
            <w:tcW w:w="1259" w:type="dxa"/>
            <w:shd w:val="clear" w:color="auto" w:fill="C4EFCE"/>
            <w:vAlign w:val="center"/>
            <w:hideMark/>
          </w:tcPr>
          <w:p w14:paraId="20A40908" w14:textId="77777777" w:rsidR="00A15990" w:rsidRDefault="00686A62">
            <w:pPr>
              <w:pStyle w:val="P68B1DB1-Normal8"/>
              <w:spacing w:after="0" w:line="240" w:lineRule="auto"/>
              <w:jc w:val="center"/>
              <w:rPr>
                <w:rFonts w:eastAsia="Times New Roman" w:cs="Calibri"/>
                <w:noProof/>
              </w:rPr>
            </w:pPr>
            <w:r>
              <w:rPr>
                <w:noProof/>
              </w:rPr>
              <w:t>RE-C02-i06</w:t>
            </w:r>
          </w:p>
        </w:tc>
        <w:tc>
          <w:tcPr>
            <w:tcW w:w="1119" w:type="dxa"/>
            <w:shd w:val="clear" w:color="auto" w:fill="C4EFCE"/>
            <w:vAlign w:val="center"/>
            <w:hideMark/>
          </w:tcPr>
          <w:p w14:paraId="4FFB417C" w14:textId="77777777" w:rsidR="00A15990" w:rsidRDefault="00686A62">
            <w:pPr>
              <w:pStyle w:val="P68B1DB1-Normal8"/>
              <w:spacing w:after="0" w:line="240" w:lineRule="auto"/>
              <w:jc w:val="center"/>
              <w:rPr>
                <w:rFonts w:eastAsia="Times New Roman" w:cs="Calibri"/>
                <w:noProof/>
              </w:rPr>
            </w:pPr>
            <w:r>
              <w:rPr>
                <w:noProof/>
              </w:rPr>
              <w:t>T</w:t>
            </w:r>
          </w:p>
        </w:tc>
        <w:tc>
          <w:tcPr>
            <w:tcW w:w="1677" w:type="dxa"/>
            <w:shd w:val="clear" w:color="auto" w:fill="C4EFCE"/>
            <w:vAlign w:val="center"/>
            <w:hideMark/>
          </w:tcPr>
          <w:p w14:paraId="750C1A1F" w14:textId="77777777" w:rsidR="00A15990" w:rsidRDefault="00686A62">
            <w:pPr>
              <w:pStyle w:val="P68B1DB1-Normal8"/>
              <w:spacing w:after="0" w:line="240" w:lineRule="auto"/>
              <w:jc w:val="center"/>
              <w:rPr>
                <w:rFonts w:eastAsia="Times New Roman" w:cs="Calibri"/>
                <w:noProof/>
              </w:rPr>
            </w:pPr>
            <w:r>
              <w:rPr>
                <w:noProof/>
              </w:rPr>
              <w:t xml:space="preserve">Cazarea studenților la costuri accesibile </w:t>
            </w:r>
          </w:p>
        </w:tc>
        <w:tc>
          <w:tcPr>
            <w:tcW w:w="1258" w:type="dxa"/>
            <w:shd w:val="clear" w:color="auto" w:fill="C4EFCE"/>
            <w:vAlign w:val="center"/>
            <w:hideMark/>
          </w:tcPr>
          <w:p w14:paraId="6C52FC90" w14:textId="77777777" w:rsidR="00A15990" w:rsidRDefault="00686A62">
            <w:pPr>
              <w:pStyle w:val="P68B1DB1-Normal8"/>
              <w:spacing w:after="0" w:line="240" w:lineRule="auto"/>
              <w:jc w:val="center"/>
              <w:rPr>
                <w:rFonts w:eastAsia="Times New Roman" w:cs="Calibri"/>
                <w:noProof/>
              </w:rPr>
            </w:pPr>
            <w:r>
              <w:rPr>
                <w:noProof/>
              </w:rPr>
              <w:t> </w:t>
            </w:r>
          </w:p>
        </w:tc>
        <w:tc>
          <w:tcPr>
            <w:tcW w:w="981" w:type="dxa"/>
            <w:shd w:val="clear" w:color="auto" w:fill="C4EFCE"/>
            <w:vAlign w:val="center"/>
            <w:hideMark/>
          </w:tcPr>
          <w:p w14:paraId="46B01055"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80" w:type="dxa"/>
            <w:shd w:val="clear" w:color="auto" w:fill="C4EFCE"/>
            <w:vAlign w:val="center"/>
            <w:hideMark/>
          </w:tcPr>
          <w:p w14:paraId="6B6F55A2" w14:textId="430D0E78" w:rsidR="00A15990" w:rsidRDefault="00686A62">
            <w:pPr>
              <w:pStyle w:val="P68B1DB1-Normal8"/>
              <w:spacing w:after="0" w:line="240" w:lineRule="auto"/>
              <w:jc w:val="center"/>
              <w:rPr>
                <w:rFonts w:eastAsia="Times New Roman" w:cs="Calibri"/>
                <w:noProof/>
              </w:rPr>
            </w:pPr>
            <w:r>
              <w:rPr>
                <w:noProof/>
              </w:rPr>
              <w:t>13 300</w:t>
            </w:r>
          </w:p>
        </w:tc>
        <w:tc>
          <w:tcPr>
            <w:tcW w:w="701" w:type="dxa"/>
            <w:shd w:val="clear" w:color="auto" w:fill="C4EFCE"/>
            <w:vAlign w:val="center"/>
            <w:hideMark/>
          </w:tcPr>
          <w:p w14:paraId="29351001" w14:textId="66F0DDA5" w:rsidR="00A15990" w:rsidRDefault="00686A62">
            <w:pPr>
              <w:pStyle w:val="P68B1DB1-Normal8"/>
              <w:spacing w:after="0" w:line="240" w:lineRule="auto"/>
              <w:jc w:val="center"/>
              <w:rPr>
                <w:rFonts w:eastAsia="Times New Roman" w:cs="Calibri"/>
                <w:noProof/>
              </w:rPr>
            </w:pPr>
            <w:r>
              <w:rPr>
                <w:noProof/>
              </w:rPr>
              <w:t>18 000</w:t>
            </w:r>
          </w:p>
        </w:tc>
        <w:tc>
          <w:tcPr>
            <w:tcW w:w="561" w:type="dxa"/>
            <w:shd w:val="clear" w:color="auto" w:fill="C4EFCE"/>
            <w:vAlign w:val="center"/>
            <w:hideMark/>
          </w:tcPr>
          <w:p w14:paraId="73B3BC6B"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0" w:type="dxa"/>
            <w:shd w:val="clear" w:color="auto" w:fill="C4EFCE"/>
            <w:vAlign w:val="center"/>
            <w:hideMark/>
          </w:tcPr>
          <w:p w14:paraId="51504EB4" w14:textId="77777777" w:rsidR="00A15990" w:rsidRDefault="00686A62">
            <w:pPr>
              <w:pStyle w:val="P68B1DB1-Normal8"/>
              <w:spacing w:after="0" w:line="240" w:lineRule="auto"/>
              <w:jc w:val="center"/>
              <w:rPr>
                <w:rFonts w:eastAsia="Times New Roman" w:cs="Calibri"/>
                <w:noProof/>
              </w:rPr>
            </w:pPr>
            <w:r>
              <w:rPr>
                <w:noProof/>
              </w:rPr>
              <w:t>2026</w:t>
            </w:r>
          </w:p>
        </w:tc>
        <w:tc>
          <w:tcPr>
            <w:tcW w:w="4606" w:type="dxa"/>
            <w:shd w:val="clear" w:color="auto" w:fill="C4EFCE"/>
            <w:vAlign w:val="center"/>
            <w:hideMark/>
          </w:tcPr>
          <w:p w14:paraId="41184E03" w14:textId="7273E775" w:rsidR="00A15990" w:rsidRDefault="00686A62">
            <w:pPr>
              <w:pStyle w:val="P68B1DB1-Normal8"/>
              <w:spacing w:after="0" w:line="240" w:lineRule="auto"/>
              <w:jc w:val="both"/>
              <w:rPr>
                <w:rFonts w:eastAsia="Times New Roman" w:cs="Calibri"/>
                <w:noProof/>
              </w:rPr>
            </w:pPr>
            <w:r>
              <w:rPr>
                <w:noProof/>
              </w:rPr>
              <w:t xml:space="preserve">Numărul de locuri noi și renovate puse la dispoziție în principal pentru studenții din învățământul superior în clădiri urbane sau mixte destinate, integral sau parțial, cazării temporare de către studenții care studiază într-un alt loc decât domiciliul lor și care au nevoie de cazare pentru a urma studii superioare, inclusiv reședințe pentru studenți din învățământul superior, care cuprind în mod necesar dormitoare, băi, bucătării și spații pentru masă și care pot include locuri de studiu și cazare, parcare și echipamente; </w:t>
            </w:r>
          </w:p>
          <w:p w14:paraId="10E836B8" w14:textId="26AC752F" w:rsidR="00A15990" w:rsidRDefault="00686A62">
            <w:pPr>
              <w:pStyle w:val="P68B1DB1-Normal8"/>
              <w:spacing w:after="0" w:line="240" w:lineRule="auto"/>
              <w:jc w:val="both"/>
              <w:rPr>
                <w:rFonts w:eastAsia="Times New Roman" w:cs="Calibri"/>
                <w:noProof/>
              </w:rPr>
            </w:pPr>
            <w:r>
              <w:rPr>
                <w:noProof/>
              </w:rPr>
              <w:t>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60C698ED" w14:textId="77777777">
        <w:trPr>
          <w:trHeight w:val="1050"/>
        </w:trPr>
        <w:tc>
          <w:tcPr>
            <w:tcW w:w="1121" w:type="dxa"/>
            <w:shd w:val="clear" w:color="auto" w:fill="C4EFCE"/>
            <w:vAlign w:val="center"/>
          </w:tcPr>
          <w:p w14:paraId="4705E034" w14:textId="4AC666D2" w:rsidR="00A15990" w:rsidRDefault="00686A62">
            <w:pPr>
              <w:pStyle w:val="P68B1DB1-Normal11"/>
              <w:spacing w:after="0" w:line="240" w:lineRule="auto"/>
              <w:jc w:val="center"/>
              <w:rPr>
                <w:rFonts w:eastAsia="Times New Roman" w:cstheme="minorHAnsi"/>
                <w:noProof/>
              </w:rPr>
            </w:pPr>
            <w:r>
              <w:rPr>
                <w:noProof/>
              </w:rPr>
              <w:t>2.32</w:t>
            </w:r>
          </w:p>
        </w:tc>
        <w:tc>
          <w:tcPr>
            <w:tcW w:w="1259" w:type="dxa"/>
            <w:shd w:val="clear" w:color="auto" w:fill="C4EFCE"/>
            <w:vAlign w:val="center"/>
          </w:tcPr>
          <w:p w14:paraId="4776F9DD" w14:textId="58DFAFA4" w:rsidR="00A15990" w:rsidRDefault="00686A62">
            <w:pPr>
              <w:pStyle w:val="P68B1DB1-Normal12"/>
              <w:spacing w:after="0" w:line="240" w:lineRule="auto"/>
              <w:jc w:val="center"/>
              <w:rPr>
                <w:rFonts w:eastAsia="Times New Roman" w:cstheme="minorHAnsi"/>
                <w:noProof/>
              </w:rPr>
            </w:pPr>
            <w:r>
              <w:rPr>
                <w:noProof/>
              </w:rPr>
              <w:t>RE-C02-i09</w:t>
            </w:r>
          </w:p>
        </w:tc>
        <w:tc>
          <w:tcPr>
            <w:tcW w:w="1119" w:type="dxa"/>
            <w:shd w:val="clear" w:color="auto" w:fill="C4EFCE"/>
            <w:vAlign w:val="center"/>
          </w:tcPr>
          <w:p w14:paraId="3A5C7E5C" w14:textId="2BCC6FAF" w:rsidR="00A15990" w:rsidRDefault="00686A62">
            <w:pPr>
              <w:pStyle w:val="P68B1DB1-Normal12"/>
              <w:spacing w:after="0" w:line="240" w:lineRule="auto"/>
              <w:jc w:val="center"/>
              <w:rPr>
                <w:rFonts w:eastAsia="Times New Roman" w:cstheme="minorHAnsi"/>
                <w:noProof/>
              </w:rPr>
            </w:pPr>
            <w:r>
              <w:rPr>
                <w:noProof/>
              </w:rPr>
              <w:t>T</w:t>
            </w:r>
          </w:p>
        </w:tc>
        <w:tc>
          <w:tcPr>
            <w:tcW w:w="1677" w:type="dxa"/>
            <w:shd w:val="clear" w:color="auto" w:fill="C4EFCE"/>
            <w:vAlign w:val="center"/>
          </w:tcPr>
          <w:p w14:paraId="0968588E" w14:textId="5CE5582D" w:rsidR="00A15990" w:rsidRDefault="00686A62">
            <w:pPr>
              <w:pStyle w:val="P68B1DB1-Normal12"/>
              <w:spacing w:after="0" w:line="240" w:lineRule="auto"/>
              <w:jc w:val="center"/>
              <w:rPr>
                <w:rFonts w:eastAsia="Times New Roman" w:cstheme="minorHAnsi"/>
                <w:noProof/>
              </w:rPr>
            </w:pPr>
            <w:r>
              <w:rPr>
                <w:noProof/>
              </w:rPr>
              <w:t>Program de sprijin pentru accesul la locuințe (împrumut) – locuințe achiziționate, construite (cu eficiență energetică ridicată) sau reabilitate (cu o performanță energetică îmbunătățită) furnizate gospodăriilor</w:t>
            </w:r>
          </w:p>
        </w:tc>
        <w:tc>
          <w:tcPr>
            <w:tcW w:w="1258" w:type="dxa"/>
            <w:shd w:val="clear" w:color="auto" w:fill="C4EFCE"/>
            <w:vAlign w:val="center"/>
          </w:tcPr>
          <w:p w14:paraId="0319FDDB" w14:textId="77777777" w:rsidR="00A15990" w:rsidRDefault="00A15990">
            <w:pPr>
              <w:spacing w:after="0" w:line="240" w:lineRule="auto"/>
              <w:jc w:val="center"/>
              <w:rPr>
                <w:rFonts w:eastAsia="Times New Roman" w:cstheme="minorHAnsi"/>
                <w:noProof/>
                <w:sz w:val="16"/>
              </w:rPr>
            </w:pPr>
          </w:p>
        </w:tc>
        <w:tc>
          <w:tcPr>
            <w:tcW w:w="981" w:type="dxa"/>
            <w:shd w:val="clear" w:color="auto" w:fill="C4EFCE"/>
            <w:vAlign w:val="center"/>
          </w:tcPr>
          <w:p w14:paraId="172C6BDD" w14:textId="4AB1B921" w:rsidR="00A15990" w:rsidRDefault="00686A62">
            <w:pPr>
              <w:pStyle w:val="P68B1DB1-Normal12"/>
              <w:spacing w:after="0" w:line="240" w:lineRule="auto"/>
              <w:jc w:val="center"/>
              <w:rPr>
                <w:rFonts w:eastAsia="Times New Roman" w:cstheme="minorHAnsi"/>
                <w:noProof/>
              </w:rPr>
            </w:pPr>
            <w:r>
              <w:rPr>
                <w:noProof/>
              </w:rPr>
              <w:t>Numărul</w:t>
            </w:r>
          </w:p>
        </w:tc>
        <w:tc>
          <w:tcPr>
            <w:tcW w:w="980" w:type="dxa"/>
            <w:shd w:val="clear" w:color="auto" w:fill="C4EFCE"/>
            <w:vAlign w:val="center"/>
          </w:tcPr>
          <w:p w14:paraId="1E32C4B2" w14:textId="13724816" w:rsidR="00A15990" w:rsidRDefault="00686A62">
            <w:pPr>
              <w:pStyle w:val="P68B1DB1-Normal12"/>
              <w:spacing w:after="0" w:line="240" w:lineRule="auto"/>
              <w:jc w:val="center"/>
              <w:rPr>
                <w:rFonts w:eastAsia="Times New Roman" w:cstheme="minorHAnsi"/>
                <w:noProof/>
              </w:rPr>
            </w:pPr>
            <w:r>
              <w:rPr>
                <w:noProof/>
              </w:rPr>
              <w:t>22 360</w:t>
            </w:r>
          </w:p>
        </w:tc>
        <w:tc>
          <w:tcPr>
            <w:tcW w:w="701" w:type="dxa"/>
            <w:shd w:val="clear" w:color="auto" w:fill="C4EFCE"/>
            <w:vAlign w:val="center"/>
          </w:tcPr>
          <w:p w14:paraId="1CB0AF1E" w14:textId="43D15A0F" w:rsidR="00A15990" w:rsidRDefault="00686A62">
            <w:pPr>
              <w:pStyle w:val="P68B1DB1-Normal12"/>
              <w:spacing w:after="0" w:line="240" w:lineRule="auto"/>
              <w:jc w:val="center"/>
              <w:rPr>
                <w:rFonts w:eastAsia="Times New Roman" w:cstheme="minorHAnsi"/>
                <w:noProof/>
              </w:rPr>
            </w:pPr>
            <w:r>
              <w:rPr>
                <w:noProof/>
              </w:rPr>
              <w:t>26 000</w:t>
            </w:r>
          </w:p>
        </w:tc>
        <w:tc>
          <w:tcPr>
            <w:tcW w:w="561" w:type="dxa"/>
            <w:shd w:val="clear" w:color="auto" w:fill="C4EFCE"/>
            <w:vAlign w:val="center"/>
          </w:tcPr>
          <w:p w14:paraId="413ACC31" w14:textId="3CB9F2B6" w:rsidR="00A15990" w:rsidRDefault="00686A62">
            <w:pPr>
              <w:pStyle w:val="P68B1DB1-Normal12"/>
              <w:spacing w:after="0" w:line="240" w:lineRule="auto"/>
              <w:jc w:val="center"/>
              <w:rPr>
                <w:rFonts w:eastAsia="Times New Roman" w:cstheme="minorHAnsi"/>
                <w:noProof/>
              </w:rPr>
            </w:pPr>
            <w:r>
              <w:rPr>
                <w:noProof/>
              </w:rPr>
              <w:t>TRIMESTRUL 2</w:t>
            </w:r>
          </w:p>
        </w:tc>
        <w:tc>
          <w:tcPr>
            <w:tcW w:w="700" w:type="dxa"/>
            <w:shd w:val="clear" w:color="auto" w:fill="C4EFCE"/>
            <w:vAlign w:val="center"/>
          </w:tcPr>
          <w:p w14:paraId="07B859C8" w14:textId="44A10FA7" w:rsidR="00A15990" w:rsidRDefault="00686A62">
            <w:pPr>
              <w:pStyle w:val="P68B1DB1-Normal12"/>
              <w:spacing w:after="0" w:line="240" w:lineRule="auto"/>
              <w:jc w:val="center"/>
              <w:rPr>
                <w:rFonts w:eastAsia="Times New Roman" w:cstheme="minorHAnsi"/>
                <w:noProof/>
              </w:rPr>
            </w:pPr>
            <w:r>
              <w:rPr>
                <w:noProof/>
              </w:rPr>
              <w:t>2026</w:t>
            </w:r>
          </w:p>
        </w:tc>
        <w:tc>
          <w:tcPr>
            <w:tcW w:w="4606" w:type="dxa"/>
            <w:shd w:val="clear" w:color="auto" w:fill="C4EFCE"/>
            <w:vAlign w:val="center"/>
          </w:tcPr>
          <w:p w14:paraId="4659094D" w14:textId="2882B7AB" w:rsidR="00A15990" w:rsidRDefault="00686A62">
            <w:pPr>
              <w:pStyle w:val="P68B1DB1-Normal12"/>
              <w:spacing w:after="0" w:line="240" w:lineRule="auto"/>
              <w:jc w:val="both"/>
              <w:rPr>
                <w:rFonts w:eastAsia="Times New Roman" w:cstheme="minorHAnsi"/>
                <w:noProof/>
              </w:rPr>
            </w:pPr>
            <w:r>
              <w:rPr>
                <w:noProof/>
              </w:rPr>
              <w:t xml:space="preserve">Numărul de locuințe livrate gospodăriilor eligibile din cadrul programului. Clădirile noi trebuie să aibă o cerere de energie primară cu cel puțin 20 % sub cerințele clădirilor al căror consum de energie este aproape egal cu zero. Pentru reabilitare, unitatea de referință per locuință este de 73 metri pătrați, iar pentru construcțiile noi 95 metri pătrați pentru cele 3 640 de locuințe.  </w:t>
            </w:r>
          </w:p>
        </w:tc>
      </w:tr>
    </w:tbl>
    <w:p w14:paraId="3369A928" w14:textId="77777777" w:rsidR="00A15990" w:rsidRDefault="00A15990">
      <w:pPr>
        <w:spacing w:before="40" w:after="0" w:line="259" w:lineRule="auto"/>
        <w:jc w:val="both"/>
        <w:rPr>
          <w:rFonts w:ascii="Times New Roman" w:eastAsiaTheme="minorEastAsia" w:hAnsi="Times New Roman" w:cs="Times New Roman"/>
          <w:noProof/>
          <w:sz w:val="24"/>
        </w:rPr>
        <w:sectPr w:rsidR="00A15990" w:rsidSect="00E00EDD">
          <w:headerReference w:type="even" r:id="rId66"/>
          <w:headerReference w:type="default" r:id="rId67"/>
          <w:footerReference w:type="even" r:id="rId68"/>
          <w:footerReference w:type="default" r:id="rId69"/>
          <w:headerReference w:type="first" r:id="rId70"/>
          <w:footerReference w:type="first" r:id="rId71"/>
          <w:pgSz w:w="16839" w:h="11907" w:orient="landscape"/>
          <w:pgMar w:top="1134" w:right="1134" w:bottom="1134" w:left="1134" w:header="567" w:footer="567" w:gutter="0"/>
          <w:cols w:space="720"/>
          <w:docGrid w:linePitch="360"/>
        </w:sectPr>
      </w:pPr>
    </w:p>
    <w:p w14:paraId="778B2B3C"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C. COMPONENTA 3: Răspunsuri sociale</w:t>
      </w:r>
    </w:p>
    <w:p w14:paraId="3106967B"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Portugalia se confruntă de mulți ani cu provocări demografice și socioeconomice importante, care au fost amplificate de pandemia de COVID-19. Această componentă a planului portughez de redresare și reziliență abordează următoarele provocări: îmbătrânirea demografică, drepturile persoanelor cu handicap și ale altor persoane dependente și situații de sărăcie și excluziune socială în rândul comunităților și grupurilor defavorizate. </w:t>
      </w:r>
    </w:p>
    <w:p w14:paraId="64C7C5E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În acest context, această componentă abordează provocările structurale legate de politica socială și deficitul de acoperire a serviciilor sociale pentru populațiile/regiunile aflate în dificultate, atât în Portugalia continentală, cât și în regiunile autonome Azore și Madeira. </w:t>
      </w:r>
    </w:p>
    <w:p w14:paraId="5F00D562" w14:textId="77777777" w:rsidR="00A15990" w:rsidRDefault="00686A62">
      <w:pPr>
        <w:pStyle w:val="P68B1DB1-Normal4"/>
        <w:keepNext/>
        <w:spacing w:before="40" w:after="0" w:line="259" w:lineRule="auto"/>
        <w:jc w:val="both"/>
        <w:rPr>
          <w:rFonts w:eastAsiaTheme="minorEastAsia" w:cs="Times New Roman"/>
          <w:noProof/>
        </w:rPr>
      </w:pPr>
      <w:r>
        <w:rPr>
          <w:noProof/>
        </w:rPr>
        <w:t>Principalele obiective ale componentei sunt: I) îmbunătățirea structurilor de asistență socială și asigurarea unei mai bune acoperiri teritoriale; II) consolidarea și extinderea rețelei de răspunsuri sociale cu soluții inovatoare, proiecte-pilot și intervenții; III) dezvoltarea unor noi răspunsuri de sprijin bazate pe comunitate, contribuind la promovarea unei vieți independente, la prevenirea dependenței și la elaborarea de răspunsuri pentru neinstituționalizare, în conformitate cu Convenția Națiunilor Unite privind drepturile persoanelor cu handicap; IV) asigurarea accesibilității la un trai favorabil incluziunii și a participării în societate și în economie pentru persoanele cu handicap; și v) promovarea eradicării sărăciei prin dezvoltarea unei strategii naționale atotcuprinzătoare, axată pe comunitățile cele mai vulnerabile și dezavantajate.</w:t>
      </w:r>
    </w:p>
    <w:p w14:paraId="3E070AF6" w14:textId="6383616C" w:rsidR="00A15990" w:rsidRDefault="00686A62">
      <w:pPr>
        <w:pStyle w:val="P68B1DB1-Normal4"/>
        <w:keepNext/>
        <w:spacing w:before="40" w:after="0" w:line="259" w:lineRule="auto"/>
        <w:jc w:val="both"/>
        <w:rPr>
          <w:rFonts w:eastAsiaTheme="minorEastAsia" w:cs="Times New Roman"/>
          <w:noProof/>
        </w:rPr>
      </w:pPr>
      <w:r>
        <w:rPr>
          <w:noProof/>
        </w:rPr>
        <w:t>Componenta sprijină abordarea recomandării specifice fiecărei țări privind consolidarea rezilienței sistemului de sănătate și asigurarea accesului egal la servicii medicale și de îngrijire pe termen lung de calitate (recomandarea specifică fiecărei țări 1 2020). În plus, aceasta contribuie la abordarea recomandării specifice fiecărei țări privind îmbunătățirea eficacității și a caracterului adecvat al plasei de siguranță socială și îmbunătățirea nivelului de competențe al populației (recomandarea specifică fiecărei țări 2 2019), garantarea unei protecții sociale și a unui sprijin pentru venit suficiente și asigurarea accesului egal la educație și formare de calitate (recomandarea specifică fiecărei țări 2 2020) și la îmbunătățirea eficacității sistemului portughez de protecție socială, în special prin simplificarea cadrului acestuia (recomandările specifice fiecărei țări 1 2022 și 2023). Componenta sprijină, de asemenea, în mod indirect abordarea recomandării specifice fiecărei țări privind concentrarea investițiilor asupra tranziției verzi și digitale (recomandarea specifică fiecărei țări 3 2020).</w:t>
      </w:r>
    </w:p>
    <w:p w14:paraId="2F3C4A99"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Se preconizează că această componentă va contribui atât la tranziția verde, cât și la cea digitală. Proiectele legate de construirea, extinderea și renovarea instalațiilor de răspuns social se axează pe eficiența energetică, pe utilizarea energiei din surse regenerabile pentru autoconsum și pe reducerea costurilor energiei și combustibililor. Dimensiunile de mediu sunt încorporate prin promovarea unor construcții noi cu standarde ridicate de eficiență energetică. În plus, entitățile implicate sunt echipate cu vehicule ușoare cu emisii zero. În cele din urmă, această componentă include măsuri care sporesc utilizarea instrumentelor digitale, în special de către serviciile sociale care oferă sprijin persoanelor în vârstă și de către guvern prin crearea de instrumente TIC și servicii electronice destinate persoanelor cu handicap. </w:t>
      </w:r>
    </w:p>
    <w:p w14:paraId="37069125"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11FB0FD0"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679A4A18"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C.1 Descrierea reformelor și a investițiilor pentru sprijinul financiar nerambursabil</w:t>
      </w:r>
    </w:p>
    <w:p w14:paraId="25196904"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 xml:space="preserve">Reforma RE-r05: Reforma ofertei de facilități și răspunsuri sociale </w:t>
      </w:r>
    </w:p>
    <w:p w14:paraId="5ADE8050" w14:textId="77777777" w:rsidR="00A15990" w:rsidRDefault="00686A62">
      <w:pPr>
        <w:pStyle w:val="P68B1DB1-Normal4"/>
        <w:keepNext/>
        <w:spacing w:before="40" w:after="0" w:line="259" w:lineRule="auto"/>
        <w:jc w:val="both"/>
        <w:rPr>
          <w:rFonts w:eastAsia="Times New Roman" w:cs="Times New Roman"/>
          <w:noProof/>
        </w:rPr>
      </w:pPr>
      <w:r>
        <w:rPr>
          <w:noProof/>
        </w:rPr>
        <w:t>Obiectivul acestei măsuri este de a extinde, moderniza și reabilita rețeaua de servicii sociale și facilitățile oferite de instituțiile sociale publice și private. Măsura vizează grupurile deosebit de vulnerabile din punct de vedere economic, social și sanitar, cum ar fi persoanele și familiile sărace sau cu venituri mici, persoanele în vârstă și persoanele aflate într-o situație de dependență, persoanele cu handicap și copiii și tinerii. În plus, intervențiile integrate de sprijin social și de sănătate prevăzute de această măsură promovează autonomia persoanelor dependente prin reabilitarea și reintegrarea socială a acestora, în conformitate cu Convenția Națiunilor Unite privind drepturile persoanelor cu handicap, cu Strategia</w:t>
      </w:r>
      <w:r>
        <w:rPr>
          <w:noProof/>
        </w:rPr>
        <w:footnoteReference w:id="2"/>
      </w:r>
      <w:r>
        <w:rPr>
          <w:noProof/>
        </w:rPr>
        <w:t xml:space="preserve"> europeană privind drepturile persoanelor cu handicap 2021-2030</w:t>
      </w:r>
      <w:r>
        <w:rPr>
          <w:noProof/>
        </w:rPr>
        <w:footnoteReference w:id="3"/>
      </w:r>
      <w:r>
        <w:rPr>
          <w:noProof/>
        </w:rPr>
        <w:t xml:space="preserve"> și cu Cartea verde privind îmbătrânirea – Promovarea solidarității și responsabilității între generații</w:t>
      </w:r>
      <w:r>
        <w:rPr>
          <w:noProof/>
        </w:rPr>
        <w:footnoteReference w:id="4"/>
      </w:r>
      <w:r>
        <w:rPr>
          <w:noProof/>
        </w:rPr>
        <w:t xml:space="preserve">. </w:t>
      </w:r>
    </w:p>
    <w:p w14:paraId="036C6475" w14:textId="77777777" w:rsidR="00A15990" w:rsidRDefault="00686A62">
      <w:pPr>
        <w:pStyle w:val="P68B1DB1-Normal4"/>
        <w:keepNext/>
        <w:spacing w:before="40" w:after="0" w:line="259" w:lineRule="auto"/>
        <w:jc w:val="both"/>
        <w:rPr>
          <w:rFonts w:eastAsia="Times New Roman" w:cs="Times New Roman"/>
          <w:noProof/>
        </w:rPr>
      </w:pPr>
      <w:r>
        <w:rPr>
          <w:noProof/>
        </w:rPr>
        <w:t xml:space="preserve">Această reformă constă în lansarea programului de nouă generație de echipamente și răspunsuri sociale prin intrarea în vigoare a simplificării regimului de instalare a echipamentelor sociale. Programul se axează pe măsuri precum: </w:t>
      </w:r>
    </w:p>
    <w:p w14:paraId="70568603"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Îmbunătățirea asistenței sociale și a serviciilor personalizate furnizate în centrele de îngrijire de tip rezidențial pentru persoanele în vârstă (ERPI), în urma unei evaluări a nevoilor;</w:t>
      </w:r>
    </w:p>
    <w:p w14:paraId="4260130E"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Promovarea acordării de licențe și/sau a regularizării ERPI în afara sistemului oficial;</w:t>
      </w:r>
    </w:p>
    <w:p w14:paraId="7AC7E490"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 xml:space="preserve">Revizuirea cadrului legislativ pentru acordarea de licențe pentru instituțiile sociale; </w:t>
      </w:r>
    </w:p>
    <w:p w14:paraId="61985867"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Promovarea unor răspunsuri sociale inovatoare, cum ar fi locuințele colaborative la scară mică;</w:t>
      </w:r>
    </w:p>
    <w:p w14:paraId="2C845D6E"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Dezvoltarea unui model inovator de sprijinire a locuințelor;</w:t>
      </w:r>
    </w:p>
    <w:p w14:paraId="6D012205"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Consolidarea sprijinului social pentru persoanele aflate într-o situație de izolare socială, prin crearea unor echipe multidisciplinare și a unui mecanism de cartografiere și monitorizare a situațiilor vulnerabile din punct de vedere social (proiecte sociale radar);</w:t>
      </w:r>
    </w:p>
    <w:p w14:paraId="5F830A95"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Creșterea nivelului forței de muncă și a calității furnizării de servicii de răspuns social, în special în teritoriile cu niveluri scăzute de acoperire;</w:t>
      </w:r>
    </w:p>
    <w:p w14:paraId="4139DE34" w14:textId="77777777" w:rsidR="00A15990" w:rsidRDefault="00686A62">
      <w:pPr>
        <w:pStyle w:val="P68B1DB1-Normal4"/>
        <w:keepNext/>
        <w:numPr>
          <w:ilvl w:val="0"/>
          <w:numId w:val="62"/>
        </w:numPr>
        <w:spacing w:before="40" w:after="160" w:line="259" w:lineRule="auto"/>
        <w:contextualSpacing/>
        <w:jc w:val="both"/>
        <w:rPr>
          <w:rFonts w:eastAsia="Times New Roman" w:cs="Times New Roman"/>
          <w:noProof/>
        </w:rPr>
      </w:pPr>
      <w:r>
        <w:rPr>
          <w:noProof/>
        </w:rPr>
        <w:t>Consolidarea serviciilor sociale și a sprijinului destinat persoanelor cu handicap sau dependente și promovarea autonomiei și a vieții independente a acestora.</w:t>
      </w:r>
    </w:p>
    <w:p w14:paraId="640E5631" w14:textId="77777777" w:rsidR="00A15990" w:rsidRDefault="00686A62">
      <w:pPr>
        <w:pStyle w:val="P68B1DB1-Normal4"/>
        <w:keepNext/>
        <w:spacing w:before="40" w:after="0" w:line="259" w:lineRule="auto"/>
        <w:jc w:val="both"/>
        <w:rPr>
          <w:rFonts w:eastAsia="Times New Roman" w:cs="Times New Roman"/>
          <w:noProof/>
        </w:rPr>
      </w:pPr>
      <w:r>
        <w:rPr>
          <w:noProof/>
        </w:rPr>
        <w:t xml:space="preserve">Investiția RE-C03-i01 – Noua generație de echipamente și răspunsuri sociale va contribui la punerea în aplicare a reformei. </w:t>
      </w:r>
    </w:p>
    <w:p w14:paraId="150D85D2" w14:textId="77777777" w:rsidR="00A15990" w:rsidRDefault="00686A62">
      <w:pPr>
        <w:pStyle w:val="P68B1DB1-Normal4"/>
        <w:keepNext/>
        <w:spacing w:before="40" w:after="0" w:line="259" w:lineRule="auto"/>
        <w:jc w:val="both"/>
        <w:rPr>
          <w:rFonts w:eastAsia="Times New Roman" w:cs="Times New Roman"/>
          <w:noProof/>
        </w:rPr>
      </w:pPr>
      <w:r>
        <w:rPr>
          <w:noProof/>
        </w:rPr>
        <w:t>Jalonul legat de punerea în aplicare a reformei se finalizează până la 31 decembrie 2021.</w:t>
      </w:r>
    </w:p>
    <w:p w14:paraId="42D391F8"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RE-r06: Strategia națională pentru incluziunea persoanelor cu handicap 2021-2025</w:t>
      </w:r>
    </w:p>
    <w:p w14:paraId="4993B847" w14:textId="77777777" w:rsidR="00A15990" w:rsidRDefault="00686A62">
      <w:pPr>
        <w:pStyle w:val="P68B1DB1-Normal4"/>
        <w:keepNext/>
        <w:spacing w:before="40" w:after="0" w:line="259" w:lineRule="auto"/>
        <w:jc w:val="both"/>
        <w:rPr>
          <w:rFonts w:eastAsia="Times New Roman" w:cs="Times New Roman"/>
          <w:noProof/>
        </w:rPr>
      </w:pPr>
      <w:r>
        <w:rPr>
          <w:noProof/>
        </w:rPr>
        <w:t>Obiectivul acestei măsuri este de a facilita și de a aprofunda incluziunea persoanelor cu handicap în toate domeniile vieții, de a promova autonomia, independența și autodeterminarea acestora, precum și de a asigura șanse egale pentru toți cetățenii, indiferent de capacitățile lor.</w:t>
      </w:r>
    </w:p>
    <w:p w14:paraId="431145D2" w14:textId="77777777" w:rsidR="00A15990" w:rsidRDefault="00686A62">
      <w:pPr>
        <w:pStyle w:val="P68B1DB1-Normal4"/>
        <w:keepNext/>
        <w:spacing w:before="40" w:after="0" w:line="259" w:lineRule="auto"/>
        <w:jc w:val="both"/>
        <w:rPr>
          <w:rFonts w:eastAsia="Times New Roman" w:cs="Times New Roman"/>
          <w:noProof/>
        </w:rPr>
      </w:pPr>
      <w:r>
        <w:rPr>
          <w:noProof/>
        </w:rPr>
        <w:t>Această reformă constă în adoptarea Strategiei naționale pentru incluziunea persoanelor cu handicap 2021-2025. Strategia reflectă angajamentele Convenției Națiunilor Unite privind drepturile persoanelor cu handicap</w:t>
      </w:r>
      <w:r>
        <w:rPr>
          <w:noProof/>
        </w:rPr>
        <w:footnoteReference w:id="5"/>
      </w:r>
      <w:r>
        <w:rPr>
          <w:noProof/>
        </w:rPr>
        <w:t xml:space="preserve"> și permite lansarea unui set de măsuri, cum ar fi:</w:t>
      </w:r>
    </w:p>
    <w:p w14:paraId="747E1C23"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 xml:space="preserve">Reformularea cadrului de reglementare actual ori de câte ori este necesar; </w:t>
      </w:r>
    </w:p>
    <w:p w14:paraId="250A5CFC"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Reformularea sistemului de evaluare și certificare a handicapului;</w:t>
      </w:r>
    </w:p>
    <w:p w14:paraId="199DE32D"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Un diagnostic cuprinzător al persoanelor cu handicap prin dezvoltarea unor sisteme de colectare a datelor și de monitorizare a indicatorilor pentru sprijinirea procesului decizional;</w:t>
      </w:r>
    </w:p>
    <w:p w14:paraId="5920EE97"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Intervenții în spațiile publice pentru a facilita accesul persoanelor cu handicap;</w:t>
      </w:r>
    </w:p>
    <w:p w14:paraId="5F6E0E5D"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Adaptarea sistemelor de formare, de ocupare a forței de muncă și de calificare pentru persoanele cu handicap;</w:t>
      </w:r>
    </w:p>
    <w:p w14:paraId="1C29FB20"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Dezvoltarea unor servicii sociale inovatoare și a unor abordări comunitare;</w:t>
      </w:r>
    </w:p>
    <w:p w14:paraId="1193BF56"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Participarea persoanelor cu handicap la activități sportive, culturale și recreative.</w:t>
      </w:r>
    </w:p>
    <w:p w14:paraId="6C200F5F" w14:textId="77777777" w:rsidR="00A15990" w:rsidRDefault="00686A62">
      <w:pPr>
        <w:pStyle w:val="P68B1DB1-Normal4"/>
        <w:keepNext/>
        <w:numPr>
          <w:ilvl w:val="0"/>
          <w:numId w:val="63"/>
        </w:numPr>
        <w:spacing w:before="40" w:after="160" w:line="259" w:lineRule="auto"/>
        <w:contextualSpacing/>
        <w:jc w:val="both"/>
        <w:rPr>
          <w:rFonts w:eastAsia="Times New Roman" w:cs="Times New Roman"/>
          <w:noProof/>
        </w:rPr>
      </w:pPr>
      <w:r>
        <w:rPr>
          <w:noProof/>
        </w:rPr>
        <w:t>Extinderea modelului de sprijin pentru o viață independentă, care oferă asistență personală persoanelor cu handicap;</w:t>
      </w:r>
    </w:p>
    <w:p w14:paraId="24FA9424" w14:textId="77777777" w:rsidR="00A15990" w:rsidRDefault="00686A62">
      <w:pPr>
        <w:pStyle w:val="P68B1DB1-Normal4"/>
        <w:keepNext/>
        <w:spacing w:before="40" w:after="0" w:line="259" w:lineRule="auto"/>
        <w:jc w:val="both"/>
        <w:rPr>
          <w:rFonts w:eastAsia="Times New Roman" w:cs="Times New Roman"/>
          <w:noProof/>
        </w:rPr>
      </w:pPr>
      <w:r>
        <w:rPr>
          <w:noProof/>
        </w:rPr>
        <w:t xml:space="preserve">Investițiile RE-C03-i02: Accesibilitate 360° și RE-C03-i05: Platforma și accesul, precum și investițiile RE-C01-i02: Rețeaua națională de îngrijire continuă integrată și Rețeaua națională de îngrijire paliativă contribuie la punerea în aplicare a reformei. </w:t>
      </w:r>
    </w:p>
    <w:p w14:paraId="3C1200D2" w14:textId="77777777" w:rsidR="00A15990" w:rsidRDefault="00686A62">
      <w:pPr>
        <w:pStyle w:val="P68B1DB1-Normal4"/>
        <w:keepNext/>
        <w:spacing w:before="40" w:after="0" w:line="259" w:lineRule="auto"/>
        <w:jc w:val="both"/>
        <w:rPr>
          <w:rFonts w:eastAsia="Times New Roman" w:cs="Times New Roman"/>
          <w:noProof/>
        </w:rPr>
      </w:pPr>
      <w:r>
        <w:rPr>
          <w:noProof/>
        </w:rPr>
        <w:t>Jalonul legat de punerea în aplicare a reformei se finalizează până la 31 decembrie 2021.</w:t>
      </w:r>
    </w:p>
    <w:p w14:paraId="19B646AB"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RE-r07: Contractarea programelor integrate de sprijin pentru comunitățile defavorizate din zonele metropolitane</w:t>
      </w:r>
    </w:p>
    <w:p w14:paraId="00C1C173"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combate sărăcia și excluziunea socială în localitățile cele mai defavorizate din zonele metropolitane Lisabona și Porto. </w:t>
      </w:r>
    </w:p>
    <w:p w14:paraId="24271C84"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reformă constă într-un set de acțiuni-pilot integrate care urmează să fie elaborate în urma unei evaluări și a identificării nevoilor specifice ale comunității. În urma acestei etape de diagnosticare, intervențiile integrate sunt concepute și se axează pe două domenii: </w:t>
      </w:r>
    </w:p>
    <w:p w14:paraId="0B7DAF3A" w14:textId="77777777" w:rsidR="00A15990" w:rsidRDefault="00686A62">
      <w:pPr>
        <w:pStyle w:val="P68B1DB1-Normal4"/>
        <w:keepNext/>
        <w:numPr>
          <w:ilvl w:val="0"/>
          <w:numId w:val="52"/>
        </w:numPr>
        <w:spacing w:before="40" w:after="160" w:line="259" w:lineRule="auto"/>
        <w:contextualSpacing/>
        <w:jc w:val="both"/>
        <w:rPr>
          <w:rFonts w:eastAsiaTheme="minorEastAsia" w:cs="Times New Roman"/>
          <w:noProof/>
        </w:rPr>
      </w:pPr>
      <w:r>
        <w:rPr>
          <w:noProof/>
        </w:rPr>
        <w:t>Intervenții în spațiul public și în infrastructurile sociale, cum ar fi creșele și școlile primare, unitățile de asistență medicală și facilitățile pentru evenimente sociale și culturale, ateliere și/sau cursuri de formare; și</w:t>
      </w:r>
    </w:p>
    <w:p w14:paraId="6FB7F6AF" w14:textId="423D580E" w:rsidR="00A15990" w:rsidRDefault="00686A62">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Intervenții de natură intangibilă pentru promovarea coeziunii sociale, cum ar fi implicarea activă a comunităților în conceperea și punerea lor în aplicare, promovarea spiritului antreprenorial al întreprinderilor mici, cu sediul la nivel local, conceperea de proiecte de combatere a eșecului școlar și a abandonului școlar, oferirea de formare profesională și promovarea sportului. </w:t>
      </w:r>
    </w:p>
    <w:p w14:paraId="7F7F7904"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reformă va fi susținută și structurată în conformitate cu prima Strategie națională a Portugaliei de combatere a sărăciei (ENCP) și cu intervențiile tematice pentru grupuri specifice identificate în cadrul acesteia. </w:t>
      </w:r>
    </w:p>
    <w:p w14:paraId="5852842A" w14:textId="77777777" w:rsidR="00A15990" w:rsidRDefault="00686A62">
      <w:pPr>
        <w:pStyle w:val="P68B1DB1-Normal4"/>
        <w:keepNext/>
        <w:spacing w:before="40" w:after="0" w:line="259" w:lineRule="auto"/>
        <w:jc w:val="both"/>
        <w:rPr>
          <w:rFonts w:eastAsiaTheme="minorEastAsia" w:cs="Times New Roman"/>
          <w:noProof/>
        </w:rPr>
      </w:pPr>
      <w:r>
        <w:rPr>
          <w:noProof/>
        </w:rPr>
        <w:t>Reforma va fi pusă în aplicare prin investițiile RE-C03-i06 – Operațiuni integrate în comunitățile defavorizate din zonele metropolitane Lisabona și Porto.</w:t>
      </w:r>
    </w:p>
    <w:p w14:paraId="70A526E2" w14:textId="77777777" w:rsidR="00A15990" w:rsidRDefault="00686A62">
      <w:pPr>
        <w:pStyle w:val="P68B1DB1-Normal4"/>
        <w:keepNext/>
        <w:spacing w:before="40" w:after="0" w:line="259" w:lineRule="auto"/>
        <w:jc w:val="both"/>
        <w:rPr>
          <w:rFonts w:eastAsiaTheme="minorEastAsia" w:cs="Times New Roman"/>
          <w:noProof/>
        </w:rPr>
      </w:pPr>
      <w:r>
        <w:rPr>
          <w:noProof/>
        </w:rPr>
        <w:t>Jalonul legat de punerea în aplicare a reformei se finalizează până la 31 decembrie 2021.</w:t>
      </w:r>
    </w:p>
    <w:p w14:paraId="0AD18DF6"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RE-r08: Strategia națională de combatere a sărăciei</w:t>
      </w:r>
    </w:p>
    <w:p w14:paraId="243FD289" w14:textId="77777777" w:rsidR="00A15990" w:rsidRDefault="00686A62">
      <w:pPr>
        <w:pStyle w:val="P68B1DB1-Normal4"/>
        <w:keepNext/>
        <w:spacing w:before="40" w:after="0" w:line="259" w:lineRule="auto"/>
        <w:jc w:val="both"/>
        <w:rPr>
          <w:rFonts w:eastAsia="Times New Roman" w:cs="Times New Roman"/>
          <w:noProof/>
        </w:rPr>
      </w:pPr>
      <w:r>
        <w:rPr>
          <w:noProof/>
        </w:rPr>
        <w:t>Obiectivul acestei măsuri este combaterea sărăciei prin dezvoltarea unei abordări multidimensionale, integrate, pe termen mediu și lung.</w:t>
      </w:r>
    </w:p>
    <w:p w14:paraId="3F7CA624" w14:textId="77777777" w:rsidR="00A15990" w:rsidRDefault="00686A62">
      <w:pPr>
        <w:pStyle w:val="P68B1DB1-Normal4"/>
        <w:keepNext/>
        <w:spacing w:before="40" w:after="0" w:line="259" w:lineRule="auto"/>
        <w:jc w:val="both"/>
        <w:rPr>
          <w:rFonts w:eastAsia="Times New Roman" w:cs="Times New Roman"/>
          <w:noProof/>
        </w:rPr>
      </w:pPr>
      <w:r>
        <w:rPr>
          <w:noProof/>
        </w:rPr>
        <w:t>Reforma constă în adoptarea Strategiei naționale de combatere a sărăciei (PNEC). Strategia oferă cadrul pentru intervențiile tematice care vizează grupuri specifice, de la copii la persoane în vârstă, inclusiv grupurile cele mai vulnerabile. Acesta stabilește condițiile pentru elaborarea și punerea în aplicare a unor politici integrate axate pe particularitățile excluziunii sociale și ale sărăciei la nivel local. În plus, acesta prevede, de asemenea, crearea unui cadru unic de monitorizare pentru indicatorii legați de sărăcie.</w:t>
      </w:r>
    </w:p>
    <w:p w14:paraId="2BFE7AC9" w14:textId="77777777" w:rsidR="00A15990" w:rsidRDefault="00686A62">
      <w:pPr>
        <w:pStyle w:val="P68B1DB1-Normal4"/>
        <w:keepNext/>
        <w:spacing w:before="40" w:after="0" w:line="259" w:lineRule="auto"/>
        <w:jc w:val="both"/>
        <w:rPr>
          <w:rFonts w:eastAsia="Times New Roman" w:cs="Times New Roman"/>
          <w:noProof/>
        </w:rPr>
      </w:pPr>
      <w:r>
        <w:rPr>
          <w:noProof/>
        </w:rPr>
        <w:t>InvestmentRE-C03-i06 – Operațiuni integrate în comunitățile defavorizate din zonele metropolitane Lisabona și Porto contribuie la punerea în aplicare a reformei.</w:t>
      </w:r>
    </w:p>
    <w:p w14:paraId="5CB94457" w14:textId="77777777" w:rsidR="00A15990" w:rsidRDefault="00686A62">
      <w:pPr>
        <w:pStyle w:val="P68B1DB1-Normal4"/>
        <w:keepNext/>
        <w:spacing w:before="40" w:after="0" w:line="259" w:lineRule="auto"/>
        <w:jc w:val="both"/>
        <w:rPr>
          <w:rFonts w:eastAsiaTheme="minorEastAsia" w:cs="Times New Roman"/>
          <w:noProof/>
          <w:highlight w:val="yellow"/>
        </w:rPr>
      </w:pPr>
      <w:r>
        <w:rPr>
          <w:noProof/>
        </w:rPr>
        <w:t>Jalonul legat de punerea în aplicare a reformei se finalizează până la 30 septembrie 2021.</w:t>
      </w:r>
    </w:p>
    <w:p w14:paraId="4A7F96D8"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RE-C03-i01: Noua generație de echipamente și răspunsuri sociale</w:t>
      </w:r>
    </w:p>
    <w:p w14:paraId="1BCAC31F"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măsuri este de a moderniza și de a extinde rețeaua de servicii de asistență socială pentru a dezvolta metode mai eficiente de furnizare a serviciilor, pentru a obține o acoperire teritorială mai largă la nivel național și pentru a îmbunătăți condițiile de muncă ale profesioniștilor din aceste structuri, precum și calitatea îngrijirii acordate utilizatorilor.</w:t>
      </w:r>
    </w:p>
    <w:p w14:paraId="4CAC5042" w14:textId="77777777" w:rsidR="00A15990" w:rsidRDefault="00686A62">
      <w:pPr>
        <w:pStyle w:val="P68B1DB1-Normal4"/>
        <w:keepNext/>
        <w:spacing w:before="40" w:after="0" w:line="259" w:lineRule="auto"/>
        <w:jc w:val="both"/>
        <w:rPr>
          <w:rFonts w:eastAsiaTheme="minorEastAsia" w:cs="Times New Roman"/>
          <w:noProof/>
        </w:rPr>
      </w:pPr>
      <w:r>
        <w:rPr>
          <w:noProof/>
        </w:rPr>
        <w:t>Această investiție constă în:</w:t>
      </w:r>
    </w:p>
    <w:p w14:paraId="098FBF35" w14:textId="77777777" w:rsidR="00A15990" w:rsidRDefault="00686A62">
      <w:pPr>
        <w:pStyle w:val="P68B1DB1-Normal4"/>
        <w:keepNext/>
        <w:numPr>
          <w:ilvl w:val="0"/>
          <w:numId w:val="52"/>
        </w:numPr>
        <w:spacing w:before="40" w:after="160" w:line="259" w:lineRule="auto"/>
        <w:contextualSpacing/>
        <w:jc w:val="both"/>
        <w:rPr>
          <w:rFonts w:eastAsiaTheme="minorEastAsia" w:cs="Times New Roman"/>
          <w:noProof/>
        </w:rPr>
      </w:pPr>
      <w:r>
        <w:rPr>
          <w:noProof/>
        </w:rPr>
        <w:t>renovarea și extinderea structurilor existente ale serviciilor sociale și construirea unora noi, cum ar fi creșele, centrele rezidențiale de îngrijire a persoanelor în vârstă (ERPI) și centrele de activități și responsabilizare pentru incluziune (CAIC);</w:t>
      </w:r>
    </w:p>
    <w:p w14:paraId="6AA715D0" w14:textId="4667F989" w:rsidR="00A15990" w:rsidRDefault="00686A62">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extinderea rețelelor de răspunsuri sociale ale „Residences for Autonomy and Inclusion and Home Support Services”, prin creșterea numărului de utilizatori care ar putea fi acoperiți; </w:t>
      </w:r>
    </w:p>
    <w:p w14:paraId="26FCCA4B" w14:textId="77777777" w:rsidR="00A15990" w:rsidRDefault="00686A62">
      <w:pPr>
        <w:pStyle w:val="P68B1DB1-Normal4"/>
        <w:keepNext/>
        <w:numPr>
          <w:ilvl w:val="0"/>
          <w:numId w:val="52"/>
        </w:numPr>
        <w:spacing w:before="40" w:after="160" w:line="259" w:lineRule="auto"/>
        <w:contextualSpacing/>
        <w:jc w:val="both"/>
        <w:rPr>
          <w:rFonts w:eastAsiaTheme="minorEastAsia" w:cs="Times New Roman"/>
          <w:noProof/>
        </w:rPr>
      </w:pPr>
      <w:r>
        <w:rPr>
          <w:noProof/>
        </w:rPr>
        <w:t>extinderea rețelei de răspunsuri sociale cu noi tipologii, cum ar fi colocuințele;</w:t>
      </w:r>
    </w:p>
    <w:p w14:paraId="4AE97124" w14:textId="77777777" w:rsidR="00A15990" w:rsidRDefault="00686A62">
      <w:pPr>
        <w:pStyle w:val="P68B1DB1-Normal4"/>
        <w:keepNext/>
        <w:numPr>
          <w:ilvl w:val="0"/>
          <w:numId w:val="52"/>
        </w:numPr>
        <w:spacing w:before="40" w:after="160" w:line="259" w:lineRule="auto"/>
        <w:contextualSpacing/>
        <w:jc w:val="both"/>
        <w:rPr>
          <w:rFonts w:eastAsiaTheme="minorEastAsia" w:cs="Times New Roman"/>
          <w:noProof/>
        </w:rPr>
      </w:pPr>
      <w:r>
        <w:rPr>
          <w:noProof/>
        </w:rPr>
        <w:t xml:space="preserve">achiziționarea de echipamente tehnice și digitale, inclusiv achiziționarea de vehicule electrice; și </w:t>
      </w:r>
    </w:p>
    <w:p w14:paraId="78A6605F" w14:textId="1354886C" w:rsidR="00A15990" w:rsidRDefault="00686A62">
      <w:pPr>
        <w:pStyle w:val="P68B1DB1-Normal4"/>
        <w:keepNext/>
        <w:numPr>
          <w:ilvl w:val="0"/>
          <w:numId w:val="52"/>
        </w:numPr>
        <w:spacing w:before="40" w:after="160" w:line="259" w:lineRule="auto"/>
        <w:contextualSpacing/>
        <w:jc w:val="both"/>
        <w:rPr>
          <w:rFonts w:eastAsiaTheme="minorEastAsia" w:cs="Times New Roman"/>
          <w:noProof/>
        </w:rPr>
      </w:pPr>
      <w:r>
        <w:rPr>
          <w:noProof/>
        </w:rPr>
        <w:t>lansarea unui proiect-pilot intitulat „Radar social”, care vizează testarea, la nivel național, a unui model aproape proactiv și inovator de sprijin social integrat. Acest model a fost deja testat în municipalitatea Lisabona, acoperind un singur grup-țintă (persoane în vârstă), iar acum este destinat să acopere întregul continent, cu un domeniu de aplicare mai larg în ceea ce privește grupul-țintă (orice persoană expusă riscului de excluziune socială, cu sprijin social și/sau familial insuficient). Proiectul include identificarea și cartografierea nevoilor, precum și alte acțiuni, cum ar fi promovarea participării civice, promovarea utilizării instrumentelor digitale și informatice pentru accesarea serviciilor comunitare de bază și promovarea sportului. În acest scop, în localitățile Portugaliei continentale vor fi create 278 echipe de intervenție socială. Echipele au responsabilitatea de a identifica persoanele în vârstă și alte persoane vulnerabile expuse riscului de excluziune socială și de a oferi sprijin în funcție de nevoile lor individuale.</w:t>
      </w:r>
    </w:p>
    <w:p w14:paraId="21CC04BD"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martie 2026.</w:t>
      </w:r>
    </w:p>
    <w:p w14:paraId="2ADE939D"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RE-C03-i02: Accesibilitate 360°</w:t>
      </w:r>
    </w:p>
    <w:p w14:paraId="37D1B66B"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îmbunătăți condițiile de accesibilitate pentru persoanele cu handicap în spațiile publice, clădirile și locuințele publice, pe întreg teritoriul. </w:t>
      </w:r>
    </w:p>
    <w:p w14:paraId="034FEC2F" w14:textId="77777777" w:rsidR="00A15990" w:rsidRDefault="00686A62">
      <w:pPr>
        <w:pStyle w:val="P68B1DB1-Normal4"/>
        <w:keepNext/>
        <w:spacing w:before="40" w:after="0" w:line="259" w:lineRule="auto"/>
        <w:jc w:val="both"/>
        <w:rPr>
          <w:rFonts w:eastAsiaTheme="minorEastAsia" w:cs="Times New Roman"/>
          <w:noProof/>
        </w:rPr>
      </w:pPr>
      <w:r>
        <w:rPr>
          <w:noProof/>
        </w:rPr>
        <w:t>Această investiție este în deplină conformitate cu Strategia europeană privind drepturile persoanelor cu handicap 2021-2030</w:t>
      </w:r>
      <w:r>
        <w:rPr>
          <w:noProof/>
        </w:rPr>
        <w:footnoteReference w:id="6"/>
      </w:r>
      <w:r>
        <w:rPr>
          <w:noProof/>
        </w:rPr>
        <w:t xml:space="preserve"> și constă în trei componente:</w:t>
      </w:r>
    </w:p>
    <w:p w14:paraId="0E9823BC" w14:textId="1DDCDE8E"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programul de intervenție a căilor publice 2021-2025 (PIVP), care include operațiuni și lucrări de construcții în cel puțin 200 000 m² de spațiu public, cum ar fi trotuarele și pătratele; </w:t>
      </w:r>
    </w:p>
    <w:p w14:paraId="7D9FAE99"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programul de intervenție în clădirile publice 2021-2025 (PIEP), care include operațiuni și lucrări de construcții în cel puțin 1 500 de clădiri de servicii publice; și</w:t>
      </w:r>
    </w:p>
    <w:p w14:paraId="71FA1279"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programul de intervenție pentru locuințe 2021-2025 (PIH), care include lucrări de renovare și construcție în cel puțin 1 000 de locuințe existente ale persoanelor cu handicap. </w:t>
      </w:r>
    </w:p>
    <w:p w14:paraId="21A3A591"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1E137E06"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RE-C03-i03-RAM: Consolidarea răspunsurilor sociale în Regiunea Autonomă Madeira (ARM)</w:t>
      </w:r>
    </w:p>
    <w:p w14:paraId="6CD6778E"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măsuri este de a consolida rețeaua de servicii sociale în Regiunea Autonomă Madeira.</w:t>
      </w:r>
    </w:p>
    <w:p w14:paraId="7AB57872"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intervenții în centrele rezidențiale de îngrijire a persoanelor în vârstă (ERPI) și în extinderea structurilor de sprijin social pentru persoanele fără adăpost. Aceste intervenții includ construirea de instalații noi și renovarea și modernizarea instalațiilor existente, precum și achiziționarea de echipamente tehnice, digitale și informatice necesare, inclusiv achiziționarea de vehicule electrice pentru a facilita și a îmbunătăți raza de acțiune a profesioniștilor din domeniul serviciilor sociale în zonele îndepărtate. </w:t>
      </w:r>
    </w:p>
    <w:p w14:paraId="1EDAA2FB" w14:textId="263611C5" w:rsidR="00A15990" w:rsidRDefault="00686A62">
      <w:pPr>
        <w:pStyle w:val="P68B1DB1-Normal4"/>
        <w:keepNext/>
        <w:spacing w:before="40" w:after="0" w:line="259" w:lineRule="auto"/>
        <w:jc w:val="both"/>
        <w:rPr>
          <w:rFonts w:eastAsiaTheme="minorEastAsia" w:cs="Times New Roman"/>
          <w:noProof/>
        </w:rPr>
      </w:pPr>
      <w:r>
        <w:rPr>
          <w:noProof/>
        </w:rPr>
        <w:t xml:space="preserve">Intervențiile includ reabilitarea și extinderea structurilor rezidențiale și nerezidențiale pentru persoanele în vârstă, destinate persoanelor în vârstă de cel puțin 65 de ani care nu își pot păstra reședința. De asemenea, acestea pot găzdui persoane adulte cu vârsta sub 65 ani, în situații excepționale justificate în mod corespunzător. </w:t>
      </w:r>
    </w:p>
    <w:p w14:paraId="44AB2A82" w14:textId="4A6664DB" w:rsidR="00A15990" w:rsidRDefault="00686A62">
      <w:pPr>
        <w:pStyle w:val="P68B1DB1-Normal4"/>
        <w:keepNext/>
        <w:spacing w:before="40" w:after="0" w:line="259" w:lineRule="auto"/>
        <w:jc w:val="both"/>
        <w:rPr>
          <w:rFonts w:eastAsiaTheme="minorEastAsia" w:cs="Times New Roman"/>
          <w:noProof/>
        </w:rPr>
      </w:pPr>
      <w:r>
        <w:rPr>
          <w:noProof/>
        </w:rPr>
        <w:t xml:space="preserve">Printre intervențiile care vizează persoanele fără adăpost se numără crearea unei recepții pe timp de noapte pentru a aborda situațiile de urgență și a oferi cazare, crearea de săli pentru băi și o spălătorie pentru a promova igiena personală, renovarea unui spațiu pentru a oferi mese și activități de tip atelier pentru a dezvolta abilități și competențe sociale în rândul beneficiarilor. </w:t>
      </w:r>
    </w:p>
    <w:p w14:paraId="758AA752" w14:textId="5537FE59"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decembrie 2025.</w:t>
      </w:r>
    </w:p>
    <w:p w14:paraId="6341FCC8"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RE-C03-i04-RAA: Punerea în aplicare a Strategiei regionale de combatere a sărăciei și a excluziunii sociale – Rețele de sprijin social (ARA)</w:t>
      </w:r>
    </w:p>
    <w:p w14:paraId="758B7891"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pune în aplicare prioritățile Strategiei regionale de combatere a sărăciei și a excluziunii sociale 2018-2028 (ERCPES) a Regiunii Autonome Azore. În strategie au fost definite patru priorități strategice care se completează reciproc: </w:t>
      </w:r>
    </w:p>
    <w:p w14:paraId="029D52CF"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P1 – Asigurarea unui proces de dezvoltare complet și favorabil incluziunii pentru toți copiii și tinerii încă de la începutul vieții; </w:t>
      </w:r>
    </w:p>
    <w:p w14:paraId="687E73B0"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P2 – Consolidarea coeziunii sociale în regiune; </w:t>
      </w:r>
    </w:p>
    <w:p w14:paraId="56291263"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P3 – Promovarea intervenției teritorializate; și</w:t>
      </w:r>
    </w:p>
    <w:p w14:paraId="00B33C95"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P4 – Asigurarea unei cunoașteri adecvate a fenomenului sărăciei în regiune.</w:t>
      </w:r>
    </w:p>
    <w:p w14:paraId="7727C0B8" w14:textId="5AB285C1"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într-un set de intervenții care sporesc accesul copiilor și al tinerilor la servicii sociale și educaționale și consolidează coeziunea socială prin sprijinirea familiilor aflate în dificultate și a persoanelor cu handicap în vederea integrării lor în societate și pe piața muncii. Acestea includ cel puțin crearea de puncte de sprijin pentru studii pentru combaterea abandonului școlar timpuriu, subvenții pentru gospodăriile cu venituri mici ca stimulent pentru promovarea participării grădinițelor, crearea de locuri (fizice) suplimentare în grădinițe și centre de îngrijire de zi, crearea de noi locuri pentru persoanele cu handicap în centrele de sprijinire a persoanelor cu handicap, achiziționarea de mașini pentru reînnoirea parcului auto social Instituições Particulares de Solidariedade și formarea persoanelor din familiile care beneficiază de venitul de incluziune socială pentru a le oferi competențe de bază complementare care să le permită să intre pe piața muncii. </w:t>
      </w:r>
    </w:p>
    <w:p w14:paraId="4B195392"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În cele din urmă, această investiție va include, de asemenea, lansarea unui program-pilot intitulat „Îmbătrânirea în vigoare”, care vizează promovarea îngrijirii neinstituționalizate a persoanelor în vârstă și/sau a persoanelor cu handicap. </w:t>
      </w:r>
    </w:p>
    <w:p w14:paraId="25A7EFAB" w14:textId="3AA9570B"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p w14:paraId="36A22E9D"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RE-C03-i05: Platformă + acces</w:t>
      </w:r>
    </w:p>
    <w:p w14:paraId="06E31F6B"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promova incluziunea persoanelor cu handicap prin furnizarea unui set de instrumente și servicii digitale de informare pentru a facilita tendința de a răspunde nevoilor acestora și pentru a facilita participarea lor în societate. </w:t>
      </w:r>
    </w:p>
    <w:p w14:paraId="5239124E" w14:textId="77777777" w:rsidR="00A15990" w:rsidRDefault="00686A62">
      <w:pPr>
        <w:pStyle w:val="P68B1DB1-Normal4"/>
        <w:keepNext/>
        <w:spacing w:before="40" w:after="0" w:line="259" w:lineRule="auto"/>
        <w:jc w:val="both"/>
        <w:rPr>
          <w:rFonts w:eastAsiaTheme="minorEastAsia" w:cs="Times New Roman"/>
          <w:noProof/>
        </w:rPr>
      </w:pPr>
      <w:r>
        <w:rPr>
          <w:noProof/>
        </w:rPr>
        <w:t>Investiția constă în cinci programe:</w:t>
      </w:r>
    </w:p>
    <w:p w14:paraId="72800A48"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Georeferențierea localizării și a condițiilor de accesibilitate ale clădirilor publice; </w:t>
      </w:r>
    </w:p>
    <w:p w14:paraId="35176517"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Sisteme globale de informare și poziționare (GPS) pentru clădirile publice mari și care permit includerea clădirilor private; </w:t>
      </w:r>
    </w:p>
    <w:p w14:paraId="5D8E03C9"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Georeferențierea locurilor de parcare pentru persoanele cu mobilitate redusă; </w:t>
      </w:r>
    </w:p>
    <w:p w14:paraId="2C342D75"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 xml:space="preserve">O platformă digitală de informare; </w:t>
      </w:r>
    </w:p>
    <w:p w14:paraId="68C0A982" w14:textId="77777777" w:rsidR="00A15990" w:rsidRDefault="00686A62">
      <w:pPr>
        <w:pStyle w:val="P68B1DB1-Normal4"/>
        <w:keepNext/>
        <w:numPr>
          <w:ilvl w:val="0"/>
          <w:numId w:val="20"/>
        </w:numPr>
        <w:spacing w:before="40" w:after="160" w:line="259" w:lineRule="auto"/>
        <w:contextualSpacing/>
        <w:jc w:val="both"/>
        <w:rPr>
          <w:rFonts w:eastAsiaTheme="minorEastAsia" w:cs="Times New Roman"/>
          <w:noProof/>
        </w:rPr>
      </w:pPr>
      <w:r>
        <w:rPr>
          <w:noProof/>
        </w:rPr>
        <w:t>Crearea unui centru de apel pentru interpretarea limbajului prin semne din Portugalia.</w:t>
      </w:r>
    </w:p>
    <w:p w14:paraId="4233CF6C" w14:textId="1521E268" w:rsidR="00A15990" w:rsidRDefault="00686A62">
      <w:pPr>
        <w:pStyle w:val="P68B1DB1-Normal4"/>
        <w:keepNext/>
        <w:spacing w:before="40" w:after="0" w:line="259" w:lineRule="auto"/>
        <w:jc w:val="both"/>
        <w:rPr>
          <w:rFonts w:eastAsiaTheme="minorEastAsia" w:cs="Times New Roman"/>
          <w:noProof/>
        </w:rPr>
      </w:pPr>
      <w:r>
        <w:rPr>
          <w:noProof/>
        </w:rPr>
        <w:t xml:space="preserve">Aceste programe sunt menite să ofere soluții de georeferențiere a condițiilor de accesibilitate pe drumurile publice, clădirile publice și private și locurile de parcare pentru persoanele cu mobilitate redusă, să creeze o platformă digitală de informare care să agrege și să simplifice informațiile privind legislația relevantă și să sprijine resursele pentru persoanele cu handicap, precum și să ofere cetățenilor surzi un centru la cerere care să garanteze interpretarea în timp real în limbajul prin semne din Portugalia (LGP), disponibil pentru întreaga administrație publică. </w:t>
      </w:r>
    </w:p>
    <w:p w14:paraId="58A92AFD"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6CE3140F"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RE-C03-i06: Operațiuni integrate în comunitățile defavorizate din zonele metropolitane Lisabona și Porto</w:t>
      </w:r>
    </w:p>
    <w:p w14:paraId="5E856FB8"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măsuri pilot ample și inovatoare este de a combate sărăcia și excluziunea socială în cele mai defavorizate localități din zonele metropolitane Lisabona și Porto. Cu condiția ca intervențiile să aibă succes, acestea pot fi intensificate.</w:t>
      </w:r>
    </w:p>
    <w:p w14:paraId="401BD1D1"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într-un set de acțiuni legate de nevoile specifice ale acestor municipalități. Aceste acțiuni includ responsabilizarea comunităților, dezvoltarea unor abordări noi și inovatoare pentru coeziunea socială și intervenții în spațiul public, în infrastructurile sociale și sportive și în locuințe. Aceste acțiuni își propun, în special: </w:t>
      </w:r>
    </w:p>
    <w:p w14:paraId="064D0EF4"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Promovarea sănătății și a calității vieții comunităților prin sprijinirea proiectelor prezentate de asociații ale autorităților locale, ONG-uri, mișcări civice și organizații ale locuitorilor, autorități din domeniul sănătății sau alte organisme publice; </w:t>
      </w:r>
    </w:p>
    <w:p w14:paraId="554359D1"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Modernizarea fizică a spațiului public și a infrastructurii sociale, de sănătate, de locuințe sau sportive; </w:t>
      </w:r>
    </w:p>
    <w:p w14:paraId="13D98317"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Regenerarea zonelor defavorizate din punct de vedere social, promovarea coeziunii sociale în zonele metropolitane; </w:t>
      </w:r>
    </w:p>
    <w:p w14:paraId="1A86CCDE"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Încurajarea antreprenoriatului întreprinderilor mici, cu sediul la nivel local; </w:t>
      </w:r>
    </w:p>
    <w:p w14:paraId="406E2D60"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Îmbunătățirea accesului la sănătate și combaterea dependențelor;</w:t>
      </w:r>
    </w:p>
    <w:p w14:paraId="5DCF95B6"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Dezvoltarea unor programe de îmbătrânire activă și în condiții bune de sănătate; </w:t>
      </w:r>
    </w:p>
    <w:p w14:paraId="7FAF5F26"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Conceperea de proiecte de combatere a eșecului școlar și a abandonului școlar;</w:t>
      </w:r>
    </w:p>
    <w:p w14:paraId="05E23490"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Îmbunătățirea calificării adulților și certificarea competențelor acestora; </w:t>
      </w:r>
    </w:p>
    <w:p w14:paraId="52072040"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Diagnosticarea nevoilor populației și dezvoltarea alfabetizării adulților, a învățării limbii portugheze și a programelor de incluziune digitală; </w:t>
      </w:r>
    </w:p>
    <w:p w14:paraId="766D09F8"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Formare profesională și politici de promovare a capacității de inserție profesională adaptate realităților și dinamicii locale; </w:t>
      </w:r>
    </w:p>
    <w:p w14:paraId="50245D50"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Accesul la cultură și creativitate și valorificarea interculturalității; </w:t>
      </w:r>
    </w:p>
    <w:p w14:paraId="1E1CA766"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Încurajarea participării comunității la gestionarea programului în sine; </w:t>
      </w:r>
    </w:p>
    <w:p w14:paraId="4C4EA5A8"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Capacitarea actorilor locali în rețelele de parteneriat; </w:t>
      </w:r>
    </w:p>
    <w:p w14:paraId="00360151"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Soluții de combatere a sărăciei și a excluziunii sociale; </w:t>
      </w:r>
    </w:p>
    <w:p w14:paraId="32DD2764"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 xml:space="preserve">Promovarea sportului ca unul dintre instrumentele sociale care reunesc membrii comunității, promovează valorile și combate inegalitățile sociale; </w:t>
      </w:r>
    </w:p>
    <w:p w14:paraId="693CEC30" w14:textId="77777777" w:rsidR="00A15990" w:rsidRDefault="00686A62">
      <w:pPr>
        <w:pStyle w:val="P68B1DB1-Normal4"/>
        <w:keepNext/>
        <w:numPr>
          <w:ilvl w:val="0"/>
          <w:numId w:val="21"/>
        </w:numPr>
        <w:spacing w:before="40" w:after="160" w:line="259" w:lineRule="auto"/>
        <w:contextualSpacing/>
        <w:jc w:val="both"/>
        <w:rPr>
          <w:rFonts w:eastAsiaTheme="minorEastAsia" w:cs="Times New Roman"/>
          <w:noProof/>
        </w:rPr>
      </w:pPr>
      <w:r>
        <w:rPr>
          <w:noProof/>
        </w:rPr>
        <w:t>Cetățenia și accesul la drepturi și participarea civică.</w:t>
      </w:r>
    </w:p>
    <w:p w14:paraId="613DD2E4" w14:textId="77777777" w:rsidR="00A15990" w:rsidRDefault="00686A62">
      <w:pPr>
        <w:pStyle w:val="P68B1DB1-Normal4"/>
        <w:keepNext/>
        <w:spacing w:before="40" w:after="0" w:line="259" w:lineRule="auto"/>
        <w:jc w:val="both"/>
        <w:rPr>
          <w:rFonts w:eastAsiaTheme="minorEastAsia" w:cs="Times New Roman"/>
          <w:noProof/>
        </w:rPr>
      </w:pPr>
      <w:r>
        <w:rPr>
          <w:noProof/>
        </w:rPr>
        <w:t>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7"/>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8"/>
      </w:r>
      <w:r>
        <w:rPr>
          <w:noProof/>
        </w:rPr>
        <w:t>; activități legate de depozitele de deșeuri, incineratoarele</w:t>
      </w:r>
      <w:r>
        <w:rPr>
          <w:noProof/>
        </w:rPr>
        <w:footnoteReference w:id="9"/>
      </w:r>
      <w:r>
        <w:rPr>
          <w:noProof/>
        </w:rPr>
        <w:t xml:space="preserve"> și stațiile de tratare mecano-biologică</w:t>
      </w:r>
      <w:r>
        <w:rPr>
          <w:noProof/>
        </w:rPr>
        <w:footnoteReference w:id="10"/>
      </w:r>
      <w:r>
        <w:rPr>
          <w:noProof/>
        </w:rPr>
        <w:t xml:space="preserve">; și iv) activități în cazul cărora eliminarea pe termen lung a deșeurilor poate dăuna mediului. În plus, termenii de referință prevăd că pot fi selectate numai activitățile care respectă legislația UE și națională relevantă în materie de mediu. </w:t>
      </w:r>
    </w:p>
    <w:p w14:paraId="1112183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365B9857" w14:textId="03150B32" w:rsidR="00A15990" w:rsidRDefault="00686A62">
      <w:pPr>
        <w:pStyle w:val="P68B1DB1-Normal5"/>
        <w:keepNext/>
        <w:spacing w:before="240" w:after="0" w:line="259" w:lineRule="auto"/>
        <w:ind w:left="851"/>
        <w:jc w:val="both"/>
        <w:outlineLvl w:val="3"/>
        <w:rPr>
          <w:rFonts w:eastAsiaTheme="minorEastAsia" w:cs="Times New Roman"/>
          <w:noProof/>
        </w:rPr>
      </w:pPr>
      <w:bookmarkStart w:id="6" w:name="_Toc137472441"/>
      <w:r>
        <w:rPr>
          <w:noProof/>
        </w:rPr>
        <w:t>Investiția RE-C03-i07-RAA: Modernizarea și extinderea rețelei de centre rezidențiale de îngrijire a persoanelor în vârstă (ERPI)</w:t>
      </w:r>
      <w:bookmarkEnd w:id="6"/>
      <w:r>
        <w:rPr>
          <w:noProof/>
        </w:rPr>
        <w:t xml:space="preserve"> </w:t>
      </w:r>
    </w:p>
    <w:p w14:paraId="72F021BC" w14:textId="06996ABE"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oferi sprijin persoanelor în vârstă din Regiunea Autonomă Azore. </w:t>
      </w:r>
    </w:p>
    <w:p w14:paraId="014B2B3A" w14:textId="3DD1A0F6"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intervenții în centrele rezidențiale de îngrijire a persoanelor în vârstă (ERPI). Aceste intervenții includ extinderea și renovarea structurilor existente, acoperind 91 de locuri în centrele de îngrijire rezidențiale. </w:t>
      </w:r>
    </w:p>
    <w:p w14:paraId="3BC60259" w14:textId="69F9FA5D" w:rsidR="00A15990" w:rsidRDefault="00686A62">
      <w:pPr>
        <w:pStyle w:val="P68B1DB1-Normal4"/>
        <w:keepNext/>
        <w:spacing w:before="40" w:after="0" w:line="259" w:lineRule="auto"/>
        <w:jc w:val="both"/>
        <w:rPr>
          <w:rFonts w:eastAsiaTheme="minorEastAsia" w:cs="Times New Roman"/>
          <w:noProof/>
        </w:rPr>
      </w:pPr>
      <w:r>
        <w:rPr>
          <w:noProof/>
        </w:rPr>
        <w:t xml:space="preserve">Investiția contribuie la furnizarea de îngrijire specializată și continuă celor care au un nivel de dependență sau care trăiesc în situații precare care nu le permit să beneficieze de servicii de asistență la domiciliu. Infrastructura evită obstacolele și barierele din calea accesibilității fizice, în conformitate cu Convenția Națiunilor Unite privind drepturile persoanelor cu handicap și cu legislația națională, și anume Strategia națională pentru incluziunea persoanelor cu handicap. </w:t>
      </w:r>
    </w:p>
    <w:p w14:paraId="3654E59A"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martie 2026.</w:t>
      </w:r>
    </w:p>
    <w:p w14:paraId="4C31BC3F"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65F48950" w14:textId="595B40F9" w:rsidR="00A15990" w:rsidRDefault="00686A62">
      <w:pPr>
        <w:pStyle w:val="P68B1DB1-Heading214"/>
        <w:rPr>
          <w:noProof/>
        </w:rPr>
      </w:pPr>
      <w:bookmarkStart w:id="7" w:name="_Toc137472442"/>
      <w:r>
        <w:rPr>
          <w:noProof/>
        </w:rPr>
        <w:t>Reforma RE-C03-r38: Simplificarea și eficacitatea sistemului de securitate socială</w:t>
      </w:r>
    </w:p>
    <w:p w14:paraId="7144A198" w14:textId="0CEAF0E9" w:rsidR="00A15990" w:rsidRDefault="00686A62">
      <w:pPr>
        <w:pStyle w:val="P68B1DB1-Normal4"/>
        <w:keepNext/>
        <w:spacing w:before="40" w:after="0" w:line="259" w:lineRule="auto"/>
        <w:jc w:val="both"/>
        <w:rPr>
          <w:rFonts w:eastAsiaTheme="minorEastAsia" w:cs="Times New Roman"/>
          <w:noProof/>
        </w:rPr>
      </w:pPr>
      <w:r>
        <w:rPr>
          <w:noProof/>
        </w:rPr>
        <w:t>Obiectivul acestei reforme este de a simplifica sistemul de securitate socială din Portugalia („Sistema de Segurança Social”) pentru a spori eficacitatea acestuia în lupta împotriva sărăciei și a excluziunii sociale prin îmbunătățirea gradului de adecvare, de acoperire și de utilizare a prestațiilor sociale. Reforma urmărește să contribuie la obiectivele naționale ale Planului de acțiune privind Pilonul european al drepturilor sociale, și anume obiectivul de reducere a sărăciei cu 765 000 de persoane până în 2030, precum și la punerea în aplicare a principiilor Recomandării Consiliului privind un venit minim adecvat care să asigure incluziunea activă.</w:t>
      </w:r>
    </w:p>
    <w:p w14:paraId="70F834C2" w14:textId="77777777" w:rsidR="00A15990" w:rsidRDefault="00686A62">
      <w:pPr>
        <w:pStyle w:val="P68B1DB1-Normal4"/>
        <w:keepNext/>
        <w:spacing w:before="40" w:after="0" w:line="259" w:lineRule="auto"/>
        <w:jc w:val="both"/>
        <w:rPr>
          <w:rFonts w:eastAsiaTheme="minorEastAsia" w:cs="Times New Roman"/>
          <w:noProof/>
        </w:rPr>
      </w:pPr>
      <w:r>
        <w:rPr>
          <w:noProof/>
        </w:rPr>
        <w:t>Sistemul portughez de securitate socială cuprinde trei subsisteme: (I) sistemul de protecție socială a cetățeniei („Proteção Social de Cidadania”) sau regimul necontributiv; (II) sistemul de asigurări bazat pe contribuțiile angajaților și angajatorilor („Sistema Previdencial”) sau pe regimul contributiv; și (iii) sistemul suplimentar („Sistema Complementar”), care este voluntar și include sisteme complementare publice și private.</w:t>
      </w:r>
    </w:p>
    <w:p w14:paraId="7D0CF015" w14:textId="77777777" w:rsidR="00A15990" w:rsidRDefault="00686A62">
      <w:pPr>
        <w:pStyle w:val="P68B1DB1-Normal4"/>
        <w:keepNext/>
        <w:spacing w:before="40" w:after="0" w:line="259" w:lineRule="auto"/>
        <w:jc w:val="both"/>
        <w:rPr>
          <w:rFonts w:eastAsiaTheme="minorEastAsia" w:cs="Times New Roman"/>
          <w:noProof/>
        </w:rPr>
      </w:pPr>
      <w:r>
        <w:rPr>
          <w:noProof/>
        </w:rPr>
        <w:t>Reforma ține seama de un raport care urmează să fie elaborat de un grup de lucru la nivel de experți și de consultările corespunzătoare cu părțile interesate relevante și stabilește următoarele elemente:</w:t>
      </w:r>
    </w:p>
    <w:p w14:paraId="74634E56" w14:textId="77777777" w:rsidR="00A15990" w:rsidRDefault="00686A62">
      <w:pPr>
        <w:pStyle w:val="ListParagraph"/>
        <w:keepNext w:val="0"/>
        <w:numPr>
          <w:ilvl w:val="0"/>
          <w:numId w:val="73"/>
        </w:numPr>
        <w:spacing w:before="120" w:after="120" w:line="240" w:lineRule="auto"/>
        <w:rPr>
          <w:noProof/>
        </w:rPr>
      </w:pPr>
      <w:r>
        <w:rPr>
          <w:noProof/>
        </w:rPr>
        <w:t>O prestație socială unică. Aceasta consolidează cel puțin opt prestații sociale de tip necontributiv în cadrul sistemului de protecție socială a cetățeniei, inclusiv sistemul de venit minim („</w:t>
      </w:r>
      <w:r>
        <w:rPr>
          <w:i/>
          <w:noProof/>
        </w:rPr>
        <w:t>Rendimento Social de Inserção”</w:t>
      </w:r>
      <w:r>
        <w:rPr>
          <w:noProof/>
        </w:rPr>
        <w:t>). În comparație cu prestațiile sociale care urmează să fie consolidate, prestația socială unică asigură o acoperire cel puțin echivalentă pentru persoanele aflate într-o situație de vulnerabilitate economică și socială ridicată. Prestația socială unică contribuie la eliminarea suprapunerilor dintre sistemele existente, iar modul său de concepere promovează un acces mai simplu și mai direct la prestațiile sociale. Implicarea și consultarea cu partenerii sociali relevanți sunt asigurate pe parcursul procesului de concepere și punere în aplicare.</w:t>
      </w:r>
    </w:p>
    <w:bookmarkEnd w:id="7"/>
    <w:p w14:paraId="2D9DB4FE" w14:textId="2090F351" w:rsidR="00A15990" w:rsidRDefault="00686A62">
      <w:pPr>
        <w:pStyle w:val="ListParagraph"/>
        <w:keepNext w:val="0"/>
        <w:numPr>
          <w:ilvl w:val="0"/>
          <w:numId w:val="73"/>
        </w:numPr>
        <w:spacing w:before="120" w:after="120" w:line="240" w:lineRule="auto"/>
        <w:rPr>
          <w:noProof/>
        </w:rPr>
      </w:pPr>
      <w:r>
        <w:rPr>
          <w:noProof/>
        </w:rPr>
        <w:t>Un cod al prestațiilor sociale. Acest lucru simplifică, armonizează și consolidează legislația care reglementează prestațiile sociale pentru a asigura o mai mare transparență și o mai bună înțelegere a prestațiilor sociale disponibile. Codul prestațiilor sociale urmează modelul Codului sistemelor contributive („</w:t>
      </w:r>
      <w:r>
        <w:rPr>
          <w:i/>
          <w:noProof/>
        </w:rPr>
        <w:t>Código dos Regimes Contributivos do Sistema Previdencial de Segurança Social”</w:t>
      </w:r>
      <w:r>
        <w:rPr>
          <w:noProof/>
        </w:rPr>
        <w:t>), care acoperă în prezent doar unul dintre cele trei subsisteme de securitate socială menționate anterior.</w:t>
      </w:r>
    </w:p>
    <w:p w14:paraId="65BAB00F" w14:textId="14D4ADCA"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30 iunie 2026.</w:t>
      </w:r>
    </w:p>
    <w:p w14:paraId="1686E08F"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33E4D1C0" w14:textId="77777777" w:rsidR="00A15990" w:rsidRDefault="00A15990">
      <w:pPr>
        <w:keepNext/>
        <w:spacing w:before="40" w:after="0" w:line="259" w:lineRule="auto"/>
        <w:jc w:val="both"/>
        <w:rPr>
          <w:rFonts w:ascii="Times New Roman" w:hAnsi="Times New Roman" w:cs="Times New Roman"/>
          <w:noProof/>
          <w:sz w:val="24"/>
        </w:rPr>
        <w:sectPr w:rsidR="00A15990" w:rsidSect="00E00EDD">
          <w:headerReference w:type="even" r:id="rId72"/>
          <w:headerReference w:type="default" r:id="rId73"/>
          <w:footerReference w:type="even" r:id="rId74"/>
          <w:footerReference w:type="default" r:id="rId75"/>
          <w:headerReference w:type="first" r:id="rId76"/>
          <w:footerReference w:type="first" r:id="rId77"/>
          <w:pgSz w:w="11907" w:h="16839"/>
          <w:pgMar w:top="1134" w:right="1134" w:bottom="1134" w:left="1134" w:header="567" w:footer="567" w:gutter="0"/>
          <w:cols w:space="720"/>
          <w:docGrid w:linePitch="360"/>
        </w:sectPr>
      </w:pPr>
    </w:p>
    <w:p w14:paraId="6C4F7390"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C.2. Obiective de etapă, ținte, indicatori și calendar pentru monitorizarea și punerea în aplicare a sprijinului financiar nerambursabil</w:t>
      </w:r>
    </w:p>
    <w:p w14:paraId="3F759351" w14:textId="07276F59" w:rsidR="00A15990" w:rsidRDefault="00A15990">
      <w:pPr>
        <w:keepNext/>
        <w:spacing w:before="40" w:after="0" w:line="259" w:lineRule="auto"/>
        <w:jc w:val="both"/>
        <w:rPr>
          <w:rFonts w:ascii="Times New Roman" w:eastAsiaTheme="minorEastAsia" w:hAnsi="Times New Roman" w:cs="Times New Roman"/>
          <w:noProof/>
          <w:sz w:val="24"/>
        </w:rPr>
      </w:pPr>
    </w:p>
    <w:tbl>
      <w:tblPr>
        <w:tblW w:w="151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143"/>
        <w:gridCol w:w="982"/>
        <w:gridCol w:w="1740"/>
        <w:gridCol w:w="1486"/>
        <w:gridCol w:w="1014"/>
        <w:gridCol w:w="1014"/>
        <w:gridCol w:w="882"/>
        <w:gridCol w:w="680"/>
        <w:gridCol w:w="845"/>
        <w:gridCol w:w="4277"/>
      </w:tblGrid>
      <w:tr w:rsidR="00A15990" w14:paraId="14AD79ED" w14:textId="77777777">
        <w:trPr>
          <w:trHeight w:val="910"/>
          <w:tblHeader/>
        </w:trPr>
        <w:tc>
          <w:tcPr>
            <w:tcW w:w="1124" w:type="dxa"/>
            <w:vMerge w:val="restart"/>
            <w:shd w:val="clear" w:color="auto" w:fill="BDD6EE"/>
            <w:vAlign w:val="center"/>
            <w:hideMark/>
          </w:tcPr>
          <w:p w14:paraId="12E042F4"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143" w:type="dxa"/>
            <w:vMerge w:val="restart"/>
            <w:shd w:val="clear" w:color="auto" w:fill="BDD6EE"/>
            <w:vAlign w:val="center"/>
            <w:hideMark/>
          </w:tcPr>
          <w:p w14:paraId="40754ED3"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982" w:type="dxa"/>
            <w:vMerge w:val="restart"/>
            <w:shd w:val="clear" w:color="auto" w:fill="BDD6EE"/>
            <w:vAlign w:val="center"/>
            <w:hideMark/>
          </w:tcPr>
          <w:p w14:paraId="6F5DD9BA" w14:textId="0EE9A1D3" w:rsidR="00A15990" w:rsidRDefault="00686A62">
            <w:pPr>
              <w:pStyle w:val="P68B1DB1-Normal6"/>
              <w:spacing w:after="0" w:line="240" w:lineRule="auto"/>
              <w:jc w:val="center"/>
              <w:rPr>
                <w:rFonts w:eastAsia="Times New Roman" w:cs="Times New Roman"/>
                <w:noProof/>
              </w:rPr>
            </w:pPr>
            <w:r>
              <w:rPr>
                <w:noProof/>
              </w:rPr>
              <w:t>Etapă/Obiectiv</w:t>
            </w:r>
          </w:p>
        </w:tc>
        <w:tc>
          <w:tcPr>
            <w:tcW w:w="1740" w:type="dxa"/>
            <w:vMerge w:val="restart"/>
            <w:shd w:val="clear" w:color="auto" w:fill="BDD6EE"/>
            <w:vAlign w:val="center"/>
            <w:hideMark/>
          </w:tcPr>
          <w:p w14:paraId="7E76B60B" w14:textId="77777777" w:rsidR="00A15990" w:rsidRDefault="00686A62">
            <w:pPr>
              <w:pStyle w:val="P68B1DB1-Normal6"/>
              <w:spacing w:after="0" w:line="240" w:lineRule="auto"/>
              <w:jc w:val="center"/>
              <w:rPr>
                <w:rFonts w:eastAsia="Times New Roman" w:cs="Times New Roman"/>
                <w:noProof/>
              </w:rPr>
            </w:pPr>
            <w:r>
              <w:rPr>
                <w:noProof/>
              </w:rPr>
              <w:t>Nume</w:t>
            </w:r>
          </w:p>
        </w:tc>
        <w:tc>
          <w:tcPr>
            <w:tcW w:w="1486" w:type="dxa"/>
            <w:vMerge w:val="restart"/>
            <w:shd w:val="clear" w:color="auto" w:fill="BDD6EE"/>
            <w:vAlign w:val="center"/>
            <w:hideMark/>
          </w:tcPr>
          <w:p w14:paraId="2B32BF68"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910" w:type="dxa"/>
            <w:gridSpan w:val="3"/>
            <w:shd w:val="clear" w:color="auto" w:fill="BDD6EE"/>
            <w:vAlign w:val="center"/>
            <w:hideMark/>
          </w:tcPr>
          <w:p w14:paraId="54E5B28D"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525" w:type="dxa"/>
            <w:gridSpan w:val="2"/>
            <w:shd w:val="clear" w:color="auto" w:fill="BDD6EE"/>
            <w:vAlign w:val="center"/>
            <w:hideMark/>
          </w:tcPr>
          <w:p w14:paraId="0AFFA6CA"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277" w:type="dxa"/>
            <w:vMerge w:val="restart"/>
            <w:shd w:val="clear" w:color="auto" w:fill="BDD6EE"/>
            <w:vAlign w:val="center"/>
            <w:hideMark/>
          </w:tcPr>
          <w:p w14:paraId="0CAE4583"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3DC9B5E4" w14:textId="77777777">
        <w:trPr>
          <w:trHeight w:val="470"/>
          <w:tblHeader/>
        </w:trPr>
        <w:tc>
          <w:tcPr>
            <w:tcW w:w="1124" w:type="dxa"/>
            <w:vMerge/>
            <w:vAlign w:val="center"/>
            <w:hideMark/>
          </w:tcPr>
          <w:p w14:paraId="5E2B2993" w14:textId="77777777" w:rsidR="00A15990" w:rsidRDefault="00A15990">
            <w:pPr>
              <w:spacing w:after="0" w:line="240" w:lineRule="auto"/>
              <w:rPr>
                <w:rFonts w:ascii="Times New Roman" w:eastAsia="Times New Roman" w:hAnsi="Times New Roman" w:cs="Times New Roman"/>
                <w:b/>
                <w:noProof/>
                <w:sz w:val="18"/>
              </w:rPr>
            </w:pPr>
          </w:p>
        </w:tc>
        <w:tc>
          <w:tcPr>
            <w:tcW w:w="1143" w:type="dxa"/>
            <w:vMerge/>
            <w:vAlign w:val="center"/>
            <w:hideMark/>
          </w:tcPr>
          <w:p w14:paraId="38E6DA3F" w14:textId="77777777" w:rsidR="00A15990" w:rsidRDefault="00A15990">
            <w:pPr>
              <w:spacing w:after="0" w:line="240" w:lineRule="auto"/>
              <w:rPr>
                <w:rFonts w:ascii="Times New Roman" w:eastAsia="Times New Roman" w:hAnsi="Times New Roman" w:cs="Times New Roman"/>
                <w:b/>
                <w:noProof/>
                <w:sz w:val="18"/>
              </w:rPr>
            </w:pPr>
          </w:p>
        </w:tc>
        <w:tc>
          <w:tcPr>
            <w:tcW w:w="982" w:type="dxa"/>
            <w:vMerge/>
            <w:shd w:val="clear" w:color="auto" w:fill="BDD6EE"/>
            <w:vAlign w:val="center"/>
            <w:hideMark/>
          </w:tcPr>
          <w:p w14:paraId="0B4F87AB" w14:textId="41568FFB" w:rsidR="00A15990" w:rsidRDefault="00A15990">
            <w:pPr>
              <w:spacing w:after="0" w:line="240" w:lineRule="auto"/>
              <w:jc w:val="center"/>
              <w:rPr>
                <w:rFonts w:ascii="Times New Roman" w:eastAsia="Times New Roman" w:hAnsi="Times New Roman" w:cs="Times New Roman"/>
                <w:b/>
                <w:noProof/>
                <w:sz w:val="18"/>
              </w:rPr>
            </w:pPr>
          </w:p>
        </w:tc>
        <w:tc>
          <w:tcPr>
            <w:tcW w:w="1740" w:type="dxa"/>
            <w:vMerge/>
            <w:vAlign w:val="center"/>
            <w:hideMark/>
          </w:tcPr>
          <w:p w14:paraId="05146A5D" w14:textId="77777777" w:rsidR="00A15990" w:rsidRDefault="00A15990">
            <w:pPr>
              <w:spacing w:after="0" w:line="240" w:lineRule="auto"/>
              <w:rPr>
                <w:rFonts w:ascii="Times New Roman" w:eastAsia="Times New Roman" w:hAnsi="Times New Roman" w:cs="Times New Roman"/>
                <w:b/>
                <w:noProof/>
                <w:sz w:val="18"/>
              </w:rPr>
            </w:pPr>
          </w:p>
        </w:tc>
        <w:tc>
          <w:tcPr>
            <w:tcW w:w="1486" w:type="dxa"/>
            <w:vMerge/>
            <w:vAlign w:val="center"/>
            <w:hideMark/>
          </w:tcPr>
          <w:p w14:paraId="7B4130F2" w14:textId="77777777" w:rsidR="00A15990" w:rsidRDefault="00A15990">
            <w:pPr>
              <w:spacing w:after="0" w:line="240" w:lineRule="auto"/>
              <w:rPr>
                <w:rFonts w:ascii="Times New Roman" w:eastAsia="Times New Roman" w:hAnsi="Times New Roman" w:cs="Times New Roman"/>
                <w:b/>
                <w:noProof/>
                <w:sz w:val="18"/>
              </w:rPr>
            </w:pPr>
          </w:p>
        </w:tc>
        <w:tc>
          <w:tcPr>
            <w:tcW w:w="1014" w:type="dxa"/>
            <w:shd w:val="clear" w:color="auto" w:fill="BDD6EE"/>
            <w:vAlign w:val="center"/>
            <w:hideMark/>
          </w:tcPr>
          <w:p w14:paraId="0EFFB8D7"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1014" w:type="dxa"/>
            <w:shd w:val="clear" w:color="auto" w:fill="BDD6EE"/>
            <w:vAlign w:val="center"/>
            <w:hideMark/>
          </w:tcPr>
          <w:p w14:paraId="0362CC94"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882" w:type="dxa"/>
            <w:shd w:val="clear" w:color="auto" w:fill="BDD6EE"/>
            <w:vAlign w:val="center"/>
            <w:hideMark/>
          </w:tcPr>
          <w:p w14:paraId="004EED49"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680" w:type="dxa"/>
            <w:shd w:val="clear" w:color="auto" w:fill="BDD6EE"/>
            <w:vAlign w:val="center"/>
            <w:hideMark/>
          </w:tcPr>
          <w:p w14:paraId="6EF1C0BD" w14:textId="77777777" w:rsidR="00A15990" w:rsidRDefault="00686A62">
            <w:pPr>
              <w:pStyle w:val="P68B1DB1-Normal6"/>
              <w:spacing w:after="0" w:line="240" w:lineRule="auto"/>
              <w:jc w:val="center"/>
              <w:rPr>
                <w:rFonts w:eastAsia="Times New Roman" w:cs="Times New Roman"/>
                <w:noProof/>
              </w:rPr>
            </w:pPr>
            <w:r>
              <w:rPr>
                <w:noProof/>
              </w:rPr>
              <w:t>Q</w:t>
            </w:r>
          </w:p>
        </w:tc>
        <w:tc>
          <w:tcPr>
            <w:tcW w:w="845" w:type="dxa"/>
            <w:shd w:val="clear" w:color="auto" w:fill="BDD6EE"/>
            <w:vAlign w:val="center"/>
            <w:hideMark/>
          </w:tcPr>
          <w:p w14:paraId="4B7C0DD8" w14:textId="77777777" w:rsidR="00A15990" w:rsidRDefault="00686A62">
            <w:pPr>
              <w:pStyle w:val="P68B1DB1-Normal6"/>
              <w:spacing w:after="0" w:line="240" w:lineRule="auto"/>
              <w:jc w:val="center"/>
              <w:rPr>
                <w:rFonts w:eastAsia="Times New Roman" w:cs="Times New Roman"/>
                <w:noProof/>
              </w:rPr>
            </w:pPr>
            <w:r>
              <w:rPr>
                <w:noProof/>
              </w:rPr>
              <w:t>Anul</w:t>
            </w:r>
          </w:p>
        </w:tc>
        <w:tc>
          <w:tcPr>
            <w:tcW w:w="4277" w:type="dxa"/>
            <w:vMerge/>
            <w:vAlign w:val="center"/>
            <w:hideMark/>
          </w:tcPr>
          <w:p w14:paraId="712BF101" w14:textId="77777777" w:rsidR="00A15990" w:rsidRDefault="00A15990">
            <w:pPr>
              <w:spacing w:after="0" w:line="240" w:lineRule="auto"/>
              <w:rPr>
                <w:rFonts w:ascii="Times New Roman" w:eastAsia="Times New Roman" w:hAnsi="Times New Roman" w:cs="Times New Roman"/>
                <w:b/>
                <w:noProof/>
                <w:sz w:val="18"/>
              </w:rPr>
            </w:pPr>
          </w:p>
        </w:tc>
      </w:tr>
      <w:tr w:rsidR="00A15990" w14:paraId="4FB1DEE7" w14:textId="77777777">
        <w:trPr>
          <w:trHeight w:val="640"/>
        </w:trPr>
        <w:tc>
          <w:tcPr>
            <w:tcW w:w="1124" w:type="dxa"/>
            <w:shd w:val="clear" w:color="auto" w:fill="C5EFCE"/>
            <w:vAlign w:val="center"/>
            <w:hideMark/>
          </w:tcPr>
          <w:p w14:paraId="7E53AF7C" w14:textId="77777777" w:rsidR="00A15990" w:rsidRDefault="00686A62">
            <w:pPr>
              <w:pStyle w:val="P68B1DB1-Normal7"/>
              <w:spacing w:after="0" w:line="240" w:lineRule="auto"/>
              <w:jc w:val="center"/>
              <w:rPr>
                <w:rFonts w:eastAsia="Times New Roman" w:cs="Calibri"/>
                <w:noProof/>
              </w:rPr>
            </w:pPr>
            <w:r>
              <w:rPr>
                <w:noProof/>
              </w:rPr>
              <w:t>3.1</w:t>
            </w:r>
          </w:p>
        </w:tc>
        <w:tc>
          <w:tcPr>
            <w:tcW w:w="1143" w:type="dxa"/>
            <w:shd w:val="clear" w:color="auto" w:fill="C4EFCE"/>
            <w:vAlign w:val="center"/>
            <w:hideMark/>
          </w:tcPr>
          <w:p w14:paraId="6B802912" w14:textId="77777777" w:rsidR="00A15990" w:rsidRDefault="00686A62">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2EB48FA7"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F7B3BC" w14:textId="77777777" w:rsidR="00A15990" w:rsidRDefault="00686A62">
            <w:pPr>
              <w:pStyle w:val="P68B1DB1-Normal8"/>
              <w:spacing w:after="0" w:line="240" w:lineRule="auto"/>
              <w:jc w:val="center"/>
              <w:rPr>
                <w:rFonts w:eastAsia="Times New Roman" w:cs="Calibri"/>
                <w:noProof/>
              </w:rPr>
            </w:pPr>
            <w:r>
              <w:rPr>
                <w:noProof/>
              </w:rPr>
              <w:t>Livrarea de vehicule electrice</w:t>
            </w:r>
          </w:p>
        </w:tc>
        <w:tc>
          <w:tcPr>
            <w:tcW w:w="1486" w:type="dxa"/>
            <w:shd w:val="clear" w:color="auto" w:fill="C4EFCE"/>
            <w:vAlign w:val="center"/>
            <w:hideMark/>
          </w:tcPr>
          <w:p w14:paraId="3CB72ABC"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9EF364D"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4903172A"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69C9561" w14:textId="77777777" w:rsidR="00A15990" w:rsidRDefault="00686A62">
            <w:pPr>
              <w:pStyle w:val="P68B1DB1-Normal8"/>
              <w:spacing w:after="0" w:line="240" w:lineRule="auto"/>
              <w:jc w:val="center"/>
              <w:rPr>
                <w:rFonts w:eastAsia="Times New Roman" w:cs="Calibri"/>
                <w:noProof/>
              </w:rPr>
            </w:pPr>
            <w:r>
              <w:rPr>
                <w:noProof/>
              </w:rPr>
              <w:t>2 500</w:t>
            </w:r>
          </w:p>
        </w:tc>
        <w:tc>
          <w:tcPr>
            <w:tcW w:w="680" w:type="dxa"/>
            <w:shd w:val="clear" w:color="auto" w:fill="C4EFCE"/>
            <w:vAlign w:val="center"/>
            <w:hideMark/>
          </w:tcPr>
          <w:p w14:paraId="101B6C07" w14:textId="77777777" w:rsidR="00A15990" w:rsidRDefault="00686A62">
            <w:pPr>
              <w:pStyle w:val="P68B1DB1-Normal8"/>
              <w:spacing w:after="0" w:line="240" w:lineRule="auto"/>
              <w:jc w:val="center"/>
              <w:rPr>
                <w:rFonts w:eastAsia="Times New Roman" w:cs="Calibri"/>
                <w:noProof/>
              </w:rPr>
            </w:pPr>
            <w:r>
              <w:rPr>
                <w:noProof/>
              </w:rPr>
              <w:t>TRIMESTRUL 1</w:t>
            </w:r>
          </w:p>
        </w:tc>
        <w:tc>
          <w:tcPr>
            <w:tcW w:w="845" w:type="dxa"/>
            <w:shd w:val="clear" w:color="auto" w:fill="C4EFCE"/>
            <w:vAlign w:val="center"/>
            <w:hideMark/>
          </w:tcPr>
          <w:p w14:paraId="070C0E74" w14:textId="77777777" w:rsidR="00A15990" w:rsidRDefault="00686A62">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74933DAC" w14:textId="77777777" w:rsidR="00A15990" w:rsidRDefault="00686A62">
            <w:pPr>
              <w:pStyle w:val="P68B1DB1-Normal8"/>
              <w:spacing w:after="0" w:line="240" w:lineRule="auto"/>
              <w:jc w:val="both"/>
              <w:rPr>
                <w:rFonts w:eastAsia="Times New Roman" w:cs="Calibri"/>
                <w:noProof/>
              </w:rPr>
            </w:pPr>
            <w:r>
              <w:rPr>
                <w:noProof/>
              </w:rPr>
              <w:t>Livrarea către furnizorii de asistență socială și la domiciliu din cadrul Instituições Particulares de Solidariedade Social (IPSS) sau al unor entități similare de servicii sociale eligibile, de vehicule electrice noi adaptate pentru ajutorul la domiciliu și/sau pentru transportul persoanelor cu mobilitate redusă.</w:t>
            </w:r>
          </w:p>
        </w:tc>
      </w:tr>
      <w:tr w:rsidR="00A15990" w14:paraId="695A83D6" w14:textId="77777777">
        <w:trPr>
          <w:trHeight w:val="797"/>
        </w:trPr>
        <w:tc>
          <w:tcPr>
            <w:tcW w:w="1124" w:type="dxa"/>
            <w:shd w:val="clear" w:color="auto" w:fill="C5EFCE"/>
            <w:vAlign w:val="center"/>
            <w:hideMark/>
          </w:tcPr>
          <w:p w14:paraId="75C121A6" w14:textId="77777777" w:rsidR="00A15990" w:rsidRDefault="00686A62">
            <w:pPr>
              <w:pStyle w:val="P68B1DB1-Normal7"/>
              <w:spacing w:after="0" w:line="240" w:lineRule="auto"/>
              <w:jc w:val="center"/>
              <w:rPr>
                <w:rFonts w:eastAsia="Times New Roman" w:cs="Calibri"/>
                <w:noProof/>
              </w:rPr>
            </w:pPr>
            <w:r>
              <w:rPr>
                <w:noProof/>
              </w:rPr>
              <w:t>3.2</w:t>
            </w:r>
          </w:p>
        </w:tc>
        <w:tc>
          <w:tcPr>
            <w:tcW w:w="1143" w:type="dxa"/>
            <w:shd w:val="clear" w:color="auto" w:fill="C4EFCE"/>
            <w:vAlign w:val="center"/>
            <w:hideMark/>
          </w:tcPr>
          <w:p w14:paraId="0D34E66D" w14:textId="77777777" w:rsidR="00A15990" w:rsidRDefault="00686A62">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4178A6A9"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4C9E6AAD" w14:textId="77777777" w:rsidR="00A15990" w:rsidRDefault="00686A62">
            <w:pPr>
              <w:pStyle w:val="P68B1DB1-Normal8"/>
              <w:spacing w:after="0" w:line="240" w:lineRule="auto"/>
              <w:jc w:val="center"/>
              <w:rPr>
                <w:rFonts w:eastAsia="Times New Roman" w:cs="Calibri"/>
                <w:noProof/>
              </w:rPr>
            </w:pPr>
            <w:r>
              <w:rPr>
                <w:noProof/>
              </w:rPr>
              <w:t>Crearea echipelor de intervenție socială (Radar Social)</w:t>
            </w:r>
          </w:p>
        </w:tc>
        <w:tc>
          <w:tcPr>
            <w:tcW w:w="1486" w:type="dxa"/>
            <w:shd w:val="clear" w:color="auto" w:fill="C4EFCE"/>
            <w:vAlign w:val="center"/>
            <w:hideMark/>
          </w:tcPr>
          <w:p w14:paraId="746F3B0C"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A393125"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2F1F46F6"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DF22222" w14:textId="77777777" w:rsidR="00A15990" w:rsidRDefault="00686A62">
            <w:pPr>
              <w:pStyle w:val="P68B1DB1-Normal8"/>
              <w:spacing w:after="0" w:line="240" w:lineRule="auto"/>
              <w:jc w:val="center"/>
              <w:rPr>
                <w:rFonts w:eastAsia="Times New Roman" w:cs="Calibri"/>
                <w:noProof/>
              </w:rPr>
            </w:pPr>
            <w:r>
              <w:rPr>
                <w:noProof/>
              </w:rPr>
              <w:t>278</w:t>
            </w:r>
          </w:p>
        </w:tc>
        <w:tc>
          <w:tcPr>
            <w:tcW w:w="680" w:type="dxa"/>
            <w:shd w:val="clear" w:color="auto" w:fill="C4EFCE"/>
            <w:vAlign w:val="center"/>
            <w:hideMark/>
          </w:tcPr>
          <w:p w14:paraId="2D14593B"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00AFEEF9" w14:textId="77777777" w:rsidR="00A15990" w:rsidRDefault="00686A62">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786F8552" w14:textId="77777777" w:rsidR="00A15990" w:rsidRDefault="00686A62">
            <w:pPr>
              <w:pStyle w:val="P68B1DB1-Normal8"/>
              <w:spacing w:after="0" w:line="240" w:lineRule="auto"/>
              <w:jc w:val="both"/>
              <w:rPr>
                <w:rFonts w:eastAsia="Times New Roman" w:cs="Calibri"/>
                <w:noProof/>
              </w:rPr>
            </w:pPr>
            <w:r>
              <w:rPr>
                <w:noProof/>
              </w:rPr>
              <w:t>Crearea a 278 de echipe de intervenție socială în municipalitățile din Portugalia continentală.</w:t>
            </w:r>
          </w:p>
        </w:tc>
      </w:tr>
      <w:tr w:rsidR="00A15990" w14:paraId="6CA14E84" w14:textId="77777777">
        <w:trPr>
          <w:trHeight w:val="290"/>
        </w:trPr>
        <w:tc>
          <w:tcPr>
            <w:tcW w:w="1124" w:type="dxa"/>
            <w:shd w:val="clear" w:color="auto" w:fill="C5EFCE"/>
            <w:vAlign w:val="center"/>
            <w:hideMark/>
          </w:tcPr>
          <w:p w14:paraId="5080A772" w14:textId="77777777" w:rsidR="00A15990" w:rsidRDefault="00686A62">
            <w:pPr>
              <w:pStyle w:val="P68B1DB1-Normal7"/>
              <w:spacing w:after="0" w:line="240" w:lineRule="auto"/>
              <w:jc w:val="center"/>
              <w:rPr>
                <w:rFonts w:eastAsia="Times New Roman" w:cs="Calibri"/>
                <w:noProof/>
              </w:rPr>
            </w:pPr>
            <w:r>
              <w:rPr>
                <w:noProof/>
              </w:rPr>
              <w:t>3.3</w:t>
            </w:r>
          </w:p>
        </w:tc>
        <w:tc>
          <w:tcPr>
            <w:tcW w:w="1143" w:type="dxa"/>
            <w:shd w:val="clear" w:color="auto" w:fill="C4EFCE"/>
            <w:vAlign w:val="center"/>
            <w:hideMark/>
          </w:tcPr>
          <w:p w14:paraId="72A4A02B" w14:textId="77777777" w:rsidR="00A15990" w:rsidRDefault="00686A62">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30A19712"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422D5459" w14:textId="31604FA9" w:rsidR="00A15990" w:rsidRDefault="00686A62">
            <w:pPr>
              <w:pStyle w:val="P68B1DB1-Normal8"/>
              <w:spacing w:after="0" w:line="240" w:lineRule="auto"/>
              <w:jc w:val="center"/>
              <w:rPr>
                <w:rFonts w:eastAsia="Times New Roman" w:cs="Calibri"/>
                <w:noProof/>
              </w:rPr>
            </w:pPr>
            <w:r>
              <w:rPr>
                <w:noProof/>
              </w:rPr>
              <w:t xml:space="preserve"> Atribuirea de contracte de sprijin pentru organismele de promovare pentru crearea și extinderea rețelei de facilități sociale/răspunsuri sociale.</w:t>
            </w:r>
          </w:p>
        </w:tc>
        <w:tc>
          <w:tcPr>
            <w:tcW w:w="1486" w:type="dxa"/>
            <w:shd w:val="clear" w:color="auto" w:fill="C4EFCE"/>
            <w:vAlign w:val="center"/>
            <w:hideMark/>
          </w:tcPr>
          <w:p w14:paraId="6009A6C2" w14:textId="77777777" w:rsidR="00A15990" w:rsidRDefault="00686A62">
            <w:pPr>
              <w:pStyle w:val="P68B1DB1-Normal8"/>
              <w:spacing w:after="0" w:line="240" w:lineRule="auto"/>
              <w:jc w:val="center"/>
              <w:rPr>
                <w:rFonts w:eastAsia="Times New Roman" w:cs="Calibri"/>
                <w:noProof/>
              </w:rPr>
            </w:pPr>
            <w:r>
              <w:rPr>
                <w:noProof/>
              </w:rPr>
              <w:t>Atribuirea contractelor de sprijin pentru organismele de promovare a rețelei de facilități/răspunsuri sociale</w:t>
            </w:r>
          </w:p>
        </w:tc>
        <w:tc>
          <w:tcPr>
            <w:tcW w:w="1014" w:type="dxa"/>
            <w:shd w:val="clear" w:color="auto" w:fill="C4EFCE"/>
            <w:vAlign w:val="center"/>
            <w:hideMark/>
          </w:tcPr>
          <w:p w14:paraId="6D4F44CE"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50F74FF"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D080C51"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08CD4351" w14:textId="77777777" w:rsidR="00A15990" w:rsidRDefault="00686A62">
            <w:pPr>
              <w:pStyle w:val="P68B1DB1-Normal8"/>
              <w:spacing w:after="0" w:line="240" w:lineRule="auto"/>
              <w:jc w:val="center"/>
              <w:rPr>
                <w:rFonts w:eastAsia="Times New Roman" w:cs="Calibri"/>
                <w:noProof/>
              </w:rPr>
            </w:pPr>
            <w:r>
              <w:rPr>
                <w:noProof/>
              </w:rPr>
              <w:t>TRIMESTRUL 2</w:t>
            </w:r>
          </w:p>
        </w:tc>
        <w:tc>
          <w:tcPr>
            <w:tcW w:w="845" w:type="dxa"/>
            <w:shd w:val="clear" w:color="auto" w:fill="C4EFCE"/>
            <w:vAlign w:val="center"/>
            <w:hideMark/>
          </w:tcPr>
          <w:p w14:paraId="459C1D44" w14:textId="77777777" w:rsidR="00A15990" w:rsidRDefault="00686A62">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111BA54E" w14:textId="77777777" w:rsidR="00A15990" w:rsidRDefault="00686A62">
            <w:pPr>
              <w:pStyle w:val="P68B1DB1-Normal8"/>
              <w:spacing w:after="0" w:line="240" w:lineRule="auto"/>
              <w:jc w:val="both"/>
              <w:rPr>
                <w:rFonts w:eastAsia="Times New Roman" w:cs="Calibri"/>
                <w:noProof/>
              </w:rPr>
            </w:pPr>
            <w:r>
              <w:rPr>
                <w:noProof/>
              </w:rPr>
              <w:t>Atribuirea unui contract de sprijin pentru organismele de promovare care și-au depus candidatura pentru crearea și extinderea rețelei de facilități sociale/răspunsuri sociale (care acoperă copiii, persoanele în vârstă, persoanele cu handicap și altele) și despre care s-a constatat că sunt în conformitate cu regulamentul definit, în cadrul pachetului financiar disponibil. În cazul construcțiilor noi de clădiri, procedura de licitație asigură faptul că noile clădiri au o cerere de energie primară cu cel puțin 20 % mai mică decât cerințele pentru clădirile al căror consum de energie este aproape egal cu zero.</w:t>
            </w:r>
          </w:p>
        </w:tc>
      </w:tr>
      <w:tr w:rsidR="00A15990" w14:paraId="4DD2693C" w14:textId="77777777">
        <w:trPr>
          <w:trHeight w:val="1690"/>
        </w:trPr>
        <w:tc>
          <w:tcPr>
            <w:tcW w:w="1124" w:type="dxa"/>
            <w:shd w:val="clear" w:color="auto" w:fill="C5EFCE"/>
            <w:vAlign w:val="center"/>
            <w:hideMark/>
          </w:tcPr>
          <w:p w14:paraId="1A616AE0" w14:textId="0FB7E1D9" w:rsidR="00A15990" w:rsidRDefault="00686A62">
            <w:pPr>
              <w:pStyle w:val="P68B1DB1-Normal7"/>
              <w:spacing w:after="0" w:line="240" w:lineRule="auto"/>
              <w:jc w:val="center"/>
              <w:rPr>
                <w:rFonts w:eastAsia="Times New Roman" w:cs="Calibri"/>
                <w:noProof/>
              </w:rPr>
            </w:pPr>
            <w:r>
              <w:rPr>
                <w:noProof/>
              </w:rPr>
              <w:t>3.4</w:t>
            </w:r>
          </w:p>
        </w:tc>
        <w:tc>
          <w:tcPr>
            <w:tcW w:w="1143" w:type="dxa"/>
            <w:shd w:val="clear" w:color="auto" w:fill="C4EFCE"/>
            <w:vAlign w:val="center"/>
            <w:hideMark/>
          </w:tcPr>
          <w:p w14:paraId="264DD2D7" w14:textId="77777777" w:rsidR="00A15990" w:rsidRDefault="00686A62">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129E562E"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F5CCE8B" w14:textId="77777777" w:rsidR="00A15990" w:rsidRDefault="00686A62">
            <w:pPr>
              <w:pStyle w:val="P68B1DB1-Normal8"/>
              <w:spacing w:after="0" w:line="240" w:lineRule="auto"/>
              <w:jc w:val="center"/>
              <w:rPr>
                <w:rFonts w:eastAsia="Times New Roman" w:cs="Calibri"/>
                <w:noProof/>
              </w:rPr>
            </w:pPr>
            <w:r>
              <w:rPr>
                <w:noProof/>
              </w:rPr>
              <w:t>Crearea de noi locuri și renovarea locurilor existente în unitățile sociale</w:t>
            </w:r>
          </w:p>
        </w:tc>
        <w:tc>
          <w:tcPr>
            <w:tcW w:w="1486" w:type="dxa"/>
            <w:shd w:val="clear" w:color="auto" w:fill="C4EFCE"/>
            <w:vAlign w:val="center"/>
            <w:hideMark/>
          </w:tcPr>
          <w:p w14:paraId="066C8E4E"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D9BF7B8"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337AF5DB"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F36AC40" w14:textId="12FABD58" w:rsidR="00A15990" w:rsidRDefault="00686A62">
            <w:pPr>
              <w:pStyle w:val="P68B1DB1-Normal8"/>
              <w:spacing w:after="0" w:line="240" w:lineRule="auto"/>
              <w:jc w:val="center"/>
              <w:rPr>
                <w:rFonts w:eastAsia="Times New Roman" w:cs="Calibri"/>
                <w:noProof/>
              </w:rPr>
            </w:pPr>
            <w:r>
              <w:rPr>
                <w:noProof/>
              </w:rPr>
              <w:t>39 405</w:t>
            </w:r>
          </w:p>
        </w:tc>
        <w:tc>
          <w:tcPr>
            <w:tcW w:w="680" w:type="dxa"/>
            <w:shd w:val="clear" w:color="auto" w:fill="C4EFCE"/>
            <w:vAlign w:val="center"/>
            <w:hideMark/>
          </w:tcPr>
          <w:p w14:paraId="3F7AD6FC" w14:textId="77777777" w:rsidR="00A15990" w:rsidRDefault="00686A62">
            <w:pPr>
              <w:pStyle w:val="P68B1DB1-Normal8"/>
              <w:spacing w:after="0" w:line="240" w:lineRule="auto"/>
              <w:jc w:val="center"/>
              <w:rPr>
                <w:rFonts w:eastAsia="Times New Roman" w:cs="Calibri"/>
                <w:noProof/>
              </w:rPr>
            </w:pPr>
            <w:r>
              <w:rPr>
                <w:noProof/>
              </w:rPr>
              <w:t>TRIMESTRUL 1</w:t>
            </w:r>
          </w:p>
        </w:tc>
        <w:tc>
          <w:tcPr>
            <w:tcW w:w="845" w:type="dxa"/>
            <w:shd w:val="clear" w:color="auto" w:fill="C4EFCE"/>
            <w:vAlign w:val="center"/>
            <w:hideMark/>
          </w:tcPr>
          <w:p w14:paraId="6696632D" w14:textId="77777777" w:rsidR="00A15990" w:rsidRDefault="00686A62">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1334CAC8" w14:textId="2AA60661" w:rsidR="00A15990" w:rsidRDefault="00686A62">
            <w:pPr>
              <w:pStyle w:val="P68B1DB1-Normal8"/>
              <w:spacing w:after="0" w:line="240" w:lineRule="auto"/>
              <w:jc w:val="both"/>
              <w:rPr>
                <w:rFonts w:eastAsia="Times New Roman" w:cs="Calibri"/>
                <w:noProof/>
              </w:rPr>
            </w:pPr>
            <w:r>
              <w:rPr>
                <w:noProof/>
              </w:rPr>
              <w:t xml:space="preserve">Crearea a cel puțin 15 000 de locuri noi și renovarea locurilor rămase pentru copii, persoane în vârstă, persoane cu handicap și alte persoane vulnerabile în creșe, centre de îngrijire rezidențială pentru persoane în vârstă (ERPI), centre de îngrijire de zi, servicii de sprijin Domiciliar (DAS), centre de activități și responsabilizare pentru incluziune (CAIC), Residences for Autonomy and Inclusion și tipologii inovatoare. </w:t>
            </w:r>
          </w:p>
          <w:p w14:paraId="3267A930" w14:textId="663DC4DC" w:rsidR="00A15990" w:rsidRDefault="00686A62">
            <w:pPr>
              <w:pStyle w:val="P68B1DB1-Normal8"/>
              <w:spacing w:after="0" w:line="240" w:lineRule="auto"/>
              <w:jc w:val="both"/>
              <w:rPr>
                <w:rFonts w:eastAsia="Times New Roman" w:cs="Calibri"/>
                <w:noProof/>
              </w:rPr>
            </w:pPr>
            <w:r>
              <w:rPr>
                <w:noProof/>
              </w:rPr>
              <w:t>În cazul construirii de clădiri noi, noile clădiri trebuie să aibă o cerere de energie primară cu cel puțin 20 % mai mică decât cerințele pentru clădirile al căror consum de energie este aproape egal cu zero.</w:t>
            </w:r>
          </w:p>
        </w:tc>
      </w:tr>
      <w:tr w:rsidR="00A15990" w14:paraId="276146CB" w14:textId="77777777">
        <w:trPr>
          <w:trHeight w:val="1278"/>
        </w:trPr>
        <w:tc>
          <w:tcPr>
            <w:tcW w:w="1124" w:type="dxa"/>
            <w:shd w:val="clear" w:color="auto" w:fill="C5EFCE"/>
            <w:vAlign w:val="center"/>
            <w:hideMark/>
          </w:tcPr>
          <w:p w14:paraId="1C1BF1A0" w14:textId="77777777" w:rsidR="00A15990" w:rsidRDefault="00686A62">
            <w:pPr>
              <w:pStyle w:val="P68B1DB1-Normal7"/>
              <w:spacing w:after="0" w:line="240" w:lineRule="auto"/>
              <w:jc w:val="center"/>
              <w:rPr>
                <w:rFonts w:eastAsia="Times New Roman" w:cs="Calibri"/>
                <w:noProof/>
              </w:rPr>
            </w:pPr>
            <w:r>
              <w:rPr>
                <w:noProof/>
              </w:rPr>
              <w:t>3.5</w:t>
            </w:r>
          </w:p>
        </w:tc>
        <w:tc>
          <w:tcPr>
            <w:tcW w:w="1143" w:type="dxa"/>
            <w:shd w:val="clear" w:color="auto" w:fill="C4EFCE"/>
            <w:vAlign w:val="center"/>
            <w:hideMark/>
          </w:tcPr>
          <w:p w14:paraId="77113DE5" w14:textId="77777777" w:rsidR="00A15990" w:rsidRDefault="00686A62">
            <w:pPr>
              <w:pStyle w:val="P68B1DB1-Normal8"/>
              <w:spacing w:after="0" w:line="240" w:lineRule="auto"/>
              <w:jc w:val="center"/>
              <w:rPr>
                <w:rFonts w:eastAsia="Times New Roman" w:cs="Calibri"/>
                <w:noProof/>
              </w:rPr>
            </w:pPr>
            <w:r>
              <w:rPr>
                <w:noProof/>
              </w:rPr>
              <w:t>RE-C03-i01</w:t>
            </w:r>
          </w:p>
        </w:tc>
        <w:tc>
          <w:tcPr>
            <w:tcW w:w="982" w:type="dxa"/>
            <w:shd w:val="clear" w:color="auto" w:fill="C4EFCE"/>
            <w:vAlign w:val="center"/>
            <w:hideMark/>
          </w:tcPr>
          <w:p w14:paraId="6B8071ED"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99F7521" w14:textId="500588C1" w:rsidR="00A15990" w:rsidRDefault="00686A62">
            <w:pPr>
              <w:pStyle w:val="P68B1DB1-Normal8"/>
              <w:spacing w:after="0" w:line="240" w:lineRule="auto"/>
              <w:jc w:val="center"/>
              <w:rPr>
                <w:rFonts w:eastAsia="Times New Roman" w:cs="Calibri"/>
                <w:noProof/>
              </w:rPr>
            </w:pPr>
            <w:r>
              <w:rPr>
                <w:noProof/>
              </w:rPr>
              <w:t>Utilizatorii serviciilor de asistență la domiciliu și personalul care beneficiază de acces la tablete și la alte echipamente informatice și de comunicații, la echipamente de asistență tehnică sau la formare.</w:t>
            </w:r>
          </w:p>
        </w:tc>
        <w:tc>
          <w:tcPr>
            <w:tcW w:w="1486" w:type="dxa"/>
            <w:shd w:val="clear" w:color="auto" w:fill="C4EFCE"/>
            <w:vAlign w:val="center"/>
            <w:hideMark/>
          </w:tcPr>
          <w:p w14:paraId="355D3959"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46DD450"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1476D7C2"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E3FE706" w14:textId="7F5C4600" w:rsidR="00A15990" w:rsidRDefault="00686A62">
            <w:pPr>
              <w:pStyle w:val="P68B1DB1-Normal8"/>
              <w:spacing w:after="0" w:line="240" w:lineRule="auto"/>
              <w:jc w:val="center"/>
              <w:rPr>
                <w:rFonts w:eastAsia="Times New Roman" w:cs="Calibri"/>
                <w:noProof/>
              </w:rPr>
            </w:pPr>
            <w:r>
              <w:rPr>
                <w:noProof/>
              </w:rPr>
              <w:t>63 825</w:t>
            </w:r>
          </w:p>
        </w:tc>
        <w:tc>
          <w:tcPr>
            <w:tcW w:w="680" w:type="dxa"/>
            <w:shd w:val="clear" w:color="auto" w:fill="C4EFCE"/>
            <w:vAlign w:val="center"/>
            <w:hideMark/>
          </w:tcPr>
          <w:p w14:paraId="648E97D6" w14:textId="77777777" w:rsidR="00A15990" w:rsidRDefault="00686A62">
            <w:pPr>
              <w:pStyle w:val="P68B1DB1-Normal8"/>
              <w:spacing w:after="0" w:line="240" w:lineRule="auto"/>
              <w:jc w:val="center"/>
              <w:rPr>
                <w:rFonts w:eastAsia="Times New Roman" w:cs="Calibri"/>
                <w:noProof/>
              </w:rPr>
            </w:pPr>
            <w:r>
              <w:rPr>
                <w:noProof/>
              </w:rPr>
              <w:t>TRIMESTRUL 1</w:t>
            </w:r>
          </w:p>
        </w:tc>
        <w:tc>
          <w:tcPr>
            <w:tcW w:w="845" w:type="dxa"/>
            <w:shd w:val="clear" w:color="auto" w:fill="C4EFCE"/>
            <w:vAlign w:val="center"/>
            <w:hideMark/>
          </w:tcPr>
          <w:p w14:paraId="4D63D198" w14:textId="77777777" w:rsidR="00A15990" w:rsidRDefault="00686A62">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096CA0CB" w14:textId="5268AE85" w:rsidR="00A15990" w:rsidRDefault="00686A62">
            <w:pPr>
              <w:pStyle w:val="P68B1DB1-Normal8"/>
              <w:spacing w:after="0" w:line="240" w:lineRule="auto"/>
              <w:jc w:val="both"/>
              <w:rPr>
                <w:rFonts w:eastAsia="Times New Roman" w:cs="Calibri"/>
                <w:noProof/>
              </w:rPr>
            </w:pPr>
            <w:r>
              <w:rPr>
                <w:noProof/>
              </w:rPr>
              <w:t>Numărul de utilizatori sau de membri ai personalului serviciilor de asistență la domiciliu care primesc acces cel puțin la o tabletă și la alte echipamente informatice și de comunicații sau la echipamente de asistență tehnică sau la formare.</w:t>
            </w:r>
          </w:p>
        </w:tc>
      </w:tr>
      <w:tr w:rsidR="00A15990" w14:paraId="40CC812A" w14:textId="77777777">
        <w:trPr>
          <w:trHeight w:val="509"/>
        </w:trPr>
        <w:tc>
          <w:tcPr>
            <w:tcW w:w="1124" w:type="dxa"/>
            <w:shd w:val="clear" w:color="auto" w:fill="C5EFCE"/>
            <w:vAlign w:val="center"/>
            <w:hideMark/>
          </w:tcPr>
          <w:p w14:paraId="59E59251" w14:textId="6D4000F0" w:rsidR="00A15990" w:rsidRDefault="00686A62">
            <w:pPr>
              <w:pStyle w:val="P68B1DB1-Normal7"/>
              <w:spacing w:after="0" w:line="240" w:lineRule="auto"/>
              <w:jc w:val="center"/>
              <w:rPr>
                <w:rFonts w:eastAsia="Times New Roman" w:cs="Calibri"/>
                <w:noProof/>
              </w:rPr>
            </w:pPr>
            <w:r>
              <w:rPr>
                <w:noProof/>
              </w:rPr>
              <w:t>3.6</w:t>
            </w:r>
          </w:p>
        </w:tc>
        <w:tc>
          <w:tcPr>
            <w:tcW w:w="1143" w:type="dxa"/>
            <w:shd w:val="clear" w:color="auto" w:fill="C4EFCE"/>
            <w:vAlign w:val="center"/>
            <w:hideMark/>
          </w:tcPr>
          <w:p w14:paraId="572B0C95" w14:textId="77777777" w:rsidR="00A15990" w:rsidRDefault="00686A62">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98EA432" w14:textId="77777777" w:rsidR="00A15990" w:rsidRDefault="00686A62">
            <w:pPr>
              <w:pStyle w:val="P68B1DB1-Normal8"/>
              <w:spacing w:after="0" w:line="240" w:lineRule="auto"/>
              <w:jc w:val="center"/>
              <w:rPr>
                <w:rFonts w:eastAsia="Times New Roman" w:cs="Calibri"/>
                <w:noProof/>
              </w:rPr>
            </w:pPr>
            <w:r>
              <w:rPr>
                <w:noProof/>
              </w:rPr>
              <w:t> T</w:t>
            </w:r>
          </w:p>
        </w:tc>
        <w:tc>
          <w:tcPr>
            <w:tcW w:w="1740" w:type="dxa"/>
            <w:shd w:val="clear" w:color="auto" w:fill="C4EFCE"/>
            <w:vAlign w:val="center"/>
            <w:hideMark/>
          </w:tcPr>
          <w:p w14:paraId="603DD380" w14:textId="77777777" w:rsidR="00A15990" w:rsidRDefault="00686A62">
            <w:pPr>
              <w:pStyle w:val="P68B1DB1-Normal8"/>
              <w:spacing w:after="0" w:line="240" w:lineRule="auto"/>
              <w:jc w:val="center"/>
              <w:rPr>
                <w:rFonts w:eastAsia="Times New Roman" w:cs="Calibri"/>
                <w:noProof/>
              </w:rPr>
            </w:pPr>
            <w:r>
              <w:rPr>
                <w:noProof/>
              </w:rPr>
              <w:t>Locuințe cu accesibilitate îmbunătățită pentru persoanele cu mobilitate redusă</w:t>
            </w:r>
          </w:p>
        </w:tc>
        <w:tc>
          <w:tcPr>
            <w:tcW w:w="1486" w:type="dxa"/>
            <w:shd w:val="clear" w:color="auto" w:fill="C4EFCE"/>
            <w:vAlign w:val="center"/>
            <w:hideMark/>
          </w:tcPr>
          <w:p w14:paraId="3EE7BE53"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B7D5469"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721C2D50"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3E0348DA" w14:textId="77777777" w:rsidR="00A15990" w:rsidRDefault="00686A62">
            <w:pPr>
              <w:pStyle w:val="P68B1DB1-Normal8"/>
              <w:spacing w:after="0" w:line="240" w:lineRule="auto"/>
              <w:jc w:val="center"/>
              <w:rPr>
                <w:rFonts w:eastAsia="Times New Roman" w:cs="Calibri"/>
                <w:noProof/>
              </w:rPr>
            </w:pPr>
            <w:r>
              <w:rPr>
                <w:noProof/>
              </w:rPr>
              <w:t>190</w:t>
            </w:r>
          </w:p>
        </w:tc>
        <w:tc>
          <w:tcPr>
            <w:tcW w:w="680" w:type="dxa"/>
            <w:shd w:val="clear" w:color="auto" w:fill="C4EFCE"/>
            <w:vAlign w:val="center"/>
            <w:hideMark/>
          </w:tcPr>
          <w:p w14:paraId="1F0EB787" w14:textId="77777777" w:rsidR="00A15990" w:rsidRDefault="00686A62">
            <w:pPr>
              <w:pStyle w:val="P68B1DB1-Normal8"/>
              <w:spacing w:after="0" w:line="240" w:lineRule="auto"/>
              <w:jc w:val="center"/>
              <w:rPr>
                <w:rFonts w:eastAsia="Times New Roman" w:cs="Calibri"/>
                <w:noProof/>
              </w:rPr>
            </w:pPr>
            <w:r>
              <w:rPr>
                <w:noProof/>
              </w:rPr>
              <w:t>TRIMESTRUL 2</w:t>
            </w:r>
          </w:p>
        </w:tc>
        <w:tc>
          <w:tcPr>
            <w:tcW w:w="845" w:type="dxa"/>
            <w:shd w:val="clear" w:color="auto" w:fill="C4EFCE"/>
            <w:vAlign w:val="center"/>
            <w:hideMark/>
          </w:tcPr>
          <w:p w14:paraId="12A371D7" w14:textId="11F671CD" w:rsidR="00A15990" w:rsidRDefault="00686A62">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52F6A3" w14:textId="77777777" w:rsidR="00A15990" w:rsidRDefault="00686A62">
            <w:pPr>
              <w:pStyle w:val="P68B1DB1-Normal8"/>
              <w:spacing w:after="0" w:line="240" w:lineRule="auto"/>
              <w:jc w:val="both"/>
              <w:rPr>
                <w:rFonts w:eastAsia="Times New Roman" w:cs="Calibri"/>
                <w:noProof/>
              </w:rPr>
            </w:pPr>
            <w:r>
              <w:rPr>
                <w:noProof/>
              </w:rPr>
              <w:t>Numărul de locuințe (cu o suprafață medie de 40 m²) care beneficiază de intervenții pentru îmbunătățirea condițiilor de accesibilitate pentru persoanele cu mobilitate redusă.</w:t>
            </w:r>
          </w:p>
        </w:tc>
      </w:tr>
      <w:tr w:rsidR="00A15990" w14:paraId="105F1008" w14:textId="77777777">
        <w:trPr>
          <w:trHeight w:val="969"/>
        </w:trPr>
        <w:tc>
          <w:tcPr>
            <w:tcW w:w="1124" w:type="dxa"/>
            <w:shd w:val="clear" w:color="auto" w:fill="C5EFCE"/>
            <w:vAlign w:val="center"/>
            <w:hideMark/>
          </w:tcPr>
          <w:p w14:paraId="28A12150" w14:textId="77777777" w:rsidR="00A15990" w:rsidRDefault="00686A62">
            <w:pPr>
              <w:pStyle w:val="P68B1DB1-Normal7"/>
              <w:spacing w:after="0" w:line="240" w:lineRule="auto"/>
              <w:jc w:val="center"/>
              <w:rPr>
                <w:rFonts w:eastAsia="Times New Roman" w:cs="Calibri"/>
                <w:noProof/>
              </w:rPr>
            </w:pPr>
            <w:r>
              <w:rPr>
                <w:noProof/>
              </w:rPr>
              <w:t>3.7</w:t>
            </w:r>
          </w:p>
        </w:tc>
        <w:tc>
          <w:tcPr>
            <w:tcW w:w="1143" w:type="dxa"/>
            <w:shd w:val="clear" w:color="auto" w:fill="C4EFCE"/>
            <w:vAlign w:val="center"/>
            <w:hideMark/>
          </w:tcPr>
          <w:p w14:paraId="4887AF7C" w14:textId="77777777" w:rsidR="00A15990" w:rsidRDefault="00686A62">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18641572"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2977162" w14:textId="77777777" w:rsidR="00A15990" w:rsidRDefault="00686A62">
            <w:pPr>
              <w:pStyle w:val="P68B1DB1-Normal8"/>
              <w:spacing w:after="0" w:line="240" w:lineRule="auto"/>
              <w:jc w:val="center"/>
              <w:rPr>
                <w:rFonts w:eastAsia="Times New Roman" w:cs="Calibri"/>
                <w:noProof/>
              </w:rPr>
            </w:pPr>
            <w:r>
              <w:rPr>
                <w:noProof/>
              </w:rPr>
              <w:t>Locuințe cu accesibilitate îmbunătățită pentru persoanele cu mobilitate redusă</w:t>
            </w:r>
          </w:p>
        </w:tc>
        <w:tc>
          <w:tcPr>
            <w:tcW w:w="1486" w:type="dxa"/>
            <w:shd w:val="clear" w:color="auto" w:fill="C4EFCE"/>
            <w:vAlign w:val="center"/>
            <w:hideMark/>
          </w:tcPr>
          <w:p w14:paraId="16E59492"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08161F6"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7E97C154" w14:textId="77777777" w:rsidR="00A15990" w:rsidRDefault="00686A62">
            <w:pPr>
              <w:pStyle w:val="P68B1DB1-Normal8"/>
              <w:spacing w:after="0" w:line="240" w:lineRule="auto"/>
              <w:jc w:val="center"/>
              <w:rPr>
                <w:rFonts w:eastAsia="Times New Roman" w:cs="Calibri"/>
                <w:noProof/>
              </w:rPr>
            </w:pPr>
            <w:r>
              <w:rPr>
                <w:noProof/>
              </w:rPr>
              <w:t>190</w:t>
            </w:r>
          </w:p>
        </w:tc>
        <w:tc>
          <w:tcPr>
            <w:tcW w:w="882" w:type="dxa"/>
            <w:shd w:val="clear" w:color="auto" w:fill="C4EFCE"/>
            <w:vAlign w:val="center"/>
            <w:hideMark/>
          </w:tcPr>
          <w:p w14:paraId="1EE09EBE" w14:textId="77777777" w:rsidR="00A15990" w:rsidRDefault="00686A62">
            <w:pPr>
              <w:pStyle w:val="P68B1DB1-Normal8"/>
              <w:spacing w:after="0" w:line="240" w:lineRule="auto"/>
              <w:jc w:val="center"/>
              <w:rPr>
                <w:rFonts w:eastAsia="Times New Roman" w:cs="Calibri"/>
                <w:noProof/>
              </w:rPr>
            </w:pPr>
            <w:r>
              <w:rPr>
                <w:noProof/>
              </w:rPr>
              <w:t>1 000</w:t>
            </w:r>
          </w:p>
        </w:tc>
        <w:tc>
          <w:tcPr>
            <w:tcW w:w="680" w:type="dxa"/>
            <w:shd w:val="clear" w:color="auto" w:fill="C4EFCE"/>
            <w:vAlign w:val="center"/>
            <w:hideMark/>
          </w:tcPr>
          <w:p w14:paraId="2A369B58"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0BF23AEA"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66CAE278" w14:textId="36788C6E" w:rsidR="00A15990" w:rsidRDefault="00686A62">
            <w:pPr>
              <w:pStyle w:val="P68B1DB1-Normal8"/>
              <w:spacing w:after="0" w:line="240" w:lineRule="auto"/>
              <w:jc w:val="both"/>
              <w:rPr>
                <w:rFonts w:eastAsia="Times New Roman" w:cs="Calibri"/>
                <w:noProof/>
              </w:rPr>
            </w:pPr>
            <w:r>
              <w:rPr>
                <w:noProof/>
              </w:rPr>
              <w:t xml:space="preserve">Numărul de locuințe (cu o suprafață medie de 40 m²) care beneficiază de intervenții pentru îmbunătățirea condițiilor de accesibilitate pentru persoanele cu mobilitate redusă. </w:t>
            </w:r>
          </w:p>
        </w:tc>
      </w:tr>
      <w:tr w:rsidR="00A15990" w14:paraId="0E79D576" w14:textId="77777777">
        <w:trPr>
          <w:trHeight w:val="509"/>
        </w:trPr>
        <w:tc>
          <w:tcPr>
            <w:tcW w:w="1124" w:type="dxa"/>
            <w:shd w:val="clear" w:color="auto" w:fill="C5EFCE"/>
            <w:vAlign w:val="center"/>
            <w:hideMark/>
          </w:tcPr>
          <w:p w14:paraId="29F6AEBE" w14:textId="77777777" w:rsidR="00A15990" w:rsidRDefault="00686A62">
            <w:pPr>
              <w:pStyle w:val="P68B1DB1-Normal7"/>
              <w:spacing w:after="0" w:line="240" w:lineRule="auto"/>
              <w:jc w:val="center"/>
              <w:rPr>
                <w:rFonts w:eastAsia="Times New Roman" w:cs="Calibri"/>
                <w:noProof/>
              </w:rPr>
            </w:pPr>
            <w:r>
              <w:rPr>
                <w:noProof/>
              </w:rPr>
              <w:t>3.8</w:t>
            </w:r>
          </w:p>
        </w:tc>
        <w:tc>
          <w:tcPr>
            <w:tcW w:w="1143" w:type="dxa"/>
            <w:shd w:val="clear" w:color="auto" w:fill="C4EFCE"/>
            <w:vAlign w:val="center"/>
            <w:hideMark/>
          </w:tcPr>
          <w:p w14:paraId="779A6C76" w14:textId="77777777" w:rsidR="00A15990" w:rsidRDefault="00686A62">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7A3FE8F8"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0D966E9" w14:textId="77777777" w:rsidR="00A15990" w:rsidRDefault="00686A62">
            <w:pPr>
              <w:pStyle w:val="P68B1DB1-Normal8"/>
              <w:spacing w:after="0" w:line="240" w:lineRule="auto"/>
              <w:jc w:val="center"/>
              <w:rPr>
                <w:rFonts w:eastAsia="Times New Roman" w:cs="Calibri"/>
                <w:noProof/>
              </w:rPr>
            </w:pPr>
            <w:r>
              <w:rPr>
                <w:noProof/>
              </w:rPr>
              <w:t xml:space="preserve">Spațiu public cu o accesibilitate îmbunătățită pentru persoanele cu mobilitate redusă </w:t>
            </w:r>
          </w:p>
        </w:tc>
        <w:tc>
          <w:tcPr>
            <w:tcW w:w="1486" w:type="dxa"/>
            <w:shd w:val="clear" w:color="auto" w:fill="C4EFCE"/>
            <w:vAlign w:val="center"/>
            <w:hideMark/>
          </w:tcPr>
          <w:p w14:paraId="2F4DB304"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D96709"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7952ADA7"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3DCDF0B" w14:textId="3EC07D00" w:rsidR="00A15990" w:rsidRDefault="00686A62">
            <w:pPr>
              <w:pStyle w:val="P68B1DB1-Normal8"/>
              <w:spacing w:after="0" w:line="240" w:lineRule="auto"/>
              <w:jc w:val="center"/>
              <w:rPr>
                <w:rFonts w:eastAsia="Times New Roman" w:cs="Calibri"/>
                <w:noProof/>
              </w:rPr>
            </w:pPr>
            <w:r>
              <w:rPr>
                <w:noProof/>
              </w:rPr>
              <w:t>200 000</w:t>
            </w:r>
          </w:p>
        </w:tc>
        <w:tc>
          <w:tcPr>
            <w:tcW w:w="680" w:type="dxa"/>
            <w:shd w:val="clear" w:color="auto" w:fill="C4EFCE"/>
            <w:vAlign w:val="center"/>
            <w:hideMark/>
          </w:tcPr>
          <w:p w14:paraId="7B65A11A"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04E2693F"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CEC40AB" w14:textId="77777777" w:rsidR="00A15990" w:rsidRDefault="00686A62">
            <w:pPr>
              <w:pStyle w:val="P68B1DB1-Normal8"/>
              <w:spacing w:after="0" w:line="240" w:lineRule="auto"/>
              <w:jc w:val="both"/>
              <w:rPr>
                <w:rFonts w:eastAsia="Times New Roman" w:cs="Calibri"/>
                <w:noProof/>
              </w:rPr>
            </w:pPr>
            <w:r>
              <w:rPr>
                <w:noProof/>
              </w:rPr>
              <w:t>Suprafața spațiului public (pătrate, trotuare etc.) în metri pătrați care beneficiază de intervenții (în principal nivelarea pasarelelor, trecerea prin calea ferată, reglarea traficului, repoziționarea infrastructurii și a mobilierului stradal, îmbunătățirea accesului la clădiri) pentru a îmbunătăți condițiile de accesibilitate pentru persoanele cu mobilitate redusă.</w:t>
            </w:r>
          </w:p>
        </w:tc>
      </w:tr>
      <w:tr w:rsidR="00A15990" w14:paraId="5F588498" w14:textId="77777777">
        <w:trPr>
          <w:trHeight w:val="1120"/>
        </w:trPr>
        <w:tc>
          <w:tcPr>
            <w:tcW w:w="1124" w:type="dxa"/>
            <w:shd w:val="clear" w:color="auto" w:fill="C5EFCE"/>
            <w:vAlign w:val="center"/>
            <w:hideMark/>
          </w:tcPr>
          <w:p w14:paraId="36901FF3" w14:textId="77777777" w:rsidR="00A15990" w:rsidRDefault="00686A62">
            <w:pPr>
              <w:pStyle w:val="P68B1DB1-Normal7"/>
              <w:spacing w:after="0" w:line="240" w:lineRule="auto"/>
              <w:jc w:val="center"/>
              <w:rPr>
                <w:rFonts w:eastAsia="Times New Roman" w:cs="Calibri"/>
                <w:noProof/>
              </w:rPr>
            </w:pPr>
            <w:r>
              <w:rPr>
                <w:noProof/>
              </w:rPr>
              <w:t>3.9</w:t>
            </w:r>
          </w:p>
        </w:tc>
        <w:tc>
          <w:tcPr>
            <w:tcW w:w="1143" w:type="dxa"/>
            <w:shd w:val="clear" w:color="auto" w:fill="C4EFCE"/>
            <w:vAlign w:val="center"/>
            <w:hideMark/>
          </w:tcPr>
          <w:p w14:paraId="52268B9C" w14:textId="77777777" w:rsidR="00A15990" w:rsidRDefault="00686A62">
            <w:pPr>
              <w:pStyle w:val="P68B1DB1-Normal8"/>
              <w:spacing w:after="0" w:line="240" w:lineRule="auto"/>
              <w:jc w:val="center"/>
              <w:rPr>
                <w:rFonts w:eastAsia="Times New Roman" w:cs="Calibri"/>
                <w:noProof/>
              </w:rPr>
            </w:pPr>
            <w:r>
              <w:rPr>
                <w:noProof/>
              </w:rPr>
              <w:t>RE-C03-i02</w:t>
            </w:r>
          </w:p>
        </w:tc>
        <w:tc>
          <w:tcPr>
            <w:tcW w:w="982" w:type="dxa"/>
            <w:shd w:val="clear" w:color="auto" w:fill="C4EFCE"/>
            <w:vAlign w:val="center"/>
            <w:hideMark/>
          </w:tcPr>
          <w:p w14:paraId="2BC6D3D0"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05B89ADF" w14:textId="77777777" w:rsidR="00A15990" w:rsidRDefault="00686A62">
            <w:pPr>
              <w:pStyle w:val="P68B1DB1-Normal8"/>
              <w:spacing w:after="0" w:line="240" w:lineRule="auto"/>
              <w:jc w:val="center"/>
              <w:rPr>
                <w:rFonts w:eastAsia="Times New Roman" w:cs="Calibri"/>
                <w:noProof/>
              </w:rPr>
            </w:pPr>
            <w:r>
              <w:rPr>
                <w:noProof/>
              </w:rPr>
              <w:t xml:space="preserve">Servicii publice cu acces îmbunătățit pentru persoanele cu mobilitate redusă </w:t>
            </w:r>
          </w:p>
        </w:tc>
        <w:tc>
          <w:tcPr>
            <w:tcW w:w="1486" w:type="dxa"/>
            <w:shd w:val="clear" w:color="auto" w:fill="C4EFCE"/>
            <w:vAlign w:val="center"/>
            <w:hideMark/>
          </w:tcPr>
          <w:p w14:paraId="161A1B5B"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2982A55"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229CC22B"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72D1A371" w14:textId="77777777" w:rsidR="00A15990" w:rsidRDefault="00686A62">
            <w:pPr>
              <w:pStyle w:val="P68B1DB1-Normal8"/>
              <w:spacing w:after="0" w:line="240" w:lineRule="auto"/>
              <w:jc w:val="center"/>
              <w:rPr>
                <w:rFonts w:eastAsia="Times New Roman" w:cs="Calibri"/>
                <w:noProof/>
              </w:rPr>
            </w:pPr>
            <w:r>
              <w:rPr>
                <w:noProof/>
              </w:rPr>
              <w:t>1 500</w:t>
            </w:r>
          </w:p>
        </w:tc>
        <w:tc>
          <w:tcPr>
            <w:tcW w:w="680" w:type="dxa"/>
            <w:shd w:val="clear" w:color="auto" w:fill="C4EFCE"/>
            <w:vAlign w:val="center"/>
            <w:hideMark/>
          </w:tcPr>
          <w:p w14:paraId="6F782341"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6EED6288"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3E9E73B" w14:textId="77777777" w:rsidR="00A15990" w:rsidRDefault="00686A62">
            <w:pPr>
              <w:pStyle w:val="P68B1DB1-Normal8"/>
              <w:spacing w:after="0" w:line="240" w:lineRule="auto"/>
              <w:jc w:val="both"/>
              <w:rPr>
                <w:rFonts w:eastAsia="Times New Roman" w:cs="Calibri"/>
                <w:noProof/>
              </w:rPr>
            </w:pPr>
            <w:r>
              <w:rPr>
                <w:noProof/>
              </w:rPr>
              <w:t xml:space="preserve">Numărul de infrastructuri de servicii publice care beneficiază de intervenții (în principal rampe și uși de acces la clădiri, ghișee și instalații sanitare adoptate pentru persoanele cu handicap) pentru a îmbunătăți condițiile de accesibilitate pentru persoanele cu mobilitate redusă. </w:t>
            </w:r>
          </w:p>
        </w:tc>
      </w:tr>
      <w:tr w:rsidR="00A15990" w14:paraId="69D82E93" w14:textId="77777777">
        <w:trPr>
          <w:trHeight w:val="1395"/>
        </w:trPr>
        <w:tc>
          <w:tcPr>
            <w:tcW w:w="1124" w:type="dxa"/>
            <w:shd w:val="clear" w:color="auto" w:fill="C5EFCE"/>
            <w:vAlign w:val="center"/>
            <w:hideMark/>
          </w:tcPr>
          <w:p w14:paraId="61E3A3F7" w14:textId="77777777" w:rsidR="00A15990" w:rsidRDefault="00686A62">
            <w:pPr>
              <w:pStyle w:val="P68B1DB1-Normal7"/>
              <w:spacing w:after="0" w:line="240" w:lineRule="auto"/>
              <w:jc w:val="center"/>
              <w:rPr>
                <w:rFonts w:eastAsia="Times New Roman" w:cs="Calibri"/>
                <w:noProof/>
              </w:rPr>
            </w:pPr>
            <w:r>
              <w:rPr>
                <w:noProof/>
              </w:rPr>
              <w:t>3.10</w:t>
            </w:r>
          </w:p>
        </w:tc>
        <w:tc>
          <w:tcPr>
            <w:tcW w:w="1143" w:type="dxa"/>
            <w:shd w:val="clear" w:color="auto" w:fill="C4EFCE"/>
            <w:vAlign w:val="center"/>
            <w:hideMark/>
          </w:tcPr>
          <w:p w14:paraId="75163862" w14:textId="77777777" w:rsidR="00A15990" w:rsidRDefault="00686A62">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707DF8E4"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BC2353F" w14:textId="04A2B32C" w:rsidR="00A15990" w:rsidRDefault="00686A62">
            <w:pPr>
              <w:pStyle w:val="P68B1DB1-Normal8"/>
              <w:spacing w:after="0" w:line="240" w:lineRule="auto"/>
              <w:jc w:val="center"/>
              <w:rPr>
                <w:rFonts w:eastAsia="Times New Roman" w:cs="Calibri"/>
                <w:noProof/>
              </w:rPr>
            </w:pPr>
            <w:r>
              <w:rPr>
                <w:noProof/>
              </w:rPr>
              <w:t xml:space="preserve">Locuri noi și reabilitate în centre de îngrijire rezidențiale și nerezidențiale </w:t>
            </w:r>
          </w:p>
        </w:tc>
        <w:tc>
          <w:tcPr>
            <w:tcW w:w="1486" w:type="dxa"/>
            <w:shd w:val="clear" w:color="auto" w:fill="C4EFCE"/>
            <w:vAlign w:val="center"/>
            <w:hideMark/>
          </w:tcPr>
          <w:p w14:paraId="54817373"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536DA26"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245B8F57"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796C489" w14:textId="77777777" w:rsidR="00A15990" w:rsidRDefault="00686A62">
            <w:pPr>
              <w:pStyle w:val="P68B1DB1-Normal8"/>
              <w:spacing w:after="0" w:line="240" w:lineRule="auto"/>
              <w:jc w:val="center"/>
              <w:rPr>
                <w:rFonts w:eastAsia="Times New Roman" w:cs="Calibri"/>
                <w:noProof/>
              </w:rPr>
            </w:pPr>
            <w:r>
              <w:rPr>
                <w:noProof/>
              </w:rPr>
              <w:t>910</w:t>
            </w:r>
          </w:p>
        </w:tc>
        <w:tc>
          <w:tcPr>
            <w:tcW w:w="680" w:type="dxa"/>
            <w:shd w:val="clear" w:color="auto" w:fill="C4EFCE"/>
            <w:vAlign w:val="center"/>
            <w:hideMark/>
          </w:tcPr>
          <w:p w14:paraId="1DFEA3FF" w14:textId="13AEB4A7" w:rsidR="00A15990" w:rsidRDefault="00686A62">
            <w:pPr>
              <w:pStyle w:val="P68B1DB1-Normal8"/>
              <w:spacing w:after="0" w:line="240" w:lineRule="auto"/>
              <w:jc w:val="center"/>
              <w:rPr>
                <w:rFonts w:eastAsia="Times New Roman" w:cs="Calibri"/>
                <w:noProof/>
              </w:rPr>
            </w:pPr>
            <w:r>
              <w:rPr>
                <w:noProof/>
              </w:rPr>
              <w:t>TRIMESTRUL 3</w:t>
            </w:r>
          </w:p>
        </w:tc>
        <w:tc>
          <w:tcPr>
            <w:tcW w:w="845" w:type="dxa"/>
            <w:shd w:val="clear" w:color="auto" w:fill="C4EFCE"/>
            <w:vAlign w:val="center"/>
            <w:hideMark/>
          </w:tcPr>
          <w:p w14:paraId="4CE63A83" w14:textId="65E00CC5"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75F9B5E" w14:textId="7A69E91F" w:rsidR="00A15990" w:rsidRDefault="00686A62">
            <w:pPr>
              <w:pStyle w:val="P68B1DB1-Normal8"/>
              <w:spacing w:after="0" w:line="240" w:lineRule="auto"/>
              <w:jc w:val="both"/>
              <w:rPr>
                <w:rFonts w:eastAsia="Times New Roman" w:cs="Calibri"/>
                <w:noProof/>
              </w:rPr>
            </w:pPr>
            <w:r>
              <w:rPr>
                <w:noProof/>
              </w:rPr>
              <w:t>Numărul de locuri noi și reabilitate disponibile în centrele de îngrijire rezidențiale și nerezidențiale (inclusiv centrele de zi și centrele de noapte) din Regiunea Autonomă Madeira. Clădirile noi au o cerere de energie primară cu cel puțin 20 % sub cerințele clădirilor al căror consum de energie este aproape egal cu zero, iar clădirile reabilitate și o performanță energetică îmbunătățită.</w:t>
            </w:r>
          </w:p>
        </w:tc>
      </w:tr>
      <w:tr w:rsidR="00A15990" w14:paraId="707B112D" w14:textId="77777777">
        <w:trPr>
          <w:trHeight w:val="821"/>
        </w:trPr>
        <w:tc>
          <w:tcPr>
            <w:tcW w:w="1124" w:type="dxa"/>
            <w:shd w:val="clear" w:color="auto" w:fill="C5EFCE"/>
            <w:vAlign w:val="center"/>
            <w:hideMark/>
          </w:tcPr>
          <w:p w14:paraId="257FBDE8" w14:textId="77777777" w:rsidR="00A15990" w:rsidRDefault="00686A62">
            <w:pPr>
              <w:pStyle w:val="P68B1DB1-Normal7"/>
              <w:spacing w:after="0" w:line="240" w:lineRule="auto"/>
              <w:jc w:val="center"/>
              <w:rPr>
                <w:rFonts w:eastAsia="Times New Roman" w:cs="Calibri"/>
                <w:noProof/>
              </w:rPr>
            </w:pPr>
            <w:r>
              <w:rPr>
                <w:noProof/>
              </w:rPr>
              <w:t>3.11</w:t>
            </w:r>
          </w:p>
        </w:tc>
        <w:tc>
          <w:tcPr>
            <w:tcW w:w="1143" w:type="dxa"/>
            <w:shd w:val="clear" w:color="auto" w:fill="C4EFCE"/>
            <w:vAlign w:val="center"/>
            <w:hideMark/>
          </w:tcPr>
          <w:p w14:paraId="30A53477" w14:textId="77777777" w:rsidR="00A15990" w:rsidRDefault="00686A62">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hideMark/>
          </w:tcPr>
          <w:p w14:paraId="4CDA8223"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5BF4870" w14:textId="0787763E" w:rsidR="00A15990" w:rsidRDefault="00686A62">
            <w:pPr>
              <w:pStyle w:val="P68B1DB1-Normal8"/>
              <w:spacing w:after="0" w:line="240" w:lineRule="auto"/>
              <w:jc w:val="center"/>
              <w:rPr>
                <w:rFonts w:eastAsia="Times New Roman" w:cs="Calibri"/>
                <w:noProof/>
              </w:rPr>
            </w:pPr>
            <w:r>
              <w:rPr>
                <w:noProof/>
              </w:rPr>
              <w:t>Planurile LIFE pentru integrarea persoanelor fără adăpost.</w:t>
            </w:r>
          </w:p>
        </w:tc>
        <w:tc>
          <w:tcPr>
            <w:tcW w:w="1486" w:type="dxa"/>
            <w:shd w:val="clear" w:color="auto" w:fill="C4EFCE"/>
            <w:vAlign w:val="center"/>
            <w:hideMark/>
          </w:tcPr>
          <w:p w14:paraId="464AD4B7"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CF5D34"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11375CE0" w14:textId="77777777" w:rsidR="00A15990" w:rsidRDefault="00686A62">
            <w:pPr>
              <w:pStyle w:val="P68B1DB1-Normal8"/>
              <w:spacing w:after="0" w:line="240" w:lineRule="auto"/>
              <w:jc w:val="center"/>
              <w:rPr>
                <w:rFonts w:eastAsia="Times New Roman" w:cs="Calibri"/>
                <w:noProof/>
              </w:rPr>
            </w:pPr>
            <w:r>
              <w:rPr>
                <w:noProof/>
              </w:rPr>
              <w:t> 0</w:t>
            </w:r>
          </w:p>
        </w:tc>
        <w:tc>
          <w:tcPr>
            <w:tcW w:w="882" w:type="dxa"/>
            <w:shd w:val="clear" w:color="auto" w:fill="C4EFCE"/>
            <w:vAlign w:val="center"/>
            <w:hideMark/>
          </w:tcPr>
          <w:p w14:paraId="13F2ADB5" w14:textId="77777777" w:rsidR="00A15990" w:rsidRDefault="00686A62">
            <w:pPr>
              <w:pStyle w:val="P68B1DB1-Normal8"/>
              <w:spacing w:after="0" w:line="240" w:lineRule="auto"/>
              <w:jc w:val="center"/>
              <w:rPr>
                <w:rFonts w:eastAsia="Times New Roman" w:cs="Calibri"/>
                <w:noProof/>
              </w:rPr>
            </w:pPr>
            <w:r>
              <w:rPr>
                <w:noProof/>
              </w:rPr>
              <w:t>20</w:t>
            </w:r>
          </w:p>
        </w:tc>
        <w:tc>
          <w:tcPr>
            <w:tcW w:w="680" w:type="dxa"/>
            <w:shd w:val="clear" w:color="auto" w:fill="C4EFCE"/>
            <w:vAlign w:val="center"/>
            <w:hideMark/>
          </w:tcPr>
          <w:p w14:paraId="5FFEB24C"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490AFAA1" w14:textId="77777777" w:rsidR="00A15990" w:rsidRDefault="00686A62">
            <w:pPr>
              <w:pStyle w:val="P68B1DB1-Normal8"/>
              <w:spacing w:after="0" w:line="240" w:lineRule="auto"/>
              <w:jc w:val="center"/>
              <w:rPr>
                <w:rFonts w:eastAsia="Times New Roman" w:cs="Calibri"/>
                <w:noProof/>
              </w:rPr>
            </w:pPr>
            <w:r>
              <w:rPr>
                <w:noProof/>
              </w:rPr>
              <w:t>2022</w:t>
            </w:r>
          </w:p>
        </w:tc>
        <w:tc>
          <w:tcPr>
            <w:tcW w:w="4277" w:type="dxa"/>
            <w:shd w:val="clear" w:color="auto" w:fill="C4EFCE"/>
            <w:vAlign w:val="center"/>
            <w:hideMark/>
          </w:tcPr>
          <w:p w14:paraId="453DD757" w14:textId="33BC55B8" w:rsidR="00A15990" w:rsidRDefault="00686A62">
            <w:pPr>
              <w:pStyle w:val="P68B1DB1-Normal8"/>
              <w:spacing w:after="0" w:line="240" w:lineRule="auto"/>
              <w:jc w:val="both"/>
              <w:rPr>
                <w:rFonts w:eastAsia="Times New Roman" w:cs="Calibri"/>
                <w:noProof/>
              </w:rPr>
            </w:pPr>
            <w:r>
              <w:rPr>
                <w:noProof/>
              </w:rPr>
              <w:t xml:space="preserve">Numărul de planuri de viață pentru integrarea persoanelor fără adăpost semnate. </w:t>
            </w:r>
          </w:p>
        </w:tc>
      </w:tr>
      <w:tr w:rsidR="00A15990" w14:paraId="5D7D39EC" w14:textId="77777777">
        <w:trPr>
          <w:trHeight w:val="1105"/>
        </w:trPr>
        <w:tc>
          <w:tcPr>
            <w:tcW w:w="1124" w:type="dxa"/>
            <w:shd w:val="clear" w:color="auto" w:fill="C5EFCE"/>
            <w:vAlign w:val="center"/>
          </w:tcPr>
          <w:p w14:paraId="0F0EA38A" w14:textId="312A5487" w:rsidR="00A15990" w:rsidRDefault="00686A62">
            <w:pPr>
              <w:pStyle w:val="P68B1DB1-Normal7"/>
              <w:spacing w:after="0" w:line="240" w:lineRule="auto"/>
              <w:jc w:val="center"/>
              <w:rPr>
                <w:rFonts w:eastAsia="Times New Roman" w:cs="Calibri"/>
                <w:noProof/>
              </w:rPr>
            </w:pPr>
            <w:r>
              <w:rPr>
                <w:noProof/>
              </w:rPr>
              <w:t>3.27</w:t>
            </w:r>
          </w:p>
        </w:tc>
        <w:tc>
          <w:tcPr>
            <w:tcW w:w="1143" w:type="dxa"/>
            <w:shd w:val="clear" w:color="auto" w:fill="C4EFCE"/>
            <w:vAlign w:val="center"/>
          </w:tcPr>
          <w:p w14:paraId="3FA49D08" w14:textId="0B592BB4" w:rsidR="00A15990" w:rsidRDefault="00686A62">
            <w:pPr>
              <w:pStyle w:val="P68B1DB1-Normal8"/>
              <w:spacing w:after="0" w:line="240" w:lineRule="auto"/>
              <w:jc w:val="center"/>
              <w:rPr>
                <w:rFonts w:eastAsia="Times New Roman" w:cs="Calibri"/>
                <w:noProof/>
              </w:rPr>
            </w:pPr>
            <w:r>
              <w:rPr>
                <w:noProof/>
              </w:rPr>
              <w:t>RE-C03-i03-RAM</w:t>
            </w:r>
          </w:p>
        </w:tc>
        <w:tc>
          <w:tcPr>
            <w:tcW w:w="982" w:type="dxa"/>
            <w:shd w:val="clear" w:color="auto" w:fill="C4EFCE"/>
            <w:vAlign w:val="center"/>
          </w:tcPr>
          <w:p w14:paraId="292902B7" w14:textId="13929E9E"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tcPr>
          <w:p w14:paraId="2559F2E9" w14:textId="37016788" w:rsidR="00A15990" w:rsidRDefault="00686A62">
            <w:pPr>
              <w:pStyle w:val="P68B1DB1-Normal8"/>
              <w:spacing w:after="0" w:line="240" w:lineRule="auto"/>
              <w:jc w:val="center"/>
              <w:rPr>
                <w:rFonts w:eastAsia="Times New Roman" w:cs="Calibri"/>
                <w:noProof/>
              </w:rPr>
            </w:pPr>
            <w:r>
              <w:rPr>
                <w:noProof/>
              </w:rPr>
              <w:t>Numărul de locuri din centrele de îngrijire care sprijină persoanele fără adăpost</w:t>
            </w:r>
          </w:p>
        </w:tc>
        <w:tc>
          <w:tcPr>
            <w:tcW w:w="1486" w:type="dxa"/>
            <w:shd w:val="clear" w:color="auto" w:fill="C4EFCE"/>
            <w:vAlign w:val="center"/>
          </w:tcPr>
          <w:p w14:paraId="06C8929D" w14:textId="77777777" w:rsidR="00A15990" w:rsidRDefault="00A15990">
            <w:pPr>
              <w:spacing w:after="0" w:line="240" w:lineRule="auto"/>
              <w:jc w:val="center"/>
              <w:rPr>
                <w:rFonts w:ascii="Calibri" w:eastAsia="Times New Roman" w:hAnsi="Calibri" w:cs="Calibri"/>
                <w:noProof/>
                <w:sz w:val="16"/>
              </w:rPr>
            </w:pPr>
          </w:p>
        </w:tc>
        <w:tc>
          <w:tcPr>
            <w:tcW w:w="1014" w:type="dxa"/>
            <w:shd w:val="clear" w:color="auto" w:fill="C4EFCE"/>
            <w:vAlign w:val="center"/>
          </w:tcPr>
          <w:p w14:paraId="57AD4CD4" w14:textId="1F41F955"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tcPr>
          <w:p w14:paraId="2E6938E8" w14:textId="74AF9E43"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tcPr>
          <w:p w14:paraId="15B8F899" w14:textId="776DB2B8" w:rsidR="00A15990" w:rsidRDefault="00686A62">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tcPr>
          <w:p w14:paraId="7425B0AA" w14:textId="34EAD914"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tcPr>
          <w:p w14:paraId="64F7549B" w14:textId="0738F9EF"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tcPr>
          <w:p w14:paraId="56B65A2B" w14:textId="77777777" w:rsidR="00A15990" w:rsidRDefault="00686A62">
            <w:pPr>
              <w:pStyle w:val="P68B1DB1-Normal8"/>
              <w:spacing w:after="0" w:line="240" w:lineRule="auto"/>
              <w:jc w:val="both"/>
              <w:rPr>
                <w:rFonts w:eastAsia="Times New Roman" w:cs="Calibri"/>
                <w:noProof/>
              </w:rPr>
            </w:pPr>
            <w:r>
              <w:rPr>
                <w:noProof/>
              </w:rPr>
              <w:t>Numărul de locuri create în centre de îngrijire care sprijină persoanele fără adăpost.</w:t>
            </w:r>
          </w:p>
          <w:p w14:paraId="7F75990B" w14:textId="2CADF931" w:rsidR="00A15990" w:rsidRDefault="00686A62">
            <w:pPr>
              <w:pStyle w:val="P68B1DB1-Normal8"/>
              <w:spacing w:after="0" w:line="240" w:lineRule="auto"/>
              <w:jc w:val="both"/>
              <w:rPr>
                <w:rFonts w:eastAsia="Times New Roman" w:cs="Calibri"/>
                <w:noProof/>
              </w:rPr>
            </w:pPr>
            <w:r>
              <w:rPr>
                <w:noProof/>
              </w:rPr>
              <w:t>În cazul construcțiilor noi, clădirile noi trebuie să aibă o cerere de energie primară cu cel puțin 20 % mai mică decât cerințele pentru clădirile al căror consum de energie este aproape egal cu zero.</w:t>
            </w:r>
          </w:p>
        </w:tc>
      </w:tr>
      <w:tr w:rsidR="00A15990" w14:paraId="03AF048D" w14:textId="77777777">
        <w:trPr>
          <w:trHeight w:val="1142"/>
        </w:trPr>
        <w:tc>
          <w:tcPr>
            <w:tcW w:w="1124" w:type="dxa"/>
            <w:shd w:val="clear" w:color="auto" w:fill="C5EFCE"/>
            <w:vAlign w:val="center"/>
            <w:hideMark/>
          </w:tcPr>
          <w:p w14:paraId="3C4ECCC1" w14:textId="77777777" w:rsidR="00A15990" w:rsidRDefault="00686A62">
            <w:pPr>
              <w:pStyle w:val="P68B1DB1-Normal7"/>
              <w:spacing w:after="0" w:line="240" w:lineRule="auto"/>
              <w:jc w:val="center"/>
              <w:rPr>
                <w:rFonts w:eastAsia="Times New Roman" w:cs="Calibri"/>
                <w:noProof/>
              </w:rPr>
            </w:pPr>
            <w:r>
              <w:rPr>
                <w:noProof/>
              </w:rPr>
              <w:t>3.12</w:t>
            </w:r>
          </w:p>
        </w:tc>
        <w:tc>
          <w:tcPr>
            <w:tcW w:w="1143" w:type="dxa"/>
            <w:shd w:val="clear" w:color="auto" w:fill="C4EFCE"/>
            <w:vAlign w:val="center"/>
            <w:hideMark/>
          </w:tcPr>
          <w:p w14:paraId="3611E70C" w14:textId="77777777" w:rsidR="00A15990" w:rsidRDefault="00686A62">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67D99684"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1703A05" w14:textId="4B599E15" w:rsidR="00A15990" w:rsidRDefault="00686A62">
            <w:pPr>
              <w:pStyle w:val="P68B1DB1-Normal8"/>
              <w:spacing w:after="0" w:line="240" w:lineRule="auto"/>
              <w:jc w:val="center"/>
              <w:rPr>
                <w:rFonts w:eastAsia="Times New Roman" w:cs="Calibri"/>
                <w:noProof/>
              </w:rPr>
            </w:pPr>
            <w:r>
              <w:rPr>
                <w:noProof/>
              </w:rPr>
              <w:t>Formarea persoanelor care provin din familii care beneficiază de venitul de incluziune socială</w:t>
            </w:r>
          </w:p>
        </w:tc>
        <w:tc>
          <w:tcPr>
            <w:tcW w:w="1486" w:type="dxa"/>
            <w:shd w:val="clear" w:color="auto" w:fill="C4EFCE"/>
            <w:vAlign w:val="center"/>
            <w:hideMark/>
          </w:tcPr>
          <w:p w14:paraId="696E9327"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521027FE"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50DB1988"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006F6395" w14:textId="5B315001" w:rsidR="00A15990" w:rsidRDefault="00686A62">
            <w:pPr>
              <w:pStyle w:val="P68B1DB1-Normal8"/>
              <w:spacing w:after="0" w:line="240" w:lineRule="auto"/>
              <w:jc w:val="center"/>
              <w:rPr>
                <w:rFonts w:eastAsia="Times New Roman" w:cs="Calibri"/>
                <w:noProof/>
              </w:rPr>
            </w:pPr>
            <w:r>
              <w:rPr>
                <w:noProof/>
              </w:rPr>
              <w:t>4 000</w:t>
            </w:r>
          </w:p>
        </w:tc>
        <w:tc>
          <w:tcPr>
            <w:tcW w:w="680" w:type="dxa"/>
            <w:shd w:val="clear" w:color="auto" w:fill="C4EFCE"/>
            <w:vAlign w:val="center"/>
            <w:hideMark/>
          </w:tcPr>
          <w:p w14:paraId="4C4BF131"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1870C922"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39E0E49C" w14:textId="20B3C5B6" w:rsidR="00A15990" w:rsidRDefault="00686A62">
            <w:pPr>
              <w:pStyle w:val="P68B1DB1-Normal8"/>
              <w:spacing w:after="0" w:line="240" w:lineRule="auto"/>
              <w:jc w:val="both"/>
              <w:rPr>
                <w:rFonts w:eastAsia="Times New Roman" w:cs="Calibri"/>
                <w:noProof/>
              </w:rPr>
            </w:pPr>
            <w:r>
              <w:rPr>
                <w:noProof/>
              </w:rPr>
              <w:t>Numărul de persoane din familii, acoperite de venitul de incluziune socială, care urmează 650 de cursuri de formare pentru a le permite să intre pe piața forței de muncă.</w:t>
            </w:r>
          </w:p>
        </w:tc>
      </w:tr>
      <w:tr w:rsidR="00A15990" w14:paraId="7EC1340A" w14:textId="77777777">
        <w:trPr>
          <w:trHeight w:val="509"/>
        </w:trPr>
        <w:tc>
          <w:tcPr>
            <w:tcW w:w="1124" w:type="dxa"/>
            <w:shd w:val="clear" w:color="auto" w:fill="C5EFCE"/>
            <w:vAlign w:val="center"/>
            <w:hideMark/>
          </w:tcPr>
          <w:p w14:paraId="6C4E3A76" w14:textId="77777777" w:rsidR="00A15990" w:rsidRDefault="00686A62">
            <w:pPr>
              <w:pStyle w:val="P68B1DB1-Normal7"/>
              <w:spacing w:after="0" w:line="240" w:lineRule="auto"/>
              <w:jc w:val="center"/>
              <w:rPr>
                <w:rFonts w:eastAsia="Times New Roman" w:cs="Calibri"/>
                <w:noProof/>
              </w:rPr>
            </w:pPr>
            <w:r>
              <w:rPr>
                <w:noProof/>
              </w:rPr>
              <w:t>3.13</w:t>
            </w:r>
          </w:p>
        </w:tc>
        <w:tc>
          <w:tcPr>
            <w:tcW w:w="1143" w:type="dxa"/>
            <w:shd w:val="clear" w:color="auto" w:fill="C4EFCE"/>
            <w:vAlign w:val="center"/>
            <w:hideMark/>
          </w:tcPr>
          <w:p w14:paraId="1025A546" w14:textId="77777777" w:rsidR="00A15990" w:rsidRDefault="00686A62">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0F423132"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7965F891" w14:textId="0DD7203E" w:rsidR="00A15990" w:rsidRDefault="00686A62">
            <w:pPr>
              <w:pStyle w:val="P68B1DB1-Normal8"/>
              <w:spacing w:after="0" w:line="240" w:lineRule="auto"/>
              <w:jc w:val="center"/>
              <w:rPr>
                <w:rFonts w:eastAsia="Times New Roman" w:cs="Calibri"/>
                <w:noProof/>
              </w:rPr>
            </w:pPr>
            <w:r>
              <w:rPr>
                <w:noProof/>
              </w:rPr>
              <w:t>Noi locuri pentru persoanele cu handicap în centre de îngrijire care sprijină persoanele cu handicap</w:t>
            </w:r>
          </w:p>
        </w:tc>
        <w:tc>
          <w:tcPr>
            <w:tcW w:w="1486" w:type="dxa"/>
            <w:shd w:val="clear" w:color="auto" w:fill="C4EFCE"/>
            <w:vAlign w:val="center"/>
            <w:hideMark/>
          </w:tcPr>
          <w:p w14:paraId="57FDD5B9"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FFD0E92"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6A24D43F"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21EF7398" w14:textId="7D224638" w:rsidR="00A15990" w:rsidRDefault="00686A62">
            <w:pPr>
              <w:pStyle w:val="P68B1DB1-Normal8"/>
              <w:spacing w:after="0" w:line="240" w:lineRule="auto"/>
              <w:jc w:val="center"/>
              <w:rPr>
                <w:rFonts w:eastAsia="Times New Roman" w:cs="Calibri"/>
                <w:noProof/>
              </w:rPr>
            </w:pPr>
            <w:r>
              <w:rPr>
                <w:noProof/>
              </w:rPr>
              <w:t>207</w:t>
            </w:r>
          </w:p>
        </w:tc>
        <w:tc>
          <w:tcPr>
            <w:tcW w:w="680" w:type="dxa"/>
            <w:shd w:val="clear" w:color="auto" w:fill="C4EFCE"/>
            <w:vAlign w:val="center"/>
            <w:hideMark/>
          </w:tcPr>
          <w:p w14:paraId="7A32479C" w14:textId="10FC90E4" w:rsidR="00A15990" w:rsidRDefault="00686A62">
            <w:pPr>
              <w:pStyle w:val="P68B1DB1-Normal8"/>
              <w:spacing w:after="0" w:line="240" w:lineRule="auto"/>
              <w:jc w:val="center"/>
              <w:rPr>
                <w:rFonts w:eastAsia="Times New Roman" w:cs="Calibri"/>
                <w:noProof/>
              </w:rPr>
            </w:pPr>
            <w:r>
              <w:rPr>
                <w:noProof/>
              </w:rPr>
              <w:t>TRIMESTRUL 2</w:t>
            </w:r>
          </w:p>
        </w:tc>
        <w:tc>
          <w:tcPr>
            <w:tcW w:w="845" w:type="dxa"/>
            <w:shd w:val="clear" w:color="auto" w:fill="C4EFCE"/>
            <w:vAlign w:val="center"/>
            <w:hideMark/>
          </w:tcPr>
          <w:p w14:paraId="75F2311E" w14:textId="444F2E4E" w:rsidR="00A15990" w:rsidRDefault="00686A62">
            <w:pPr>
              <w:pStyle w:val="P68B1DB1-Normal8"/>
              <w:spacing w:after="0" w:line="240" w:lineRule="auto"/>
              <w:jc w:val="center"/>
              <w:rPr>
                <w:rFonts w:eastAsia="Times New Roman" w:cs="Calibri"/>
                <w:noProof/>
              </w:rPr>
            </w:pPr>
            <w:r>
              <w:rPr>
                <w:noProof/>
              </w:rPr>
              <w:t>2026</w:t>
            </w:r>
          </w:p>
        </w:tc>
        <w:tc>
          <w:tcPr>
            <w:tcW w:w="4277" w:type="dxa"/>
            <w:shd w:val="clear" w:color="auto" w:fill="C4EFCE"/>
            <w:vAlign w:val="center"/>
            <w:hideMark/>
          </w:tcPr>
          <w:p w14:paraId="67533911" w14:textId="7F617E1D" w:rsidR="00A15990" w:rsidRDefault="00686A62">
            <w:pPr>
              <w:pStyle w:val="P68B1DB1-Normal8"/>
              <w:spacing w:after="0" w:line="240" w:lineRule="auto"/>
              <w:jc w:val="both"/>
              <w:rPr>
                <w:rFonts w:eastAsia="Times New Roman" w:cs="Calibri"/>
                <w:noProof/>
              </w:rPr>
            </w:pPr>
            <w:r>
              <w:rPr>
                <w:noProof/>
              </w:rPr>
              <w:t>Numărul de locuri noi pentru persoanele cu handicap în centrele de îngrijire care sprijină persoanele cu handicap. Aceasta include construirea a patru clădiri și adaptarea altor două clădiri. În cazul construcțiilor noi, clădirile noi trebuie să aibă o cerere de energie primară cu cel puțin 20 % mai mică decât cerințele pentru clădirile al căror consum de energie este aproape egal cu zero.</w:t>
            </w:r>
          </w:p>
        </w:tc>
      </w:tr>
      <w:tr w:rsidR="00A15990" w14:paraId="049083E8" w14:textId="77777777">
        <w:trPr>
          <w:trHeight w:val="1030"/>
        </w:trPr>
        <w:tc>
          <w:tcPr>
            <w:tcW w:w="1124" w:type="dxa"/>
            <w:shd w:val="clear" w:color="auto" w:fill="C5EFCE"/>
            <w:vAlign w:val="center"/>
            <w:hideMark/>
          </w:tcPr>
          <w:p w14:paraId="4D80D6EA" w14:textId="77777777" w:rsidR="00A15990" w:rsidRDefault="00686A62">
            <w:pPr>
              <w:pStyle w:val="P68B1DB1-Normal7"/>
              <w:spacing w:after="0" w:line="240" w:lineRule="auto"/>
              <w:jc w:val="center"/>
              <w:rPr>
                <w:rFonts w:eastAsia="Times New Roman" w:cs="Calibri"/>
                <w:noProof/>
              </w:rPr>
            </w:pPr>
            <w:r>
              <w:rPr>
                <w:noProof/>
              </w:rPr>
              <w:t>3.14</w:t>
            </w:r>
          </w:p>
        </w:tc>
        <w:tc>
          <w:tcPr>
            <w:tcW w:w="1143" w:type="dxa"/>
            <w:shd w:val="clear" w:color="auto" w:fill="C4EFCE"/>
            <w:vAlign w:val="center"/>
            <w:hideMark/>
          </w:tcPr>
          <w:p w14:paraId="62C1B356" w14:textId="77777777" w:rsidR="00A15990" w:rsidRDefault="00686A62">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3C09CC66"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5EF33CF2" w14:textId="06A38392" w:rsidR="00A15990" w:rsidRDefault="00686A62">
            <w:pPr>
              <w:pStyle w:val="P68B1DB1-Normal9"/>
              <w:spacing w:after="0" w:line="240" w:lineRule="auto"/>
              <w:jc w:val="center"/>
              <w:rPr>
                <w:rFonts w:eastAsia="Times New Roman" w:cs="Calibri"/>
                <w:noProof/>
                <w:sz w:val="16"/>
              </w:rPr>
            </w:pPr>
            <w:r>
              <w:rPr>
                <w:noProof/>
                <w:sz w:val="16"/>
              </w:rPr>
              <w:t>Vehicule achiziționate pentru</w:t>
            </w:r>
            <w:r>
              <w:rPr>
                <w:noProof/>
              </w:rPr>
              <w:t xml:space="preserve"> </w:t>
            </w:r>
            <w:r>
              <w:rPr>
                <w:noProof/>
                <w:sz w:val="16"/>
              </w:rPr>
              <w:t xml:space="preserve">Instituições Particulares de Solidariedade Social </w:t>
            </w:r>
          </w:p>
        </w:tc>
        <w:tc>
          <w:tcPr>
            <w:tcW w:w="1486" w:type="dxa"/>
            <w:shd w:val="clear" w:color="auto" w:fill="C4EFCE"/>
            <w:vAlign w:val="center"/>
            <w:hideMark/>
          </w:tcPr>
          <w:p w14:paraId="3475EC3A"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2AF43E85"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770F38CC"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1E02EB10" w14:textId="77777777" w:rsidR="00A15990" w:rsidRDefault="00686A62">
            <w:pPr>
              <w:pStyle w:val="P68B1DB1-Normal8"/>
              <w:spacing w:after="0" w:line="240" w:lineRule="auto"/>
              <w:jc w:val="center"/>
              <w:rPr>
                <w:rFonts w:eastAsia="Times New Roman" w:cs="Calibri"/>
                <w:noProof/>
              </w:rPr>
            </w:pPr>
            <w:r>
              <w:rPr>
                <w:noProof/>
              </w:rPr>
              <w:t>100</w:t>
            </w:r>
          </w:p>
        </w:tc>
        <w:tc>
          <w:tcPr>
            <w:tcW w:w="680" w:type="dxa"/>
            <w:shd w:val="clear" w:color="auto" w:fill="C4EFCE"/>
            <w:vAlign w:val="center"/>
            <w:hideMark/>
          </w:tcPr>
          <w:p w14:paraId="71008F83"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3D8E9877"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227BDB15" w14:textId="6DCA107B" w:rsidR="00A15990" w:rsidRDefault="00686A62">
            <w:pPr>
              <w:pStyle w:val="P68B1DB1-Normal9"/>
              <w:spacing w:after="0" w:line="240" w:lineRule="auto"/>
              <w:jc w:val="both"/>
              <w:rPr>
                <w:rFonts w:eastAsia="Times New Roman" w:cs="Calibri"/>
                <w:noProof/>
                <w:sz w:val="16"/>
              </w:rPr>
            </w:pPr>
            <w:r>
              <w:rPr>
                <w:noProof/>
                <w:sz w:val="16"/>
              </w:rPr>
              <w:t>Numărul de vehicule electrice noi livrate parcului auto Instituições</w:t>
            </w:r>
            <w:r w:rsidR="00852019">
              <w:rPr>
                <w:noProof/>
                <w:sz w:val="16"/>
              </w:rPr>
              <w:t xml:space="preserve"> </w:t>
            </w:r>
            <w:r>
              <w:rPr>
                <w:noProof/>
                <w:sz w:val="16"/>
              </w:rPr>
              <w:t>Particulares de Solidariedade Social (IPSS).</w:t>
            </w:r>
          </w:p>
        </w:tc>
      </w:tr>
      <w:tr w:rsidR="00A15990" w14:paraId="19247985" w14:textId="77777777">
        <w:trPr>
          <w:trHeight w:val="430"/>
        </w:trPr>
        <w:tc>
          <w:tcPr>
            <w:tcW w:w="1124" w:type="dxa"/>
            <w:shd w:val="clear" w:color="auto" w:fill="C5EFCE"/>
            <w:vAlign w:val="center"/>
            <w:hideMark/>
          </w:tcPr>
          <w:p w14:paraId="37211580" w14:textId="77777777" w:rsidR="00A15990" w:rsidRDefault="00686A62">
            <w:pPr>
              <w:pStyle w:val="P68B1DB1-Normal7"/>
              <w:spacing w:after="0" w:line="240" w:lineRule="auto"/>
              <w:jc w:val="center"/>
              <w:rPr>
                <w:rFonts w:eastAsia="Times New Roman" w:cs="Calibri"/>
                <w:noProof/>
              </w:rPr>
            </w:pPr>
            <w:r>
              <w:rPr>
                <w:noProof/>
              </w:rPr>
              <w:t>3.15</w:t>
            </w:r>
          </w:p>
        </w:tc>
        <w:tc>
          <w:tcPr>
            <w:tcW w:w="1143" w:type="dxa"/>
            <w:shd w:val="clear" w:color="auto" w:fill="C4EFCE"/>
            <w:vAlign w:val="center"/>
            <w:hideMark/>
          </w:tcPr>
          <w:p w14:paraId="0B42AE83" w14:textId="77777777" w:rsidR="00A15990" w:rsidRDefault="00686A62">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182D975B"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281447A4" w14:textId="77777777" w:rsidR="00A15990" w:rsidRDefault="00686A62">
            <w:pPr>
              <w:pStyle w:val="P68B1DB1-Normal8"/>
              <w:spacing w:after="0" w:line="240" w:lineRule="auto"/>
              <w:jc w:val="center"/>
              <w:rPr>
                <w:rFonts w:eastAsia="Times New Roman" w:cs="Calibri"/>
                <w:noProof/>
              </w:rPr>
            </w:pPr>
            <w:r>
              <w:rPr>
                <w:noProof/>
              </w:rPr>
              <w:t>Proiectul „Îmbătrânirea în practică”</w:t>
            </w:r>
          </w:p>
        </w:tc>
        <w:tc>
          <w:tcPr>
            <w:tcW w:w="1486" w:type="dxa"/>
            <w:shd w:val="clear" w:color="auto" w:fill="C4EFCE"/>
            <w:vAlign w:val="center"/>
            <w:hideMark/>
          </w:tcPr>
          <w:p w14:paraId="2D0D204B"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9C9C2F"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7220A717"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9B70C79" w14:textId="5A30131F" w:rsidR="00A15990" w:rsidRDefault="00686A62">
            <w:pPr>
              <w:pStyle w:val="P68B1DB1-Normal8"/>
              <w:spacing w:after="0" w:line="240" w:lineRule="auto"/>
              <w:jc w:val="center"/>
              <w:rPr>
                <w:rFonts w:eastAsia="Times New Roman" w:cs="Calibri"/>
                <w:noProof/>
              </w:rPr>
            </w:pPr>
            <w:r>
              <w:rPr>
                <w:noProof/>
              </w:rPr>
              <w:t>425</w:t>
            </w:r>
          </w:p>
        </w:tc>
        <w:tc>
          <w:tcPr>
            <w:tcW w:w="680" w:type="dxa"/>
            <w:shd w:val="clear" w:color="auto" w:fill="C4EFCE"/>
            <w:vAlign w:val="center"/>
            <w:hideMark/>
          </w:tcPr>
          <w:p w14:paraId="2E66662F"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296AE5F4"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0504830F" w14:textId="77777777" w:rsidR="00A15990" w:rsidRDefault="00686A62">
            <w:pPr>
              <w:pStyle w:val="P68B1DB1-Normal8"/>
              <w:spacing w:after="0" w:line="240" w:lineRule="auto"/>
              <w:jc w:val="both"/>
              <w:rPr>
                <w:rFonts w:eastAsia="Times New Roman" w:cs="Calibri"/>
                <w:noProof/>
              </w:rPr>
            </w:pPr>
            <w:r>
              <w:rPr>
                <w:noProof/>
              </w:rPr>
              <w:t>Numărul de persoane în vârstă sau cu handicap vizate de proiectul „Aging in place” din Regiunea Autonomă Azore.</w:t>
            </w:r>
          </w:p>
        </w:tc>
      </w:tr>
      <w:tr w:rsidR="00A15990" w14:paraId="722BCAC5" w14:textId="77777777">
        <w:trPr>
          <w:trHeight w:val="420"/>
        </w:trPr>
        <w:tc>
          <w:tcPr>
            <w:tcW w:w="1124" w:type="dxa"/>
            <w:shd w:val="clear" w:color="auto" w:fill="C5EFCE"/>
            <w:vAlign w:val="center"/>
            <w:hideMark/>
          </w:tcPr>
          <w:p w14:paraId="27569718" w14:textId="77777777" w:rsidR="00A15990" w:rsidRDefault="00686A62">
            <w:pPr>
              <w:pStyle w:val="P68B1DB1-Normal7"/>
              <w:spacing w:after="0" w:line="240" w:lineRule="auto"/>
              <w:jc w:val="center"/>
              <w:rPr>
                <w:rFonts w:eastAsia="Times New Roman" w:cs="Calibri"/>
                <w:noProof/>
              </w:rPr>
            </w:pPr>
            <w:r>
              <w:rPr>
                <w:noProof/>
              </w:rPr>
              <w:t>3.16</w:t>
            </w:r>
          </w:p>
        </w:tc>
        <w:tc>
          <w:tcPr>
            <w:tcW w:w="1143" w:type="dxa"/>
            <w:shd w:val="clear" w:color="auto" w:fill="C4EFCE"/>
            <w:vAlign w:val="center"/>
            <w:hideMark/>
          </w:tcPr>
          <w:p w14:paraId="3FEF3AE7" w14:textId="77777777" w:rsidR="00A15990" w:rsidRDefault="00686A62">
            <w:pPr>
              <w:pStyle w:val="P68B1DB1-Normal8"/>
              <w:spacing w:after="0" w:line="240" w:lineRule="auto"/>
              <w:jc w:val="center"/>
              <w:rPr>
                <w:rFonts w:eastAsia="Times New Roman" w:cs="Calibri"/>
                <w:noProof/>
              </w:rPr>
            </w:pPr>
            <w:r>
              <w:rPr>
                <w:noProof/>
              </w:rPr>
              <w:t>RE-C03-i04-RAA</w:t>
            </w:r>
          </w:p>
        </w:tc>
        <w:tc>
          <w:tcPr>
            <w:tcW w:w="982" w:type="dxa"/>
            <w:shd w:val="clear" w:color="auto" w:fill="C4EFCE"/>
            <w:vAlign w:val="center"/>
            <w:hideMark/>
          </w:tcPr>
          <w:p w14:paraId="57B378D2"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1B2F0661" w14:textId="77777777" w:rsidR="00A15990" w:rsidRDefault="00686A62">
            <w:pPr>
              <w:pStyle w:val="P68B1DB1-Normal8"/>
              <w:spacing w:after="0" w:line="240" w:lineRule="auto"/>
              <w:jc w:val="center"/>
              <w:rPr>
                <w:rFonts w:eastAsia="Times New Roman" w:cs="Calibri"/>
                <w:noProof/>
              </w:rPr>
            </w:pPr>
            <w:r>
              <w:rPr>
                <w:noProof/>
              </w:rPr>
              <w:t>Măsuri de combatere a părăsirii timpurii a școlii în rândul copiilor și al tinerilor.</w:t>
            </w:r>
          </w:p>
        </w:tc>
        <w:tc>
          <w:tcPr>
            <w:tcW w:w="1486" w:type="dxa"/>
            <w:shd w:val="clear" w:color="auto" w:fill="C4EFCE"/>
            <w:vAlign w:val="center"/>
            <w:hideMark/>
          </w:tcPr>
          <w:p w14:paraId="761474E7"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9D5AE91" w14:textId="77777777" w:rsidR="00A15990" w:rsidRDefault="00686A62">
            <w:pPr>
              <w:pStyle w:val="P68B1DB1-Normal8"/>
              <w:spacing w:after="0" w:line="240" w:lineRule="auto"/>
              <w:jc w:val="center"/>
              <w:rPr>
                <w:rFonts w:eastAsia="Times New Roman" w:cs="Calibri"/>
                <w:noProof/>
              </w:rPr>
            </w:pPr>
            <w:r>
              <w:rPr>
                <w:noProof/>
              </w:rPr>
              <w:t>Numărul</w:t>
            </w:r>
          </w:p>
        </w:tc>
        <w:tc>
          <w:tcPr>
            <w:tcW w:w="1014" w:type="dxa"/>
            <w:shd w:val="clear" w:color="auto" w:fill="C4EFCE"/>
            <w:vAlign w:val="center"/>
            <w:hideMark/>
          </w:tcPr>
          <w:p w14:paraId="6596B2D6"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6157A47D" w14:textId="77777777" w:rsidR="00A15990" w:rsidRDefault="00686A62">
            <w:pPr>
              <w:pStyle w:val="P68B1DB1-Normal8"/>
              <w:spacing w:after="0" w:line="240" w:lineRule="auto"/>
              <w:jc w:val="center"/>
              <w:rPr>
                <w:rFonts w:eastAsia="Times New Roman" w:cs="Calibri"/>
                <w:noProof/>
              </w:rPr>
            </w:pPr>
            <w:r>
              <w:rPr>
                <w:noProof/>
              </w:rPr>
              <w:t>11 561</w:t>
            </w:r>
          </w:p>
        </w:tc>
        <w:tc>
          <w:tcPr>
            <w:tcW w:w="680" w:type="dxa"/>
            <w:shd w:val="clear" w:color="auto" w:fill="C4EFCE"/>
            <w:vAlign w:val="center"/>
            <w:hideMark/>
          </w:tcPr>
          <w:p w14:paraId="7A4E4D10"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28EF501B"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5BF1ED67" w14:textId="77777777" w:rsidR="00A15990" w:rsidRDefault="00686A62">
            <w:pPr>
              <w:pStyle w:val="P68B1DB1-Normal8"/>
              <w:spacing w:after="0" w:line="240" w:lineRule="auto"/>
              <w:jc w:val="both"/>
              <w:rPr>
                <w:rFonts w:eastAsia="Times New Roman" w:cs="Calibri"/>
                <w:noProof/>
              </w:rPr>
            </w:pPr>
            <w:r>
              <w:rPr>
                <w:noProof/>
              </w:rPr>
              <w:t xml:space="preserve">Copiii și tinerii vizați de măsuri de combatere a abandonului școlar și de promovare a participării la învățământul superior prin: </w:t>
            </w:r>
          </w:p>
          <w:p w14:paraId="7FE0E7DB" w14:textId="56A390AC" w:rsidR="00A15990" w:rsidRDefault="00686A62">
            <w:pPr>
              <w:pStyle w:val="P68B1DB1-Normal8"/>
              <w:spacing w:after="0" w:line="240" w:lineRule="auto"/>
              <w:jc w:val="both"/>
              <w:rPr>
                <w:rFonts w:eastAsia="Times New Roman" w:cs="Calibri"/>
                <w:noProof/>
              </w:rPr>
            </w:pPr>
            <w:r>
              <w:rPr>
                <w:noProof/>
              </w:rPr>
              <w:t>I) subvenții pentru gospodăriile cu venituri mici ca stimulent pentru promovarea participării creșelor; II) stabilirea de puncte de sprijin pentru studii; III) plata taxelor de învățământ superior studenților pentru familiile cu venituri mici; IV) crearea de noi locuri pentru copii în creșe și centre de îngrijire de zi.</w:t>
            </w:r>
          </w:p>
        </w:tc>
      </w:tr>
      <w:tr w:rsidR="00A15990" w14:paraId="3E0BC186" w14:textId="77777777">
        <w:trPr>
          <w:trHeight w:val="1581"/>
        </w:trPr>
        <w:tc>
          <w:tcPr>
            <w:tcW w:w="1124" w:type="dxa"/>
            <w:shd w:val="clear" w:color="auto" w:fill="C5EFCE"/>
            <w:vAlign w:val="center"/>
            <w:hideMark/>
          </w:tcPr>
          <w:p w14:paraId="4AD1D11D" w14:textId="77777777" w:rsidR="00A15990" w:rsidRDefault="00686A62">
            <w:pPr>
              <w:pStyle w:val="P68B1DB1-Normal7"/>
              <w:spacing w:after="0" w:line="240" w:lineRule="auto"/>
              <w:jc w:val="center"/>
              <w:rPr>
                <w:rFonts w:eastAsia="Times New Roman" w:cs="Calibri"/>
                <w:noProof/>
              </w:rPr>
            </w:pPr>
            <w:r>
              <w:rPr>
                <w:noProof/>
              </w:rPr>
              <w:t>3.17</w:t>
            </w:r>
          </w:p>
        </w:tc>
        <w:tc>
          <w:tcPr>
            <w:tcW w:w="1143" w:type="dxa"/>
            <w:shd w:val="clear" w:color="auto" w:fill="C4EFCE"/>
            <w:vAlign w:val="center"/>
            <w:hideMark/>
          </w:tcPr>
          <w:p w14:paraId="6E502AC3" w14:textId="77777777" w:rsidR="00A15990" w:rsidRDefault="00686A62">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148563E4"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C55EEC7" w14:textId="77777777" w:rsidR="00A15990" w:rsidRDefault="00686A62">
            <w:pPr>
              <w:pStyle w:val="P68B1DB1-Normal8"/>
              <w:spacing w:after="0" w:line="240" w:lineRule="auto"/>
              <w:jc w:val="center"/>
              <w:rPr>
                <w:rFonts w:eastAsia="Times New Roman" w:cs="Calibri"/>
                <w:noProof/>
              </w:rPr>
            </w:pPr>
            <w:r>
              <w:rPr>
                <w:noProof/>
              </w:rPr>
              <w:t xml:space="preserve">Publicarea ofertei pentru „Construirea infrastructurii digitale pentru accesibilitate 360°” </w:t>
            </w:r>
          </w:p>
        </w:tc>
        <w:tc>
          <w:tcPr>
            <w:tcW w:w="1486" w:type="dxa"/>
            <w:shd w:val="clear" w:color="auto" w:fill="C4EFCE"/>
            <w:vAlign w:val="center"/>
            <w:hideMark/>
          </w:tcPr>
          <w:p w14:paraId="67B63709" w14:textId="77777777" w:rsidR="00A15990" w:rsidRDefault="00686A62">
            <w:pPr>
              <w:pStyle w:val="P68B1DB1-Normal8"/>
              <w:spacing w:after="0" w:line="240" w:lineRule="auto"/>
              <w:jc w:val="center"/>
              <w:rPr>
                <w:rFonts w:eastAsia="Times New Roman" w:cs="Calibri"/>
                <w:noProof/>
              </w:rPr>
            </w:pPr>
            <w:r>
              <w:rPr>
                <w:noProof/>
              </w:rPr>
              <w:t>Publicarea anunțului de participare la licitație pentru achiziționarea de infrastructură digitală pentru accesibilitate 360° în Jurnalul Oficial – Diario da Republica</w:t>
            </w:r>
          </w:p>
        </w:tc>
        <w:tc>
          <w:tcPr>
            <w:tcW w:w="1014" w:type="dxa"/>
            <w:shd w:val="clear" w:color="auto" w:fill="C4EFCE"/>
            <w:vAlign w:val="center"/>
            <w:hideMark/>
          </w:tcPr>
          <w:p w14:paraId="546A3FF1"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0B23DB11"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7997DED5"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24C9268"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5E997187" w14:textId="77777777" w:rsidR="00A15990" w:rsidRDefault="00686A62">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3FA52867" w14:textId="77777777" w:rsidR="00A15990" w:rsidRDefault="00686A62">
            <w:pPr>
              <w:pStyle w:val="P68B1DB1-Normal8"/>
              <w:spacing w:after="0" w:line="240" w:lineRule="auto"/>
              <w:jc w:val="both"/>
              <w:rPr>
                <w:rFonts w:eastAsia="Times New Roman" w:cs="Calibri"/>
                <w:noProof/>
              </w:rPr>
            </w:pPr>
            <w:r>
              <w:rPr>
                <w:noProof/>
              </w:rPr>
              <w:t>Publicarea unei proceduri de ofertare pentru construirea infrastructurii digitale care să acopere i) informații georeferențiate privind clădirile publice și private, ii) sisteme globale de informare și poziționare (GPS), iii) georeferențierea spațiilor de parcare.</w:t>
            </w:r>
          </w:p>
        </w:tc>
      </w:tr>
      <w:tr w:rsidR="00A15990" w14:paraId="37722B84" w14:textId="77777777">
        <w:trPr>
          <w:trHeight w:val="838"/>
        </w:trPr>
        <w:tc>
          <w:tcPr>
            <w:tcW w:w="1124" w:type="dxa"/>
            <w:shd w:val="clear" w:color="auto" w:fill="C5EFCE"/>
            <w:vAlign w:val="center"/>
            <w:hideMark/>
          </w:tcPr>
          <w:p w14:paraId="640BFDCE" w14:textId="77777777" w:rsidR="00A15990" w:rsidRDefault="00686A62">
            <w:pPr>
              <w:pStyle w:val="P68B1DB1-Normal7"/>
              <w:spacing w:after="0" w:line="240" w:lineRule="auto"/>
              <w:jc w:val="center"/>
              <w:rPr>
                <w:rFonts w:eastAsia="Times New Roman" w:cs="Calibri"/>
                <w:noProof/>
              </w:rPr>
            </w:pPr>
            <w:r>
              <w:rPr>
                <w:noProof/>
              </w:rPr>
              <w:t>3.18</w:t>
            </w:r>
          </w:p>
        </w:tc>
        <w:tc>
          <w:tcPr>
            <w:tcW w:w="1143" w:type="dxa"/>
            <w:shd w:val="clear" w:color="auto" w:fill="C4EFCE"/>
            <w:vAlign w:val="center"/>
            <w:hideMark/>
          </w:tcPr>
          <w:p w14:paraId="3B14B6A8" w14:textId="77777777" w:rsidR="00A15990" w:rsidRDefault="00686A62">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24B0174F"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127B0818" w14:textId="77777777" w:rsidR="00A15990" w:rsidRDefault="00686A62">
            <w:pPr>
              <w:pStyle w:val="P68B1DB1-Normal8"/>
              <w:spacing w:after="0" w:line="240" w:lineRule="auto"/>
              <w:jc w:val="center"/>
              <w:rPr>
                <w:rFonts w:eastAsia="Times New Roman" w:cs="Calibri"/>
                <w:noProof/>
              </w:rPr>
            </w:pPr>
            <w:r>
              <w:rPr>
                <w:noProof/>
              </w:rPr>
              <w:t>Platforma digitală de informare pentru persoanele cu handicap</w:t>
            </w:r>
          </w:p>
        </w:tc>
        <w:tc>
          <w:tcPr>
            <w:tcW w:w="1486" w:type="dxa"/>
            <w:shd w:val="clear" w:color="auto" w:fill="C4EFCE"/>
            <w:vAlign w:val="center"/>
            <w:hideMark/>
          </w:tcPr>
          <w:p w14:paraId="14F244C2" w14:textId="77777777" w:rsidR="00A15990" w:rsidRDefault="00686A62">
            <w:pPr>
              <w:pStyle w:val="P68B1DB1-Normal8"/>
              <w:spacing w:after="0" w:line="240" w:lineRule="auto"/>
              <w:jc w:val="center"/>
              <w:rPr>
                <w:rFonts w:eastAsia="Times New Roman" w:cs="Calibri"/>
                <w:noProof/>
              </w:rPr>
            </w:pPr>
            <w:r>
              <w:rPr>
                <w:noProof/>
              </w:rPr>
              <w:t>Punerea în funcțiune a platformei</w:t>
            </w:r>
          </w:p>
        </w:tc>
        <w:tc>
          <w:tcPr>
            <w:tcW w:w="1014" w:type="dxa"/>
            <w:shd w:val="clear" w:color="auto" w:fill="C4EFCE"/>
            <w:vAlign w:val="center"/>
            <w:hideMark/>
          </w:tcPr>
          <w:p w14:paraId="2D447742"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369FDBF8"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DC68D64"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352AF611"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4C2EC19E" w14:textId="77777777" w:rsidR="00A15990" w:rsidRDefault="00686A62">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38C6A344" w14:textId="77777777" w:rsidR="00A15990" w:rsidRDefault="00686A62">
            <w:pPr>
              <w:pStyle w:val="P68B1DB1-Normal8"/>
              <w:spacing w:after="0" w:line="240" w:lineRule="auto"/>
              <w:jc w:val="both"/>
              <w:rPr>
                <w:rFonts w:eastAsia="Times New Roman" w:cs="Calibri"/>
                <w:noProof/>
              </w:rPr>
            </w:pPr>
            <w:r>
              <w:rPr>
                <w:noProof/>
              </w:rPr>
              <w:t>Punerea în funcțiune a unei platforme digitale de informare care agregă și simplifică informațiile privind legislația relevantă și resursele de sprijin pentru persoanele cu handicap.</w:t>
            </w:r>
          </w:p>
        </w:tc>
      </w:tr>
      <w:tr w:rsidR="00A15990" w14:paraId="29DF1015" w14:textId="77777777">
        <w:trPr>
          <w:trHeight w:val="928"/>
        </w:trPr>
        <w:tc>
          <w:tcPr>
            <w:tcW w:w="1124" w:type="dxa"/>
            <w:shd w:val="clear" w:color="auto" w:fill="C5EFCE"/>
            <w:vAlign w:val="center"/>
            <w:hideMark/>
          </w:tcPr>
          <w:p w14:paraId="31FC2931" w14:textId="77777777" w:rsidR="00A15990" w:rsidRDefault="00686A62">
            <w:pPr>
              <w:pStyle w:val="P68B1DB1-Normal7"/>
              <w:spacing w:after="0" w:line="240" w:lineRule="auto"/>
              <w:jc w:val="center"/>
              <w:rPr>
                <w:rFonts w:eastAsia="Times New Roman" w:cs="Calibri"/>
                <w:noProof/>
              </w:rPr>
            </w:pPr>
            <w:r>
              <w:rPr>
                <w:noProof/>
              </w:rPr>
              <w:t>3.19</w:t>
            </w:r>
          </w:p>
        </w:tc>
        <w:tc>
          <w:tcPr>
            <w:tcW w:w="1143" w:type="dxa"/>
            <w:shd w:val="clear" w:color="auto" w:fill="C4EFCE"/>
            <w:vAlign w:val="center"/>
            <w:hideMark/>
          </w:tcPr>
          <w:p w14:paraId="31C50628" w14:textId="77777777" w:rsidR="00A15990" w:rsidRDefault="00686A62">
            <w:pPr>
              <w:pStyle w:val="P68B1DB1-Normal8"/>
              <w:spacing w:after="0" w:line="240" w:lineRule="auto"/>
              <w:jc w:val="center"/>
              <w:rPr>
                <w:rFonts w:eastAsia="Times New Roman" w:cs="Calibri"/>
                <w:noProof/>
              </w:rPr>
            </w:pPr>
            <w:r>
              <w:rPr>
                <w:noProof/>
              </w:rPr>
              <w:t>RE-C03-i05</w:t>
            </w:r>
          </w:p>
        </w:tc>
        <w:tc>
          <w:tcPr>
            <w:tcW w:w="982" w:type="dxa"/>
            <w:shd w:val="clear" w:color="auto" w:fill="C4EFCE"/>
            <w:vAlign w:val="center"/>
            <w:hideMark/>
          </w:tcPr>
          <w:p w14:paraId="6E89FFB3"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F2367B2" w14:textId="77777777" w:rsidR="00A15990" w:rsidRDefault="00686A62">
            <w:pPr>
              <w:pStyle w:val="P68B1DB1-Normal8"/>
              <w:spacing w:after="0" w:line="240" w:lineRule="auto"/>
              <w:jc w:val="center"/>
              <w:rPr>
                <w:rFonts w:eastAsia="Times New Roman" w:cs="Calibri"/>
                <w:noProof/>
              </w:rPr>
            </w:pPr>
            <w:r>
              <w:rPr>
                <w:noProof/>
              </w:rPr>
              <w:t>Centrul de apel pentru limbajul portughez al semnelor</w:t>
            </w:r>
          </w:p>
        </w:tc>
        <w:tc>
          <w:tcPr>
            <w:tcW w:w="1486" w:type="dxa"/>
            <w:shd w:val="clear" w:color="auto" w:fill="C4EFCE"/>
            <w:vAlign w:val="center"/>
            <w:hideMark/>
          </w:tcPr>
          <w:p w14:paraId="4C4DE045" w14:textId="77777777" w:rsidR="00A15990" w:rsidRDefault="00686A62">
            <w:pPr>
              <w:pStyle w:val="P68B1DB1-Normal8"/>
              <w:spacing w:after="0" w:line="240" w:lineRule="auto"/>
              <w:jc w:val="center"/>
              <w:rPr>
                <w:rFonts w:eastAsia="Times New Roman" w:cs="Calibri"/>
                <w:noProof/>
              </w:rPr>
            </w:pPr>
            <w:r>
              <w:rPr>
                <w:noProof/>
              </w:rPr>
              <w:t>Punerea în funcțiune a serviciului centrului Call-Centre pentru limbajul portughez al semnelor</w:t>
            </w:r>
          </w:p>
        </w:tc>
        <w:tc>
          <w:tcPr>
            <w:tcW w:w="1014" w:type="dxa"/>
            <w:shd w:val="clear" w:color="auto" w:fill="C4EFCE"/>
            <w:vAlign w:val="center"/>
            <w:hideMark/>
          </w:tcPr>
          <w:p w14:paraId="62A19147"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B4F454E"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5B22AC7B"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5C3FE14B"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19B2E8B1"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7F959E19" w14:textId="07AF1B38" w:rsidR="00A15990" w:rsidRDefault="00686A62">
            <w:pPr>
              <w:pStyle w:val="P68B1DB1-Normal8"/>
              <w:spacing w:after="0" w:line="240" w:lineRule="auto"/>
              <w:jc w:val="both"/>
              <w:rPr>
                <w:rFonts w:eastAsia="Times New Roman" w:cs="Calibri"/>
                <w:noProof/>
              </w:rPr>
            </w:pPr>
            <w:r>
              <w:rPr>
                <w:noProof/>
              </w:rPr>
              <w:t>Punerea în funcțiune a unui centru la cerere care oferă cetățenilor surzi servicii garantate de interpretare în timp real în limbajul portughez al semnelor (LGP), disponibile pentru întreaga administrație publică.</w:t>
            </w:r>
          </w:p>
        </w:tc>
      </w:tr>
      <w:tr w:rsidR="00A15990" w14:paraId="0BDE969A" w14:textId="77777777">
        <w:trPr>
          <w:trHeight w:val="1690"/>
        </w:trPr>
        <w:tc>
          <w:tcPr>
            <w:tcW w:w="1124" w:type="dxa"/>
            <w:shd w:val="clear" w:color="auto" w:fill="C5EFCE"/>
            <w:vAlign w:val="center"/>
          </w:tcPr>
          <w:p w14:paraId="6D78B7CA" w14:textId="77777777" w:rsidR="00A15990" w:rsidRDefault="00686A62">
            <w:pPr>
              <w:pStyle w:val="P68B1DB1-Normal7"/>
              <w:spacing w:after="0" w:line="240" w:lineRule="auto"/>
              <w:jc w:val="center"/>
              <w:rPr>
                <w:rFonts w:eastAsia="Times New Roman" w:cs="Calibri"/>
                <w:noProof/>
              </w:rPr>
            </w:pPr>
            <w:r>
              <w:rPr>
                <w:noProof/>
              </w:rPr>
              <w:t>3.20</w:t>
            </w:r>
          </w:p>
        </w:tc>
        <w:tc>
          <w:tcPr>
            <w:tcW w:w="1143" w:type="dxa"/>
            <w:shd w:val="clear" w:color="auto" w:fill="C4EFCE"/>
            <w:vAlign w:val="center"/>
          </w:tcPr>
          <w:p w14:paraId="4B2FA922" w14:textId="77777777" w:rsidR="00A15990" w:rsidRDefault="00686A62">
            <w:pPr>
              <w:pStyle w:val="P68B1DB1-Normal8"/>
              <w:spacing w:after="0" w:line="240" w:lineRule="auto"/>
              <w:jc w:val="center"/>
              <w:rPr>
                <w:rFonts w:eastAsia="Times New Roman" w:cs="Calibri"/>
                <w:noProof/>
              </w:rPr>
            </w:pPr>
            <w:r>
              <w:rPr>
                <w:noProof/>
              </w:rPr>
              <w:t>RE-C03-r08</w:t>
            </w:r>
          </w:p>
        </w:tc>
        <w:tc>
          <w:tcPr>
            <w:tcW w:w="982" w:type="dxa"/>
            <w:shd w:val="clear" w:color="auto" w:fill="C4EFCE"/>
            <w:vAlign w:val="center"/>
          </w:tcPr>
          <w:p w14:paraId="7E7854CA"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tcPr>
          <w:p w14:paraId="6959C89C" w14:textId="77777777" w:rsidR="00A15990" w:rsidRDefault="00686A62">
            <w:pPr>
              <w:pStyle w:val="P68B1DB1-Normal8"/>
              <w:spacing w:after="0" w:line="240" w:lineRule="auto"/>
              <w:jc w:val="center"/>
              <w:rPr>
                <w:rFonts w:eastAsia="Times New Roman" w:cs="Calibri"/>
                <w:noProof/>
              </w:rPr>
            </w:pPr>
            <w:r>
              <w:rPr>
                <w:noProof/>
              </w:rPr>
              <w:t>Adoptarea Strategiei naționale de combatere a sărăciei</w:t>
            </w:r>
          </w:p>
        </w:tc>
        <w:tc>
          <w:tcPr>
            <w:tcW w:w="1486" w:type="dxa"/>
            <w:shd w:val="clear" w:color="auto" w:fill="C4EFCE"/>
            <w:vAlign w:val="center"/>
          </w:tcPr>
          <w:p w14:paraId="3471F2FF" w14:textId="77777777" w:rsidR="00A15990" w:rsidRDefault="00686A62">
            <w:pPr>
              <w:pStyle w:val="P68B1DB1-Normal8"/>
              <w:spacing w:after="0" w:line="240" w:lineRule="auto"/>
              <w:jc w:val="center"/>
              <w:rPr>
                <w:rFonts w:eastAsia="Times New Roman" w:cs="Calibri"/>
                <w:noProof/>
              </w:rPr>
            </w:pPr>
            <w:r>
              <w:rPr>
                <w:noProof/>
              </w:rPr>
              <w:t>Adoptarea Strategiei naționale de combatere a sărăciei</w:t>
            </w:r>
          </w:p>
        </w:tc>
        <w:tc>
          <w:tcPr>
            <w:tcW w:w="1014" w:type="dxa"/>
            <w:shd w:val="clear" w:color="auto" w:fill="C4EFCE"/>
            <w:vAlign w:val="center"/>
          </w:tcPr>
          <w:p w14:paraId="1283F0D0"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tcPr>
          <w:p w14:paraId="6ABA1CAC"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tcPr>
          <w:p w14:paraId="00EAECC6"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tcPr>
          <w:p w14:paraId="4F8A05D3" w14:textId="77777777" w:rsidR="00A15990" w:rsidRDefault="00686A62">
            <w:pPr>
              <w:pStyle w:val="P68B1DB1-Normal8"/>
              <w:spacing w:after="0" w:line="240" w:lineRule="auto"/>
              <w:jc w:val="center"/>
              <w:rPr>
                <w:rFonts w:eastAsia="Times New Roman" w:cs="Calibri"/>
                <w:noProof/>
              </w:rPr>
            </w:pPr>
            <w:r>
              <w:rPr>
                <w:noProof/>
              </w:rPr>
              <w:t>TRIMESTRUL 3</w:t>
            </w:r>
          </w:p>
        </w:tc>
        <w:tc>
          <w:tcPr>
            <w:tcW w:w="845" w:type="dxa"/>
            <w:shd w:val="clear" w:color="auto" w:fill="C4EFCE"/>
            <w:vAlign w:val="center"/>
          </w:tcPr>
          <w:p w14:paraId="7D0E5BB2" w14:textId="77777777" w:rsidR="00A15990" w:rsidRDefault="00686A62">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tcPr>
          <w:p w14:paraId="2AE0C47C" w14:textId="77777777" w:rsidR="00A15990" w:rsidRDefault="00686A62">
            <w:pPr>
              <w:pStyle w:val="P68B1DB1-Normal8"/>
              <w:spacing w:after="0" w:line="240" w:lineRule="auto"/>
              <w:jc w:val="both"/>
              <w:rPr>
                <w:rFonts w:eastAsia="Times New Roman" w:cs="Calibri"/>
                <w:noProof/>
              </w:rPr>
            </w:pPr>
            <w:r>
              <w:rPr>
                <w:noProof/>
              </w:rPr>
              <w:t>Strategia națională de combatere a sărăciei (PNEC) oferă cadrul pentru intervenții tematice pentru grupuri specifice, din copilărie până la bătrânețe, inclusiv pentru grupurile cele mai vulnerabile. Acesta stabilește condițiile pentru elaborarea și punerea în aplicare a unor politici integrate axate pe particularitățile excluziunii sociale și ale sărăciei la nivel local. În plus, acesta prevede, de asemenea, crearea unui cadru unic de monitorizare pentru indicatorii legați de sărăcie.</w:t>
            </w:r>
          </w:p>
        </w:tc>
      </w:tr>
      <w:tr w:rsidR="00A15990" w14:paraId="533F5B1E" w14:textId="77777777">
        <w:trPr>
          <w:trHeight w:val="290"/>
        </w:trPr>
        <w:tc>
          <w:tcPr>
            <w:tcW w:w="1124" w:type="dxa"/>
            <w:shd w:val="clear" w:color="auto" w:fill="C5EFCE"/>
            <w:vAlign w:val="center"/>
            <w:hideMark/>
          </w:tcPr>
          <w:p w14:paraId="75444558" w14:textId="77777777" w:rsidR="00A15990" w:rsidRDefault="00686A62">
            <w:pPr>
              <w:pStyle w:val="P68B1DB1-Normal7"/>
              <w:spacing w:after="0" w:line="240" w:lineRule="auto"/>
              <w:jc w:val="center"/>
              <w:rPr>
                <w:rFonts w:eastAsia="Times New Roman" w:cs="Calibri"/>
                <w:noProof/>
              </w:rPr>
            </w:pPr>
            <w:r>
              <w:rPr>
                <w:noProof/>
              </w:rPr>
              <w:t>3.21</w:t>
            </w:r>
          </w:p>
        </w:tc>
        <w:tc>
          <w:tcPr>
            <w:tcW w:w="1143" w:type="dxa"/>
            <w:shd w:val="clear" w:color="auto" w:fill="C4EFCE"/>
            <w:vAlign w:val="center"/>
            <w:hideMark/>
          </w:tcPr>
          <w:p w14:paraId="57253209" w14:textId="77777777" w:rsidR="00A15990" w:rsidRDefault="00686A62">
            <w:pPr>
              <w:pStyle w:val="P68B1DB1-Normal8"/>
              <w:spacing w:after="0" w:line="240" w:lineRule="auto"/>
              <w:jc w:val="center"/>
              <w:rPr>
                <w:rFonts w:eastAsia="Times New Roman" w:cs="Calibri"/>
                <w:noProof/>
              </w:rPr>
            </w:pPr>
            <w:r>
              <w:rPr>
                <w:noProof/>
              </w:rPr>
              <w:t>RE-C03-r06</w:t>
            </w:r>
          </w:p>
        </w:tc>
        <w:tc>
          <w:tcPr>
            <w:tcW w:w="982" w:type="dxa"/>
            <w:shd w:val="clear" w:color="auto" w:fill="C4EFCE"/>
            <w:vAlign w:val="center"/>
            <w:hideMark/>
          </w:tcPr>
          <w:p w14:paraId="48FD60DB"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B798661" w14:textId="77777777" w:rsidR="00A15990" w:rsidRDefault="00686A62">
            <w:pPr>
              <w:pStyle w:val="P68B1DB1-Normal8"/>
              <w:spacing w:after="0" w:line="240" w:lineRule="auto"/>
              <w:jc w:val="center"/>
              <w:rPr>
                <w:rFonts w:eastAsia="Times New Roman" w:cs="Calibri"/>
                <w:noProof/>
              </w:rPr>
            </w:pPr>
            <w:r>
              <w:rPr>
                <w:noProof/>
              </w:rPr>
              <w:t>Adoptarea Strategiei naționale pentru incluziunea persoanelor cu handicap 2021-2025</w:t>
            </w:r>
          </w:p>
        </w:tc>
        <w:tc>
          <w:tcPr>
            <w:tcW w:w="1486" w:type="dxa"/>
            <w:shd w:val="clear" w:color="auto" w:fill="C4EFCE"/>
            <w:vAlign w:val="center"/>
            <w:hideMark/>
          </w:tcPr>
          <w:p w14:paraId="40250264" w14:textId="77777777" w:rsidR="00A15990" w:rsidRDefault="00686A62">
            <w:pPr>
              <w:pStyle w:val="P68B1DB1-Normal8"/>
              <w:spacing w:after="0" w:line="240" w:lineRule="auto"/>
              <w:jc w:val="center"/>
              <w:rPr>
                <w:rFonts w:eastAsia="Times New Roman" w:cs="Calibri"/>
                <w:noProof/>
              </w:rPr>
            </w:pPr>
            <w:r>
              <w:rPr>
                <w:noProof/>
              </w:rPr>
              <w:t>Adoptarea Strategiei naționale pentru incluziunea persoanelor cu handicap 2021-2025</w:t>
            </w:r>
          </w:p>
        </w:tc>
        <w:tc>
          <w:tcPr>
            <w:tcW w:w="1014" w:type="dxa"/>
            <w:shd w:val="clear" w:color="auto" w:fill="C4EFCE"/>
            <w:vAlign w:val="center"/>
            <w:hideMark/>
          </w:tcPr>
          <w:p w14:paraId="66D99749"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448DA702"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94CC941"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61D167B3"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39843ADC" w14:textId="77777777" w:rsidR="00A15990" w:rsidRDefault="00686A62">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7651022" w14:textId="77777777" w:rsidR="00A15990" w:rsidRDefault="00686A62">
            <w:pPr>
              <w:pStyle w:val="P68B1DB1-Normal8"/>
              <w:spacing w:after="0" w:line="240" w:lineRule="auto"/>
              <w:jc w:val="both"/>
              <w:rPr>
                <w:rFonts w:eastAsia="Times New Roman" w:cs="Calibri"/>
                <w:noProof/>
              </w:rPr>
            </w:pPr>
            <w:r>
              <w:rPr>
                <w:noProof/>
              </w:rPr>
              <w:t xml:space="preserve">Strategia națională pentru incluziunea persoanelor cu handicap creează condițiile pentru: </w:t>
            </w:r>
          </w:p>
          <w:p w14:paraId="5BEAE38C"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un nou sistem de evaluare și certificare a dizabilităților; </w:t>
            </w:r>
          </w:p>
          <w:p w14:paraId="1AE861D1"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 xml:space="preserve">un nou sistem de colectare și tratare a datelor și de organizare a informațiilor referitoare la handicap pentru a sprijini procesul decizional; </w:t>
            </w:r>
          </w:p>
          <w:p w14:paraId="6C12A290"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calificarea intervențiilor în spațiile publice;</w:t>
            </w:r>
          </w:p>
          <w:p w14:paraId="090CA10D"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integrarea incluziunii persoanelor cu handicap în decizii, măsuri, programe și proiecte;</w:t>
            </w:r>
          </w:p>
          <w:p w14:paraId="47358F4D"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extinderea modelului de sprijin pentru o viață independentă, care oferă asistență personală persoanelor cu handicap;</w:t>
            </w:r>
          </w:p>
          <w:p w14:paraId="20D2D4ED" w14:textId="0DE988E4" w:rsidR="00A15990" w:rsidRDefault="00686A62">
            <w:pPr>
              <w:spacing w:after="0" w:line="240" w:lineRule="auto"/>
              <w:jc w:val="both"/>
              <w:rPr>
                <w:rFonts w:ascii="Calibri" w:eastAsia="Times New Roman" w:hAnsi="Calibri" w:cs="Calibri"/>
                <w:noProof/>
                <w:sz w:val="16"/>
              </w:rPr>
            </w:pPr>
            <w:r>
              <w:rPr>
                <w:rFonts w:ascii="Calibri" w:hAnsi="Calibri"/>
                <w:noProof/>
                <w:sz w:val="16"/>
              </w:rPr>
              <w:t>•</w:t>
            </w:r>
            <w:r>
              <w:rPr>
                <w:rFonts w:ascii="Times New Roman" w:hAnsi="Times New Roman"/>
                <w:noProof/>
                <w:sz w:val="14"/>
              </w:rPr>
              <w:t xml:space="preserve"> </w:t>
            </w:r>
            <w:r>
              <w:rPr>
                <w:rFonts w:ascii="Calibri" w:hAnsi="Calibri"/>
                <w:noProof/>
                <w:sz w:val="16"/>
              </w:rPr>
              <w:t>adaptarea sistemului de formare, ocupare a forței de muncă și calificare pentru persoanele cu handicap.</w:t>
            </w:r>
          </w:p>
        </w:tc>
      </w:tr>
      <w:tr w:rsidR="00A15990" w14:paraId="259EB076" w14:textId="77777777">
        <w:trPr>
          <w:trHeight w:val="1060"/>
        </w:trPr>
        <w:tc>
          <w:tcPr>
            <w:tcW w:w="1124" w:type="dxa"/>
            <w:shd w:val="clear" w:color="auto" w:fill="C5EFCE"/>
            <w:vAlign w:val="center"/>
            <w:hideMark/>
          </w:tcPr>
          <w:p w14:paraId="26DEA246" w14:textId="77777777" w:rsidR="00A15990" w:rsidRDefault="00686A62">
            <w:pPr>
              <w:pStyle w:val="P68B1DB1-Normal7"/>
              <w:spacing w:after="0" w:line="240" w:lineRule="auto"/>
              <w:jc w:val="center"/>
              <w:rPr>
                <w:rFonts w:eastAsia="Times New Roman" w:cs="Calibri"/>
                <w:noProof/>
              </w:rPr>
            </w:pPr>
            <w:r>
              <w:rPr>
                <w:noProof/>
              </w:rPr>
              <w:t>3.22</w:t>
            </w:r>
          </w:p>
        </w:tc>
        <w:tc>
          <w:tcPr>
            <w:tcW w:w="1143" w:type="dxa"/>
            <w:shd w:val="clear" w:color="auto" w:fill="C4EFCE"/>
            <w:vAlign w:val="center"/>
            <w:hideMark/>
          </w:tcPr>
          <w:p w14:paraId="46042C8C" w14:textId="77777777" w:rsidR="00A15990" w:rsidRDefault="00686A62">
            <w:pPr>
              <w:pStyle w:val="P68B1DB1-Normal8"/>
              <w:spacing w:after="0" w:line="240" w:lineRule="auto"/>
              <w:jc w:val="center"/>
              <w:rPr>
                <w:rFonts w:eastAsia="Times New Roman" w:cs="Calibri"/>
                <w:noProof/>
              </w:rPr>
            </w:pPr>
            <w:r>
              <w:rPr>
                <w:noProof/>
              </w:rPr>
              <w:t>RE-C03-r05</w:t>
            </w:r>
          </w:p>
        </w:tc>
        <w:tc>
          <w:tcPr>
            <w:tcW w:w="982" w:type="dxa"/>
            <w:shd w:val="clear" w:color="auto" w:fill="C4EFCE"/>
            <w:vAlign w:val="center"/>
            <w:hideMark/>
          </w:tcPr>
          <w:p w14:paraId="292DDDE3"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5FA61DF0" w14:textId="77777777" w:rsidR="00A15990" w:rsidRDefault="00686A62">
            <w:pPr>
              <w:pStyle w:val="P68B1DB1-Normal8"/>
              <w:spacing w:after="0" w:line="240" w:lineRule="auto"/>
              <w:jc w:val="center"/>
              <w:rPr>
                <w:rFonts w:eastAsia="Times New Roman" w:cs="Calibri"/>
                <w:noProof/>
              </w:rPr>
            </w:pPr>
            <w:r>
              <w:rPr>
                <w:noProof/>
              </w:rPr>
              <w:t>Intrarea în vigoare a regimului simplificat de instalare a echipamentelor sociale</w:t>
            </w:r>
          </w:p>
        </w:tc>
        <w:tc>
          <w:tcPr>
            <w:tcW w:w="1486" w:type="dxa"/>
            <w:shd w:val="clear" w:color="auto" w:fill="C4EFCE"/>
            <w:vAlign w:val="center"/>
            <w:hideMark/>
          </w:tcPr>
          <w:p w14:paraId="02D75D2D" w14:textId="77777777" w:rsidR="00A15990" w:rsidRDefault="00686A62">
            <w:pPr>
              <w:pStyle w:val="P68B1DB1-Normal8"/>
              <w:spacing w:after="0" w:line="240" w:lineRule="auto"/>
              <w:jc w:val="center"/>
              <w:rPr>
                <w:rFonts w:eastAsia="Times New Roman" w:cs="Calibri"/>
                <w:noProof/>
              </w:rPr>
            </w:pPr>
            <w:r>
              <w:rPr>
                <w:noProof/>
              </w:rPr>
              <w:t>Intrarea în vigoare a regimului simplificat de instalare a echipamentelor sociale</w:t>
            </w:r>
          </w:p>
        </w:tc>
        <w:tc>
          <w:tcPr>
            <w:tcW w:w="1014" w:type="dxa"/>
            <w:shd w:val="clear" w:color="auto" w:fill="C4EFCE"/>
            <w:vAlign w:val="center"/>
            <w:hideMark/>
          </w:tcPr>
          <w:p w14:paraId="1B1E4AC9"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7427C6C7"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3501B542"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1D936D49"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3BD447DC" w14:textId="77777777" w:rsidR="00A15990" w:rsidRDefault="00686A62">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59D5A18E" w14:textId="77777777"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Intrarea în vigoare a regimului simplificat de instalare a echipamentelor sociale cu următoarele caracteristici</w:t>
            </w:r>
            <w:r>
              <w:rPr>
                <w:noProof/>
              </w:rPr>
              <w:br/>
            </w:r>
            <w:r>
              <w:rPr>
                <w:rFonts w:ascii="Times New Roman" w:hAnsi="Times New Roman"/>
                <w:noProof/>
                <w:sz w:val="14"/>
              </w:rPr>
              <w:t xml:space="preserve"> </w:t>
            </w:r>
            <w:r>
              <w:rPr>
                <w:rFonts w:ascii="Calibri" w:hAnsi="Calibri"/>
                <w:noProof/>
                <w:sz w:val="16"/>
              </w:rPr>
              <w:t>Stabilirea cerințelor de autorizare și regularizare a structurii rezidențiale pentru persoanele în vârstă care funcționează ilegal;</w:t>
            </w:r>
            <w:r>
              <w:rPr>
                <w:noProof/>
              </w:rPr>
              <w:br/>
            </w:r>
            <w:r>
              <w:rPr>
                <w:rFonts w:ascii="Times New Roman" w:hAnsi="Times New Roman"/>
                <w:noProof/>
                <w:sz w:val="14"/>
              </w:rPr>
              <w:t xml:space="preserve"> </w:t>
            </w:r>
            <w:r>
              <w:rPr>
                <w:rFonts w:ascii="Calibri" w:hAnsi="Calibri"/>
                <w:noProof/>
                <w:sz w:val="16"/>
              </w:rPr>
              <w:t>Introducerea unor criterii de calitate în serviciile și structurile sociale de îngrijire oferite;</w:t>
            </w:r>
          </w:p>
          <w:p w14:paraId="73A3AE3B" w14:textId="77777777"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Crearea cadrului pentru introducerea unor noi tipuri de răspunsuri sociale, cum ar fi locuințele colaborative și noile modele de sprijin la domiciliu pentru a răspunde diferitelor nevoi ale persoanelor în vârstă.</w:t>
            </w:r>
          </w:p>
          <w:p w14:paraId="696011FB" w14:textId="77777777" w:rsidR="00A15990" w:rsidRDefault="00A15990">
            <w:pPr>
              <w:spacing w:after="0" w:line="240" w:lineRule="auto"/>
              <w:jc w:val="both"/>
              <w:rPr>
                <w:rFonts w:ascii="Calibri" w:eastAsia="Times New Roman" w:hAnsi="Calibri" w:cs="Calibri"/>
                <w:noProof/>
                <w:sz w:val="16"/>
              </w:rPr>
            </w:pPr>
          </w:p>
        </w:tc>
      </w:tr>
      <w:tr w:rsidR="00A15990" w14:paraId="4AAC7737" w14:textId="77777777">
        <w:trPr>
          <w:trHeight w:val="1470"/>
        </w:trPr>
        <w:tc>
          <w:tcPr>
            <w:tcW w:w="1124" w:type="dxa"/>
            <w:shd w:val="clear" w:color="auto" w:fill="C5EFCE"/>
            <w:vAlign w:val="center"/>
            <w:hideMark/>
          </w:tcPr>
          <w:p w14:paraId="53E47662" w14:textId="77777777" w:rsidR="00A15990" w:rsidRDefault="00686A62">
            <w:pPr>
              <w:pStyle w:val="P68B1DB1-Normal7"/>
              <w:spacing w:after="0" w:line="240" w:lineRule="auto"/>
              <w:jc w:val="center"/>
              <w:rPr>
                <w:rFonts w:eastAsia="Times New Roman" w:cs="Calibri"/>
                <w:noProof/>
              </w:rPr>
            </w:pPr>
            <w:r>
              <w:rPr>
                <w:noProof/>
              </w:rPr>
              <w:t>3.23</w:t>
            </w:r>
          </w:p>
        </w:tc>
        <w:tc>
          <w:tcPr>
            <w:tcW w:w="1143" w:type="dxa"/>
            <w:shd w:val="clear" w:color="auto" w:fill="C4EFCE"/>
            <w:vAlign w:val="center"/>
            <w:hideMark/>
          </w:tcPr>
          <w:p w14:paraId="7E9E6D6E" w14:textId="77777777" w:rsidR="00A15990" w:rsidRDefault="00686A62">
            <w:pPr>
              <w:pStyle w:val="P68B1DB1-Normal8"/>
              <w:spacing w:after="0" w:line="240" w:lineRule="auto"/>
              <w:jc w:val="center"/>
              <w:rPr>
                <w:rFonts w:eastAsia="Times New Roman" w:cs="Calibri"/>
                <w:noProof/>
              </w:rPr>
            </w:pPr>
            <w:r>
              <w:rPr>
                <w:noProof/>
              </w:rPr>
              <w:t>RE-C03-r07</w:t>
            </w:r>
          </w:p>
        </w:tc>
        <w:tc>
          <w:tcPr>
            <w:tcW w:w="982" w:type="dxa"/>
            <w:shd w:val="clear" w:color="auto" w:fill="C4EFCE"/>
            <w:vAlign w:val="center"/>
            <w:hideMark/>
          </w:tcPr>
          <w:p w14:paraId="1ED92161"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0AE24901" w14:textId="77777777" w:rsidR="00A15990" w:rsidRDefault="00686A62">
            <w:pPr>
              <w:pStyle w:val="P68B1DB1-Normal8"/>
              <w:spacing w:after="0" w:line="240" w:lineRule="auto"/>
              <w:jc w:val="center"/>
              <w:rPr>
                <w:rFonts w:eastAsia="Times New Roman" w:cs="Calibri"/>
                <w:noProof/>
              </w:rPr>
            </w:pPr>
            <w:r>
              <w:rPr>
                <w:noProof/>
              </w:rPr>
              <w:t>Aprobarea planurilor de acțiune pentru comunitățile defavorizate din zonele metropolitane Lisabona și Porto</w:t>
            </w:r>
          </w:p>
        </w:tc>
        <w:tc>
          <w:tcPr>
            <w:tcW w:w="1486" w:type="dxa"/>
            <w:shd w:val="clear" w:color="auto" w:fill="C4EFCE"/>
            <w:vAlign w:val="center"/>
            <w:hideMark/>
          </w:tcPr>
          <w:p w14:paraId="261758C6" w14:textId="77777777" w:rsidR="00A15990" w:rsidRDefault="00686A62">
            <w:pPr>
              <w:pStyle w:val="P68B1DB1-Normal8"/>
              <w:spacing w:after="0" w:line="240" w:lineRule="auto"/>
              <w:jc w:val="center"/>
              <w:rPr>
                <w:rFonts w:eastAsia="Times New Roman" w:cs="Calibri"/>
                <w:noProof/>
              </w:rPr>
            </w:pPr>
            <w:r>
              <w:rPr>
                <w:noProof/>
              </w:rPr>
              <w:t>Aprobarea planurilor de acțiune pentru comunitățile defavorizate din zonele metropolitane Lisabona și Porto pentru teritoriile în cauză.</w:t>
            </w:r>
          </w:p>
        </w:tc>
        <w:tc>
          <w:tcPr>
            <w:tcW w:w="1014" w:type="dxa"/>
            <w:shd w:val="clear" w:color="auto" w:fill="C4EFCE"/>
            <w:vAlign w:val="center"/>
            <w:hideMark/>
          </w:tcPr>
          <w:p w14:paraId="68B55A40"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10543D8B"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0AC9AD61"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60D1855"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6F6B7AA0" w14:textId="77777777" w:rsidR="00A15990" w:rsidRDefault="00686A62">
            <w:pPr>
              <w:pStyle w:val="P68B1DB1-Normal8"/>
              <w:spacing w:after="0" w:line="240" w:lineRule="auto"/>
              <w:jc w:val="center"/>
              <w:rPr>
                <w:rFonts w:eastAsia="Times New Roman" w:cs="Calibri"/>
                <w:noProof/>
              </w:rPr>
            </w:pPr>
            <w:r>
              <w:rPr>
                <w:noProof/>
              </w:rPr>
              <w:t>2021</w:t>
            </w:r>
          </w:p>
        </w:tc>
        <w:tc>
          <w:tcPr>
            <w:tcW w:w="4277" w:type="dxa"/>
            <w:shd w:val="clear" w:color="auto" w:fill="C4EFCE"/>
            <w:vAlign w:val="center"/>
            <w:hideMark/>
          </w:tcPr>
          <w:p w14:paraId="094C2ECF" w14:textId="474A4AD6" w:rsidR="00A15990" w:rsidRDefault="00686A62">
            <w:pPr>
              <w:pStyle w:val="P68B1DB1-Normal8"/>
              <w:spacing w:after="0" w:line="240" w:lineRule="auto"/>
              <w:jc w:val="both"/>
              <w:rPr>
                <w:rFonts w:eastAsia="Times New Roman" w:cs="Calibri"/>
                <w:noProof/>
              </w:rPr>
            </w:pPr>
            <w:r>
              <w:rPr>
                <w:noProof/>
              </w:rPr>
              <w:t>Aprobarea planurilor de acțiune pentru comunitățile defavorizate din zonele metropolitane Lisabona și Porto. Planurile de acțiune se axează pe două domenii principale: I) Intervenții în spațiul public și în infrastructurile sociale, cum ar fi creșele și școlile primare, unitățile de asistență medicală și facilitățile pentru evenimente culturale, ateliere și/sau cursuri de formare; II) Intervenții de natură intangibilă pentru promovarea coeziunii sociale, cum ar fi implicarea activă a comunităților în conceperea și punerea lor în aplicare, promovarea spiritului antreprenorial al întreprinderilor mici, cu sediul la nivel local, conceperea de proiecte de combatere a eșecului școlar și a abandonului școlar, oferirea de formare profesională și promovarea sportului. Se instituie un model de guvernanță, bazat pe principiile guvernanței pe mai multe niveluri și implicând diferiți actori, de la administrația centrală la zonele/cartierele locale. În același timp, trebuie să existe unități tehnice locale în avangarda operațională a acestui model pentru a promova proprietatea și proximitatea în gestionarea și punerea în aplicare a contractelor.</w:t>
            </w:r>
          </w:p>
        </w:tc>
      </w:tr>
      <w:tr w:rsidR="00A15990" w14:paraId="6A8DEB67" w14:textId="77777777">
        <w:trPr>
          <w:trHeight w:val="54"/>
        </w:trPr>
        <w:tc>
          <w:tcPr>
            <w:tcW w:w="1124" w:type="dxa"/>
            <w:shd w:val="clear" w:color="auto" w:fill="C5EFCE"/>
            <w:vAlign w:val="center"/>
            <w:hideMark/>
          </w:tcPr>
          <w:p w14:paraId="2E2BCCE3" w14:textId="77777777" w:rsidR="00A15990" w:rsidRDefault="00686A62">
            <w:pPr>
              <w:pStyle w:val="P68B1DB1-Normal7"/>
              <w:spacing w:after="0" w:line="240" w:lineRule="auto"/>
              <w:jc w:val="center"/>
              <w:rPr>
                <w:rFonts w:eastAsia="Times New Roman" w:cs="Calibri"/>
                <w:noProof/>
              </w:rPr>
            </w:pPr>
            <w:r>
              <w:rPr>
                <w:noProof/>
              </w:rPr>
              <w:t>3.24</w:t>
            </w:r>
          </w:p>
        </w:tc>
        <w:tc>
          <w:tcPr>
            <w:tcW w:w="1143" w:type="dxa"/>
            <w:shd w:val="clear" w:color="auto" w:fill="C4EFCE"/>
            <w:vAlign w:val="center"/>
            <w:hideMark/>
          </w:tcPr>
          <w:p w14:paraId="615FFB2A" w14:textId="3295EEAC" w:rsidR="00A15990" w:rsidRDefault="00686A62">
            <w:pPr>
              <w:pStyle w:val="P68B1DB1-Normal9"/>
              <w:spacing w:after="0" w:line="240" w:lineRule="auto"/>
              <w:jc w:val="center"/>
              <w:rPr>
                <w:rFonts w:eastAsia="Times New Roman" w:cs="Calibri"/>
                <w:noProof/>
                <w:sz w:val="2"/>
              </w:rPr>
            </w:pPr>
            <w:r>
              <w:rPr>
                <w:noProof/>
                <w:sz w:val="16"/>
              </w:rPr>
              <w:t>RE-C03-i06</w:t>
            </w:r>
            <w:r>
              <w:rPr>
                <w:noProof/>
                <w:sz w:val="2"/>
              </w:rPr>
              <w:t xml:space="preserve"> </w:t>
            </w:r>
          </w:p>
        </w:tc>
        <w:tc>
          <w:tcPr>
            <w:tcW w:w="982" w:type="dxa"/>
            <w:shd w:val="clear" w:color="auto" w:fill="C4EFCE"/>
            <w:vAlign w:val="center"/>
            <w:hideMark/>
          </w:tcPr>
          <w:p w14:paraId="3A336285" w14:textId="340ADB5F" w:rsidR="00A15990" w:rsidRDefault="00686A62">
            <w:pPr>
              <w:pStyle w:val="P68B1DB1-Normal9"/>
              <w:spacing w:after="0" w:line="240" w:lineRule="auto"/>
              <w:jc w:val="center"/>
              <w:rPr>
                <w:rFonts w:eastAsia="Times New Roman" w:cs="Calibri"/>
                <w:noProof/>
                <w:sz w:val="2"/>
              </w:rPr>
            </w:pPr>
            <w:r>
              <w:rPr>
                <w:noProof/>
                <w:sz w:val="16"/>
              </w:rPr>
              <w:t>M</w:t>
            </w:r>
            <w:r>
              <w:rPr>
                <w:noProof/>
                <w:sz w:val="2"/>
              </w:rPr>
              <w:t xml:space="preserve"> </w:t>
            </w:r>
          </w:p>
        </w:tc>
        <w:tc>
          <w:tcPr>
            <w:tcW w:w="1740" w:type="dxa"/>
            <w:shd w:val="clear" w:color="auto" w:fill="C4EFCE"/>
            <w:vAlign w:val="center"/>
            <w:hideMark/>
          </w:tcPr>
          <w:p w14:paraId="60576BD2" w14:textId="7F78B1AB" w:rsidR="00A15990" w:rsidRDefault="00686A62">
            <w:pPr>
              <w:pStyle w:val="P68B1DB1-Normal9"/>
              <w:spacing w:after="0" w:line="240" w:lineRule="auto"/>
              <w:jc w:val="center"/>
              <w:rPr>
                <w:rFonts w:eastAsia="Times New Roman" w:cs="Calibri"/>
                <w:noProof/>
                <w:sz w:val="2"/>
              </w:rPr>
            </w:pPr>
            <w:r>
              <w:rPr>
                <w:noProof/>
                <w:sz w:val="16"/>
              </w:rPr>
              <w:t>Semnarea unor acorduri între municipalitățile Lisabona/Porto și unitățile tehnice locale care definesc domeniul de aplicare al măsurilor care urmează să fie sprijinite.</w:t>
            </w:r>
            <w:r>
              <w:rPr>
                <w:noProof/>
                <w:sz w:val="2"/>
              </w:rPr>
              <w:t xml:space="preserve"> </w:t>
            </w:r>
          </w:p>
        </w:tc>
        <w:tc>
          <w:tcPr>
            <w:tcW w:w="1486" w:type="dxa"/>
            <w:shd w:val="clear" w:color="auto" w:fill="C4EFCE"/>
            <w:vAlign w:val="center"/>
            <w:hideMark/>
          </w:tcPr>
          <w:p w14:paraId="14D03986" w14:textId="6BAAE04A" w:rsidR="00A15990" w:rsidRDefault="00686A62">
            <w:pPr>
              <w:pStyle w:val="P68B1DB1-Normal9"/>
              <w:spacing w:after="0" w:line="240" w:lineRule="auto"/>
              <w:jc w:val="center"/>
              <w:rPr>
                <w:rFonts w:eastAsia="Times New Roman" w:cs="Calibri"/>
                <w:noProof/>
                <w:sz w:val="2"/>
              </w:rPr>
            </w:pPr>
            <w:r>
              <w:rPr>
                <w:noProof/>
                <w:sz w:val="16"/>
              </w:rPr>
              <w:t>Semnarea acordurilor privind planurile referitoare la cele 12 domenii de intervenție</w:t>
            </w:r>
            <w:r>
              <w:rPr>
                <w:noProof/>
                <w:sz w:val="2"/>
              </w:rPr>
              <w:t xml:space="preserve"> </w:t>
            </w:r>
          </w:p>
        </w:tc>
        <w:tc>
          <w:tcPr>
            <w:tcW w:w="1014" w:type="dxa"/>
            <w:shd w:val="clear" w:color="auto" w:fill="C4EFCE"/>
            <w:vAlign w:val="center"/>
            <w:hideMark/>
          </w:tcPr>
          <w:p w14:paraId="133B822E" w14:textId="77777777" w:rsidR="00A15990" w:rsidRDefault="00686A62">
            <w:pPr>
              <w:pStyle w:val="P68B1DB1-Normal15"/>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FDD089" w14:textId="77777777" w:rsidR="00A15990" w:rsidRDefault="00686A62">
            <w:pPr>
              <w:pStyle w:val="P68B1DB1-Normal15"/>
              <w:spacing w:after="0" w:line="240" w:lineRule="auto"/>
              <w:jc w:val="center"/>
              <w:rPr>
                <w:rFonts w:eastAsia="Times New Roman" w:cs="Calibri"/>
                <w:noProof/>
              </w:rPr>
            </w:pPr>
            <w:r>
              <w:rPr>
                <w:noProof/>
              </w:rPr>
              <w:t> </w:t>
            </w:r>
          </w:p>
        </w:tc>
        <w:tc>
          <w:tcPr>
            <w:tcW w:w="882" w:type="dxa"/>
            <w:shd w:val="clear" w:color="auto" w:fill="C4EFCE"/>
            <w:vAlign w:val="center"/>
            <w:hideMark/>
          </w:tcPr>
          <w:p w14:paraId="60360FF4" w14:textId="77777777" w:rsidR="00A15990" w:rsidRDefault="00686A62">
            <w:pPr>
              <w:pStyle w:val="P68B1DB1-Normal15"/>
              <w:spacing w:after="0" w:line="240" w:lineRule="auto"/>
              <w:jc w:val="center"/>
              <w:rPr>
                <w:rFonts w:eastAsia="Times New Roman" w:cs="Calibri"/>
                <w:noProof/>
              </w:rPr>
            </w:pPr>
            <w:r>
              <w:rPr>
                <w:noProof/>
              </w:rPr>
              <w:t> </w:t>
            </w:r>
          </w:p>
        </w:tc>
        <w:tc>
          <w:tcPr>
            <w:tcW w:w="680" w:type="dxa"/>
            <w:shd w:val="clear" w:color="auto" w:fill="C4EFCE"/>
            <w:vAlign w:val="center"/>
            <w:hideMark/>
          </w:tcPr>
          <w:p w14:paraId="150EEAF8" w14:textId="19C15C24" w:rsidR="00A15990" w:rsidRDefault="00686A62">
            <w:pPr>
              <w:pStyle w:val="P68B1DB1-Normal9"/>
              <w:spacing w:after="0" w:line="240" w:lineRule="auto"/>
              <w:jc w:val="center"/>
              <w:rPr>
                <w:rFonts w:eastAsia="Times New Roman" w:cs="Calibri"/>
                <w:noProof/>
                <w:sz w:val="2"/>
              </w:rPr>
            </w:pPr>
            <w:r>
              <w:rPr>
                <w:noProof/>
                <w:sz w:val="16"/>
              </w:rPr>
              <w:t>TRIMESTRUL 1</w:t>
            </w:r>
            <w:r>
              <w:rPr>
                <w:noProof/>
                <w:sz w:val="2"/>
              </w:rPr>
              <w:t xml:space="preserve"> </w:t>
            </w:r>
          </w:p>
        </w:tc>
        <w:tc>
          <w:tcPr>
            <w:tcW w:w="845" w:type="dxa"/>
            <w:shd w:val="clear" w:color="auto" w:fill="C4EFCE"/>
            <w:vAlign w:val="center"/>
            <w:hideMark/>
          </w:tcPr>
          <w:p w14:paraId="7858F213" w14:textId="0BA23128" w:rsidR="00A15990" w:rsidRDefault="00686A62">
            <w:pPr>
              <w:pStyle w:val="P68B1DB1-Normal9"/>
              <w:spacing w:after="0" w:line="240" w:lineRule="auto"/>
              <w:jc w:val="center"/>
              <w:rPr>
                <w:rFonts w:eastAsia="Times New Roman" w:cs="Calibri"/>
                <w:noProof/>
                <w:sz w:val="2"/>
              </w:rPr>
            </w:pPr>
            <w:r>
              <w:rPr>
                <w:noProof/>
                <w:sz w:val="16"/>
              </w:rPr>
              <w:t>2022</w:t>
            </w:r>
            <w:r>
              <w:rPr>
                <w:noProof/>
                <w:sz w:val="2"/>
              </w:rPr>
              <w:t xml:space="preserve"> </w:t>
            </w:r>
          </w:p>
        </w:tc>
        <w:tc>
          <w:tcPr>
            <w:tcW w:w="4277" w:type="dxa"/>
            <w:shd w:val="clear" w:color="auto" w:fill="C4EFCE"/>
            <w:vAlign w:val="center"/>
            <w:hideMark/>
          </w:tcPr>
          <w:p w14:paraId="074BB5C5" w14:textId="77777777" w:rsidR="00A15990" w:rsidRDefault="00A15990">
            <w:pPr>
              <w:spacing w:after="0" w:line="240" w:lineRule="auto"/>
              <w:jc w:val="both"/>
              <w:rPr>
                <w:rFonts w:ascii="Calibri" w:eastAsia="Times New Roman" w:hAnsi="Calibri" w:cs="Calibri"/>
                <w:noProof/>
                <w:sz w:val="2"/>
              </w:rPr>
            </w:pPr>
          </w:p>
          <w:p w14:paraId="2B90755B" w14:textId="77777777" w:rsidR="00A15990" w:rsidRDefault="00686A62">
            <w:pPr>
              <w:pStyle w:val="P68B1DB1-Normal8"/>
              <w:spacing w:after="0" w:line="240" w:lineRule="auto"/>
              <w:jc w:val="both"/>
              <w:rPr>
                <w:rFonts w:eastAsia="Times New Roman" w:cs="Calibri"/>
                <w:noProof/>
              </w:rPr>
            </w:pPr>
            <w:r>
              <w:rPr>
                <w:noProof/>
              </w:rPr>
              <w:t xml:space="preserve">Semnarea unor acorduri între zonele metropolitane Porto și Lisabona și unitățile tehnice locale responsabile pentru fiecare dintre cele 12 de zone de intervenție (și anume cartiere), care definesc domeniul de aplicare al măsurilor care urmează să fie sprijinite, calendarul de execuție a acestora, sprijinul bugetar alocat în valoare de 225 milioane EUR și indicatorii de performanță aleși. Măsurile care urmează să fie sprijinite aparțin următoarelor categorii: </w:t>
            </w:r>
          </w:p>
          <w:p w14:paraId="17B62751" w14:textId="420F0041" w:rsidR="00A15990" w:rsidRDefault="00686A62">
            <w:pPr>
              <w:pStyle w:val="P68B1DB1-Normal8"/>
              <w:spacing w:after="0" w:line="240" w:lineRule="auto"/>
              <w:jc w:val="both"/>
              <w:rPr>
                <w:rFonts w:eastAsia="Times New Roman" w:cs="Calibri"/>
                <w:noProof/>
              </w:rPr>
            </w:pPr>
            <w:r>
              <w:rPr>
                <w:noProof/>
              </w:rPr>
              <w:t>• Promovarea sănătății și a calității vieții comunităților</w:t>
            </w:r>
          </w:p>
          <w:p w14:paraId="54898F6F" w14:textId="01E4CBF5" w:rsidR="00A15990" w:rsidRDefault="00686A62">
            <w:pPr>
              <w:pStyle w:val="P68B1DB1-Normal8"/>
              <w:spacing w:after="0" w:line="240" w:lineRule="auto"/>
              <w:jc w:val="both"/>
              <w:rPr>
                <w:rFonts w:eastAsia="Times New Roman" w:cs="Calibri"/>
                <w:noProof/>
              </w:rPr>
            </w:pPr>
            <w:r>
              <w:rPr>
                <w:noProof/>
              </w:rPr>
              <w:t>• Modernizarea fizică a spațiului public sau consolidarea infrastructurilor sociale, de sănătate, de locuințe sau sportive</w:t>
            </w:r>
          </w:p>
          <w:p w14:paraId="624EBE3B" w14:textId="4572A9ED" w:rsidR="00A15990" w:rsidRDefault="00686A62">
            <w:pPr>
              <w:pStyle w:val="P68B1DB1-Normal8"/>
              <w:spacing w:after="0" w:line="240" w:lineRule="auto"/>
              <w:jc w:val="both"/>
              <w:rPr>
                <w:rFonts w:eastAsia="Times New Roman" w:cs="Calibri"/>
                <w:noProof/>
              </w:rPr>
            </w:pPr>
            <w:r>
              <w:rPr>
                <w:noProof/>
              </w:rPr>
              <w:t>• Regenerarea economică a zonelor defavorizate din punct de vedere social</w:t>
            </w:r>
          </w:p>
          <w:p w14:paraId="5AEDB899" w14:textId="1FE16CD3" w:rsidR="00A15990" w:rsidRDefault="00686A62">
            <w:pPr>
              <w:pStyle w:val="P68B1DB1-Normal8"/>
              <w:spacing w:after="0" w:line="240" w:lineRule="auto"/>
              <w:jc w:val="both"/>
              <w:rPr>
                <w:rFonts w:eastAsia="Times New Roman" w:cs="Calibri"/>
                <w:noProof/>
              </w:rPr>
            </w:pPr>
            <w:r>
              <w:rPr>
                <w:noProof/>
              </w:rPr>
              <w:t>• Antreprenoriatul întreprinderilor mici și locale</w:t>
            </w:r>
          </w:p>
          <w:p w14:paraId="2618AB0D" w14:textId="60D4AC3E" w:rsidR="00A15990" w:rsidRDefault="00686A62">
            <w:pPr>
              <w:pStyle w:val="P68B1DB1-Normal8"/>
              <w:spacing w:after="0" w:line="240" w:lineRule="auto"/>
              <w:jc w:val="both"/>
              <w:rPr>
                <w:rFonts w:eastAsia="Times New Roman" w:cs="Calibri"/>
                <w:noProof/>
              </w:rPr>
            </w:pPr>
            <w:r>
              <w:rPr>
                <w:noProof/>
              </w:rPr>
              <w:t>• Accesul la sănătate, dezvoltarea sănătății comunitare și combaterea dependențelor</w:t>
            </w:r>
          </w:p>
          <w:p w14:paraId="59E0A48F" w14:textId="2B2BB1BF" w:rsidR="00A15990" w:rsidRDefault="00686A62">
            <w:pPr>
              <w:pStyle w:val="P68B1DB1-Normal8"/>
              <w:spacing w:after="0" w:line="240" w:lineRule="auto"/>
              <w:jc w:val="both"/>
              <w:rPr>
                <w:rFonts w:eastAsia="Times New Roman" w:cs="Calibri"/>
                <w:noProof/>
              </w:rPr>
            </w:pPr>
            <w:r>
              <w:rPr>
                <w:noProof/>
              </w:rPr>
              <w:t>• Programe de îmbătrânire activă și în condiții bune de sănătate</w:t>
            </w:r>
          </w:p>
          <w:p w14:paraId="464EC0E8" w14:textId="7A5664FE" w:rsidR="00A15990" w:rsidRDefault="00686A62">
            <w:pPr>
              <w:pStyle w:val="P68B1DB1-Normal8"/>
              <w:spacing w:after="0" w:line="240" w:lineRule="auto"/>
              <w:jc w:val="both"/>
              <w:rPr>
                <w:rFonts w:eastAsia="Times New Roman" w:cs="Calibri"/>
                <w:noProof/>
              </w:rPr>
            </w:pPr>
            <w:r>
              <w:rPr>
                <w:noProof/>
              </w:rPr>
              <w:t>• Proiecte de combatere a eșecului școlar și a abandonului școlar</w:t>
            </w:r>
          </w:p>
          <w:p w14:paraId="5F6D5B68" w14:textId="2CE34C86" w:rsidR="00A15990" w:rsidRDefault="00686A62">
            <w:pPr>
              <w:pStyle w:val="P68B1DB1-Normal8"/>
              <w:spacing w:after="0" w:line="240" w:lineRule="auto"/>
              <w:jc w:val="both"/>
              <w:rPr>
                <w:rFonts w:eastAsia="Times New Roman" w:cs="Calibri"/>
                <w:noProof/>
              </w:rPr>
            </w:pPr>
            <w:r>
              <w:rPr>
                <w:noProof/>
              </w:rPr>
              <w:t>• Calificarea adulților și certificarea competențelor</w:t>
            </w:r>
          </w:p>
          <w:p w14:paraId="23C5A42E" w14:textId="572B3615" w:rsidR="00A15990" w:rsidRDefault="00686A62">
            <w:pPr>
              <w:pStyle w:val="P68B1DB1-Normal8"/>
              <w:spacing w:after="0" w:line="240" w:lineRule="auto"/>
              <w:jc w:val="both"/>
              <w:rPr>
                <w:rFonts w:eastAsia="Times New Roman" w:cs="Calibri"/>
                <w:noProof/>
              </w:rPr>
            </w:pPr>
            <w:r>
              <w:rPr>
                <w:noProof/>
              </w:rPr>
              <w:t>• Diagnosticarea nevoilor populației și dezvoltarea alfabetizării adulților, a învățării limbii portugheze și a programelor de incluziune digitală</w:t>
            </w:r>
          </w:p>
          <w:p w14:paraId="2FC6B1C6" w14:textId="707952D2" w:rsidR="00A15990" w:rsidRDefault="00686A62">
            <w:pPr>
              <w:pStyle w:val="P68B1DB1-Normal8"/>
              <w:spacing w:after="0" w:line="240" w:lineRule="auto"/>
              <w:jc w:val="both"/>
              <w:rPr>
                <w:rFonts w:eastAsia="Times New Roman" w:cs="Calibri"/>
                <w:noProof/>
              </w:rPr>
            </w:pPr>
            <w:r>
              <w:rPr>
                <w:noProof/>
              </w:rPr>
              <w:t xml:space="preserve">• Formare profesională și politici  </w:t>
            </w:r>
          </w:p>
          <w:p w14:paraId="0C19E077" w14:textId="16BBF976" w:rsidR="00A15990" w:rsidRDefault="00686A62">
            <w:pPr>
              <w:pStyle w:val="P68B1DB1-Normal8"/>
              <w:spacing w:after="0" w:line="240" w:lineRule="auto"/>
              <w:jc w:val="both"/>
              <w:rPr>
                <w:rFonts w:eastAsia="Times New Roman" w:cs="Calibri"/>
                <w:noProof/>
              </w:rPr>
            </w:pPr>
            <w:r>
              <w:rPr>
                <w:noProof/>
              </w:rPr>
              <w:t xml:space="preserve">• Accesul la cultură și creativitate  </w:t>
            </w:r>
          </w:p>
          <w:p w14:paraId="445DE787" w14:textId="15E88B9F" w:rsidR="00A15990" w:rsidRDefault="00686A62">
            <w:pPr>
              <w:pStyle w:val="P68B1DB1-Normal8"/>
              <w:spacing w:after="0" w:line="240" w:lineRule="auto"/>
              <w:jc w:val="both"/>
              <w:rPr>
                <w:rFonts w:eastAsia="Times New Roman" w:cs="Calibri"/>
                <w:noProof/>
              </w:rPr>
            </w:pPr>
            <w:r>
              <w:rPr>
                <w:noProof/>
              </w:rPr>
              <w:t>• Participarea Comunității la gestionarea programului</w:t>
            </w:r>
          </w:p>
          <w:p w14:paraId="1541178C" w14:textId="77FC312E" w:rsidR="00A15990" w:rsidRDefault="00686A62">
            <w:pPr>
              <w:pStyle w:val="P68B1DB1-Normal8"/>
              <w:spacing w:after="0" w:line="240" w:lineRule="auto"/>
              <w:jc w:val="both"/>
              <w:rPr>
                <w:rFonts w:eastAsia="Times New Roman" w:cs="Calibri"/>
                <w:noProof/>
              </w:rPr>
            </w:pPr>
            <w:r>
              <w:rPr>
                <w:noProof/>
              </w:rPr>
              <w:t>• Responsabilizarea actorilor locali în rețelele de parteneriat</w:t>
            </w:r>
          </w:p>
          <w:p w14:paraId="20F7BB6E" w14:textId="58EAC5BB" w:rsidR="00A15990" w:rsidRDefault="00686A62">
            <w:pPr>
              <w:pStyle w:val="P68B1DB1-Normal8"/>
              <w:spacing w:after="0" w:line="240" w:lineRule="auto"/>
              <w:jc w:val="both"/>
              <w:rPr>
                <w:rFonts w:eastAsia="Times New Roman" w:cs="Calibri"/>
                <w:noProof/>
              </w:rPr>
            </w:pPr>
            <w:r>
              <w:rPr>
                <w:noProof/>
              </w:rPr>
              <w:t>• Soluții pentru combaterea sărăciei și a excluziunii sociale</w:t>
            </w:r>
          </w:p>
          <w:p w14:paraId="41B06FE0" w14:textId="626AE119" w:rsidR="00A15990" w:rsidRDefault="00686A62">
            <w:pPr>
              <w:pStyle w:val="P68B1DB1-Normal8"/>
              <w:spacing w:after="0" w:line="240" w:lineRule="auto"/>
              <w:jc w:val="both"/>
              <w:rPr>
                <w:rFonts w:eastAsia="Times New Roman" w:cs="Calibri"/>
                <w:noProof/>
              </w:rPr>
            </w:pPr>
            <w:r>
              <w:rPr>
                <w:noProof/>
              </w:rPr>
              <w:t>• Promovarea sportului</w:t>
            </w:r>
          </w:p>
          <w:p w14:paraId="652D8882" w14:textId="77777777" w:rsidR="00A15990" w:rsidRDefault="00686A62">
            <w:pPr>
              <w:pStyle w:val="P68B1DB1-Normal8"/>
              <w:spacing w:after="0" w:line="240" w:lineRule="auto"/>
              <w:jc w:val="both"/>
              <w:rPr>
                <w:rFonts w:eastAsia="Times New Roman" w:cs="Calibri"/>
                <w:noProof/>
              </w:rPr>
            </w:pPr>
            <w:r>
              <w:rPr>
                <w:noProof/>
              </w:rPr>
              <w:t>• Cetățenia și accesul la drepturi și participarea civică</w:t>
            </w:r>
          </w:p>
          <w:p w14:paraId="394A6176" w14:textId="316BED13" w:rsidR="00A15990" w:rsidRDefault="00A15990">
            <w:pPr>
              <w:spacing w:after="0" w:line="240" w:lineRule="auto"/>
              <w:jc w:val="both"/>
              <w:rPr>
                <w:rFonts w:ascii="Calibri" w:eastAsia="Times New Roman" w:hAnsi="Calibri" w:cs="Calibri"/>
                <w:noProof/>
                <w:sz w:val="16"/>
              </w:rPr>
            </w:pPr>
          </w:p>
          <w:p w14:paraId="1472C29A" w14:textId="2ED36D93" w:rsidR="00A15990" w:rsidRDefault="00686A62">
            <w:pPr>
              <w:pStyle w:val="P68B1DB1-Normal8"/>
              <w:spacing w:after="0" w:line="240" w:lineRule="auto"/>
              <w:jc w:val="both"/>
              <w:rPr>
                <w:rFonts w:eastAsia="Times New Roman" w:cs="Calibri"/>
                <w:noProof/>
              </w:rPr>
            </w:pPr>
            <w:r>
              <w:rPr>
                <w:noProof/>
              </w:rPr>
              <w:t>Termenii de referință pentru viitoarele cereri de proiecte trebuie să includă criterii de eligibilitate care să asigure că proiectele selectate respectă Orientările tehnice de „a nu prejudicia în mod semnificativ” (2021/C58/01) prin utilizarea unei liste de excludere și cerința de conformitate cu legislația UE și națională relevantă în materie de mediu.</w:t>
            </w:r>
          </w:p>
          <w:p w14:paraId="7E890B92" w14:textId="3B827B04" w:rsidR="00A15990" w:rsidRDefault="00A15990">
            <w:pPr>
              <w:spacing w:after="0" w:line="240" w:lineRule="auto"/>
              <w:jc w:val="both"/>
              <w:rPr>
                <w:rFonts w:ascii="Calibri" w:eastAsia="Times New Roman" w:hAnsi="Calibri" w:cs="Calibri"/>
                <w:noProof/>
                <w:sz w:val="2"/>
              </w:rPr>
            </w:pPr>
          </w:p>
        </w:tc>
      </w:tr>
      <w:tr w:rsidR="00A15990" w14:paraId="4A758E18" w14:textId="77777777">
        <w:trPr>
          <w:trHeight w:val="1610"/>
        </w:trPr>
        <w:tc>
          <w:tcPr>
            <w:tcW w:w="1124" w:type="dxa"/>
            <w:shd w:val="clear" w:color="auto" w:fill="C5EFCE"/>
            <w:vAlign w:val="center"/>
            <w:hideMark/>
          </w:tcPr>
          <w:p w14:paraId="497D6364" w14:textId="77777777" w:rsidR="00A15990" w:rsidRDefault="00686A62">
            <w:pPr>
              <w:pStyle w:val="P68B1DB1-Normal7"/>
              <w:spacing w:after="0" w:line="240" w:lineRule="auto"/>
              <w:jc w:val="center"/>
              <w:rPr>
                <w:rFonts w:eastAsia="Times New Roman" w:cs="Calibri"/>
                <w:noProof/>
              </w:rPr>
            </w:pPr>
            <w:r>
              <w:rPr>
                <w:noProof/>
              </w:rPr>
              <w:t>3.25</w:t>
            </w:r>
          </w:p>
        </w:tc>
        <w:tc>
          <w:tcPr>
            <w:tcW w:w="1143" w:type="dxa"/>
            <w:shd w:val="clear" w:color="auto" w:fill="C4EFCE"/>
            <w:vAlign w:val="center"/>
            <w:hideMark/>
          </w:tcPr>
          <w:p w14:paraId="6A5AD6FB" w14:textId="77777777" w:rsidR="00A15990" w:rsidRDefault="00686A62">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39F64B5A" w14:textId="77777777" w:rsidR="00A15990" w:rsidRDefault="00686A62">
            <w:pPr>
              <w:pStyle w:val="P68B1DB1-Normal8"/>
              <w:spacing w:after="0" w:line="240" w:lineRule="auto"/>
              <w:jc w:val="center"/>
              <w:rPr>
                <w:rFonts w:eastAsia="Times New Roman" w:cs="Calibri"/>
                <w:noProof/>
              </w:rPr>
            </w:pPr>
            <w:r>
              <w:rPr>
                <w:noProof/>
              </w:rPr>
              <w:t>M</w:t>
            </w:r>
          </w:p>
        </w:tc>
        <w:tc>
          <w:tcPr>
            <w:tcW w:w="1740" w:type="dxa"/>
            <w:shd w:val="clear" w:color="auto" w:fill="C4EFCE"/>
            <w:vAlign w:val="center"/>
            <w:hideMark/>
          </w:tcPr>
          <w:p w14:paraId="38B59250" w14:textId="77777777" w:rsidR="00A15990" w:rsidRDefault="00686A62">
            <w:pPr>
              <w:pStyle w:val="P68B1DB1-Normal8"/>
              <w:spacing w:after="0" w:line="240" w:lineRule="auto"/>
              <w:jc w:val="center"/>
              <w:rPr>
                <w:rFonts w:eastAsia="Times New Roman" w:cs="Calibri"/>
                <w:noProof/>
              </w:rPr>
            </w:pPr>
            <w:r>
              <w:rPr>
                <w:noProof/>
              </w:rPr>
              <w:t>Publicarea unui raport de monitorizare de către zonele metropolitane Porto și Lisabona cu privire la măsurile luate în fiecare dintre cele 12 domenii de intervenție.</w:t>
            </w:r>
          </w:p>
        </w:tc>
        <w:tc>
          <w:tcPr>
            <w:tcW w:w="1486" w:type="dxa"/>
            <w:shd w:val="clear" w:color="auto" w:fill="C4EFCE"/>
            <w:vAlign w:val="center"/>
            <w:hideMark/>
          </w:tcPr>
          <w:p w14:paraId="28BAE001" w14:textId="77777777" w:rsidR="00A15990" w:rsidRDefault="00686A62">
            <w:pPr>
              <w:pStyle w:val="P68B1DB1-Normal8"/>
              <w:spacing w:after="0" w:line="240" w:lineRule="auto"/>
              <w:jc w:val="center"/>
              <w:rPr>
                <w:rFonts w:eastAsia="Times New Roman" w:cs="Calibri"/>
                <w:noProof/>
              </w:rPr>
            </w:pPr>
            <w:r>
              <w:rPr>
                <w:noProof/>
              </w:rPr>
              <w:t>Publicarea unui raport de monitorizare de către zonele metropolitane Porto și Lisabona</w:t>
            </w:r>
          </w:p>
        </w:tc>
        <w:tc>
          <w:tcPr>
            <w:tcW w:w="1014" w:type="dxa"/>
            <w:shd w:val="clear" w:color="auto" w:fill="C4EFCE"/>
            <w:vAlign w:val="center"/>
            <w:hideMark/>
          </w:tcPr>
          <w:p w14:paraId="24305125"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CA5B68E" w14:textId="77777777" w:rsidR="00A15990" w:rsidRDefault="00686A62">
            <w:pPr>
              <w:pStyle w:val="P68B1DB1-Normal8"/>
              <w:spacing w:after="0" w:line="240" w:lineRule="auto"/>
              <w:jc w:val="center"/>
              <w:rPr>
                <w:rFonts w:eastAsia="Times New Roman" w:cs="Calibri"/>
                <w:noProof/>
              </w:rPr>
            </w:pPr>
            <w:r>
              <w:rPr>
                <w:noProof/>
              </w:rPr>
              <w:t> </w:t>
            </w:r>
          </w:p>
        </w:tc>
        <w:tc>
          <w:tcPr>
            <w:tcW w:w="882" w:type="dxa"/>
            <w:shd w:val="clear" w:color="auto" w:fill="C4EFCE"/>
            <w:vAlign w:val="center"/>
            <w:hideMark/>
          </w:tcPr>
          <w:p w14:paraId="2C5955AE" w14:textId="77777777" w:rsidR="00A15990" w:rsidRDefault="00686A62">
            <w:pPr>
              <w:pStyle w:val="P68B1DB1-Normal8"/>
              <w:spacing w:after="0" w:line="240" w:lineRule="auto"/>
              <w:jc w:val="center"/>
              <w:rPr>
                <w:rFonts w:eastAsia="Times New Roman" w:cs="Calibri"/>
                <w:noProof/>
              </w:rPr>
            </w:pPr>
            <w:r>
              <w:rPr>
                <w:noProof/>
              </w:rPr>
              <w:t> </w:t>
            </w:r>
          </w:p>
        </w:tc>
        <w:tc>
          <w:tcPr>
            <w:tcW w:w="680" w:type="dxa"/>
            <w:shd w:val="clear" w:color="auto" w:fill="C4EFCE"/>
            <w:vAlign w:val="center"/>
            <w:hideMark/>
          </w:tcPr>
          <w:p w14:paraId="7A38C3DB" w14:textId="77777777" w:rsidR="00A15990" w:rsidRDefault="00686A62">
            <w:pPr>
              <w:pStyle w:val="P68B1DB1-Normal8"/>
              <w:spacing w:after="0" w:line="240" w:lineRule="auto"/>
              <w:jc w:val="center"/>
              <w:rPr>
                <w:rFonts w:eastAsia="Times New Roman" w:cs="Calibri"/>
                <w:noProof/>
              </w:rPr>
            </w:pPr>
            <w:r>
              <w:rPr>
                <w:noProof/>
              </w:rPr>
              <w:t>TRIMESTRUL 2</w:t>
            </w:r>
          </w:p>
        </w:tc>
        <w:tc>
          <w:tcPr>
            <w:tcW w:w="845" w:type="dxa"/>
            <w:shd w:val="clear" w:color="auto" w:fill="C4EFCE"/>
            <w:vAlign w:val="center"/>
            <w:hideMark/>
          </w:tcPr>
          <w:p w14:paraId="6EBEABFB" w14:textId="77777777" w:rsidR="00A15990" w:rsidRDefault="00686A62">
            <w:pPr>
              <w:pStyle w:val="P68B1DB1-Normal8"/>
              <w:spacing w:after="0" w:line="240" w:lineRule="auto"/>
              <w:jc w:val="center"/>
              <w:rPr>
                <w:rFonts w:eastAsia="Times New Roman" w:cs="Calibri"/>
                <w:noProof/>
              </w:rPr>
            </w:pPr>
            <w:r>
              <w:rPr>
                <w:noProof/>
              </w:rPr>
              <w:t>2024</w:t>
            </w:r>
          </w:p>
        </w:tc>
        <w:tc>
          <w:tcPr>
            <w:tcW w:w="4277" w:type="dxa"/>
            <w:shd w:val="clear" w:color="auto" w:fill="C4EFCE"/>
            <w:vAlign w:val="center"/>
            <w:hideMark/>
          </w:tcPr>
          <w:p w14:paraId="23D8AD1A" w14:textId="77777777" w:rsidR="00A15990" w:rsidRDefault="00686A62">
            <w:pPr>
              <w:pStyle w:val="P68B1DB1-Normal8"/>
              <w:spacing w:after="0" w:line="240" w:lineRule="auto"/>
              <w:jc w:val="both"/>
              <w:rPr>
                <w:rFonts w:eastAsia="Times New Roman" w:cs="Calibri"/>
                <w:noProof/>
              </w:rPr>
            </w:pPr>
            <w:r>
              <w:rPr>
                <w:noProof/>
              </w:rPr>
              <w:t>Publicarea unui raport de monitorizare de către zonele metropolitane Porto și Lisabona care descrie progresele înregistrate în punerea în aplicare a măsurilor finanțate de program în fiecare domeniu de intervenție, inclusiv execuția bugetară și performanța în raport cu indicatorii aleși pentru fiecare măsură.</w:t>
            </w:r>
          </w:p>
        </w:tc>
      </w:tr>
      <w:tr w:rsidR="00A15990" w14:paraId="729825A9" w14:textId="77777777">
        <w:trPr>
          <w:trHeight w:val="1060"/>
        </w:trPr>
        <w:tc>
          <w:tcPr>
            <w:tcW w:w="1124" w:type="dxa"/>
            <w:shd w:val="clear" w:color="auto" w:fill="C4EFCE"/>
            <w:vAlign w:val="center"/>
            <w:hideMark/>
          </w:tcPr>
          <w:p w14:paraId="1AD90BC8" w14:textId="77777777" w:rsidR="00A15990" w:rsidRDefault="00686A62">
            <w:pPr>
              <w:pStyle w:val="P68B1DB1-Normal7"/>
              <w:spacing w:after="0" w:line="240" w:lineRule="auto"/>
              <w:jc w:val="center"/>
              <w:rPr>
                <w:rFonts w:eastAsia="Times New Roman" w:cs="Calibri"/>
                <w:noProof/>
              </w:rPr>
            </w:pPr>
            <w:r>
              <w:rPr>
                <w:noProof/>
              </w:rPr>
              <w:t>3.26</w:t>
            </w:r>
          </w:p>
        </w:tc>
        <w:tc>
          <w:tcPr>
            <w:tcW w:w="1143" w:type="dxa"/>
            <w:shd w:val="clear" w:color="auto" w:fill="C4EFCE"/>
            <w:vAlign w:val="center"/>
            <w:hideMark/>
          </w:tcPr>
          <w:p w14:paraId="13A5C210" w14:textId="77777777" w:rsidR="00A15990" w:rsidRDefault="00686A62">
            <w:pPr>
              <w:pStyle w:val="P68B1DB1-Normal8"/>
              <w:spacing w:after="0" w:line="240" w:lineRule="auto"/>
              <w:jc w:val="center"/>
              <w:rPr>
                <w:rFonts w:eastAsia="Times New Roman" w:cs="Calibri"/>
                <w:noProof/>
              </w:rPr>
            </w:pPr>
            <w:r>
              <w:rPr>
                <w:noProof/>
              </w:rPr>
              <w:t>RE-C03-i06</w:t>
            </w:r>
          </w:p>
        </w:tc>
        <w:tc>
          <w:tcPr>
            <w:tcW w:w="982" w:type="dxa"/>
            <w:shd w:val="clear" w:color="auto" w:fill="C4EFCE"/>
            <w:vAlign w:val="center"/>
            <w:hideMark/>
          </w:tcPr>
          <w:p w14:paraId="5912A173" w14:textId="77777777" w:rsidR="00A15990" w:rsidRDefault="00686A62">
            <w:pPr>
              <w:pStyle w:val="P68B1DB1-Normal8"/>
              <w:spacing w:after="0" w:line="240" w:lineRule="auto"/>
              <w:jc w:val="center"/>
              <w:rPr>
                <w:rFonts w:eastAsia="Times New Roman" w:cs="Calibri"/>
                <w:noProof/>
              </w:rPr>
            </w:pPr>
            <w:r>
              <w:rPr>
                <w:noProof/>
              </w:rPr>
              <w:t>T</w:t>
            </w:r>
          </w:p>
        </w:tc>
        <w:tc>
          <w:tcPr>
            <w:tcW w:w="1740" w:type="dxa"/>
            <w:shd w:val="clear" w:color="auto" w:fill="C4EFCE"/>
            <w:vAlign w:val="center"/>
            <w:hideMark/>
          </w:tcPr>
          <w:p w14:paraId="3AC8971D" w14:textId="77777777" w:rsidR="00A15990" w:rsidRDefault="00686A62">
            <w:pPr>
              <w:pStyle w:val="P68B1DB1-Normal8"/>
              <w:spacing w:after="0" w:line="240" w:lineRule="auto"/>
              <w:jc w:val="center"/>
              <w:rPr>
                <w:rFonts w:eastAsia="Times New Roman" w:cs="Calibri"/>
                <w:noProof/>
              </w:rPr>
            </w:pPr>
            <w:r>
              <w:rPr>
                <w:noProof/>
              </w:rPr>
              <w:t>Punerea în aplicare integrală a cel puțin 90 % din măsuri</w:t>
            </w:r>
          </w:p>
        </w:tc>
        <w:tc>
          <w:tcPr>
            <w:tcW w:w="1486" w:type="dxa"/>
            <w:shd w:val="clear" w:color="auto" w:fill="C4EFCE"/>
            <w:vAlign w:val="center"/>
            <w:hideMark/>
          </w:tcPr>
          <w:p w14:paraId="3C5A0150" w14:textId="77777777" w:rsidR="00A15990" w:rsidRDefault="00686A62">
            <w:pPr>
              <w:pStyle w:val="P68B1DB1-Normal8"/>
              <w:spacing w:after="0" w:line="240" w:lineRule="auto"/>
              <w:jc w:val="center"/>
              <w:rPr>
                <w:rFonts w:eastAsia="Times New Roman" w:cs="Calibri"/>
                <w:noProof/>
              </w:rPr>
            </w:pPr>
            <w:r>
              <w:rPr>
                <w:noProof/>
              </w:rPr>
              <w:t> </w:t>
            </w:r>
          </w:p>
        </w:tc>
        <w:tc>
          <w:tcPr>
            <w:tcW w:w="1014" w:type="dxa"/>
            <w:shd w:val="clear" w:color="auto" w:fill="C4EFCE"/>
            <w:vAlign w:val="center"/>
            <w:hideMark/>
          </w:tcPr>
          <w:p w14:paraId="63F1225E" w14:textId="77777777" w:rsidR="00A15990" w:rsidRDefault="00686A62">
            <w:pPr>
              <w:pStyle w:val="P68B1DB1-Normal8"/>
              <w:spacing w:after="0" w:line="240" w:lineRule="auto"/>
              <w:jc w:val="center"/>
              <w:rPr>
                <w:rFonts w:eastAsia="Times New Roman" w:cs="Calibri"/>
                <w:noProof/>
              </w:rPr>
            </w:pPr>
            <w:r>
              <w:rPr>
                <w:noProof/>
              </w:rPr>
              <w:t>%</w:t>
            </w:r>
          </w:p>
        </w:tc>
        <w:tc>
          <w:tcPr>
            <w:tcW w:w="1014" w:type="dxa"/>
            <w:shd w:val="clear" w:color="auto" w:fill="C4EFCE"/>
            <w:vAlign w:val="center"/>
            <w:hideMark/>
          </w:tcPr>
          <w:p w14:paraId="34C054DA" w14:textId="77777777" w:rsidR="00A15990" w:rsidRDefault="00686A62">
            <w:pPr>
              <w:pStyle w:val="P68B1DB1-Normal8"/>
              <w:spacing w:after="0" w:line="240" w:lineRule="auto"/>
              <w:jc w:val="center"/>
              <w:rPr>
                <w:rFonts w:eastAsia="Times New Roman" w:cs="Calibri"/>
                <w:noProof/>
              </w:rPr>
            </w:pPr>
            <w:r>
              <w:rPr>
                <w:noProof/>
              </w:rPr>
              <w:t>0</w:t>
            </w:r>
          </w:p>
        </w:tc>
        <w:tc>
          <w:tcPr>
            <w:tcW w:w="882" w:type="dxa"/>
            <w:shd w:val="clear" w:color="auto" w:fill="C4EFCE"/>
            <w:vAlign w:val="center"/>
            <w:hideMark/>
          </w:tcPr>
          <w:p w14:paraId="51840DD4" w14:textId="77777777" w:rsidR="00A15990" w:rsidRDefault="00686A62">
            <w:pPr>
              <w:pStyle w:val="P68B1DB1-Normal8"/>
              <w:spacing w:after="0" w:line="240" w:lineRule="auto"/>
              <w:jc w:val="center"/>
              <w:rPr>
                <w:rFonts w:eastAsia="Times New Roman" w:cs="Calibri"/>
                <w:noProof/>
              </w:rPr>
            </w:pPr>
            <w:r>
              <w:rPr>
                <w:noProof/>
              </w:rPr>
              <w:t>90</w:t>
            </w:r>
          </w:p>
        </w:tc>
        <w:tc>
          <w:tcPr>
            <w:tcW w:w="680" w:type="dxa"/>
            <w:shd w:val="clear" w:color="auto" w:fill="C4EFCE"/>
            <w:vAlign w:val="center"/>
            <w:hideMark/>
          </w:tcPr>
          <w:p w14:paraId="521367AA" w14:textId="77777777" w:rsidR="00A15990" w:rsidRDefault="00686A62">
            <w:pPr>
              <w:pStyle w:val="P68B1DB1-Normal8"/>
              <w:spacing w:after="0" w:line="240" w:lineRule="auto"/>
              <w:jc w:val="center"/>
              <w:rPr>
                <w:rFonts w:eastAsia="Times New Roman" w:cs="Calibri"/>
                <w:noProof/>
              </w:rPr>
            </w:pPr>
            <w:r>
              <w:rPr>
                <w:noProof/>
              </w:rPr>
              <w:t>TRIMESTRUL 4</w:t>
            </w:r>
          </w:p>
        </w:tc>
        <w:tc>
          <w:tcPr>
            <w:tcW w:w="845" w:type="dxa"/>
            <w:shd w:val="clear" w:color="auto" w:fill="C4EFCE"/>
            <w:vAlign w:val="center"/>
            <w:hideMark/>
          </w:tcPr>
          <w:p w14:paraId="4D7CC2F1" w14:textId="77777777" w:rsidR="00A15990" w:rsidRDefault="00686A62">
            <w:pPr>
              <w:pStyle w:val="P68B1DB1-Normal8"/>
              <w:spacing w:after="0" w:line="240" w:lineRule="auto"/>
              <w:jc w:val="center"/>
              <w:rPr>
                <w:rFonts w:eastAsia="Times New Roman" w:cs="Calibri"/>
                <w:noProof/>
              </w:rPr>
            </w:pPr>
            <w:r>
              <w:rPr>
                <w:noProof/>
              </w:rPr>
              <w:t>2025</w:t>
            </w:r>
          </w:p>
        </w:tc>
        <w:tc>
          <w:tcPr>
            <w:tcW w:w="4277" w:type="dxa"/>
            <w:shd w:val="clear" w:color="auto" w:fill="C4EFCE"/>
            <w:vAlign w:val="center"/>
            <w:hideMark/>
          </w:tcPr>
          <w:p w14:paraId="464F7DC1" w14:textId="77777777" w:rsidR="00A15990" w:rsidRDefault="00686A62">
            <w:pPr>
              <w:pStyle w:val="P68B1DB1-Normal8"/>
              <w:spacing w:after="0" w:line="240" w:lineRule="auto"/>
              <w:jc w:val="both"/>
              <w:rPr>
                <w:rFonts w:eastAsia="Times New Roman" w:cs="Calibri"/>
                <w:noProof/>
              </w:rPr>
            </w:pPr>
            <w:r>
              <w:rPr>
                <w:noProof/>
              </w:rPr>
              <w:t>Punerea în aplicare integrală a cel puțin 90 % din măsurile convenite în acordurile semnate pentru cele 12 domenii de intervenție, pentru un buget executat de cel puțin 225 000 000 EUR.</w:t>
            </w:r>
          </w:p>
        </w:tc>
      </w:tr>
      <w:tr w:rsidR="00A15990" w14:paraId="4DC276BA" w14:textId="77777777">
        <w:trPr>
          <w:trHeight w:val="1060"/>
        </w:trPr>
        <w:tc>
          <w:tcPr>
            <w:tcW w:w="1124" w:type="dxa"/>
            <w:shd w:val="clear" w:color="auto" w:fill="C4EFCE"/>
            <w:vAlign w:val="center"/>
          </w:tcPr>
          <w:p w14:paraId="4507E8E2" w14:textId="4B98B2CA" w:rsidR="00A15990" w:rsidRDefault="00686A62">
            <w:pPr>
              <w:pStyle w:val="P68B1DB1-Normal11"/>
              <w:spacing w:after="0" w:line="240" w:lineRule="auto"/>
              <w:jc w:val="center"/>
              <w:rPr>
                <w:rFonts w:eastAsia="Times New Roman" w:cstheme="minorHAnsi"/>
                <w:noProof/>
              </w:rPr>
            </w:pPr>
            <w:r>
              <w:rPr>
                <w:noProof/>
              </w:rPr>
              <w:t>3.28</w:t>
            </w:r>
          </w:p>
        </w:tc>
        <w:tc>
          <w:tcPr>
            <w:tcW w:w="1143" w:type="dxa"/>
            <w:shd w:val="clear" w:color="auto" w:fill="C4EFCE"/>
            <w:vAlign w:val="center"/>
          </w:tcPr>
          <w:p w14:paraId="5B7E0077" w14:textId="4E1DBF5D" w:rsidR="00A15990" w:rsidRDefault="00686A62">
            <w:pPr>
              <w:pStyle w:val="P68B1DB1-Normal12"/>
              <w:spacing w:after="0" w:line="240" w:lineRule="auto"/>
              <w:jc w:val="center"/>
              <w:rPr>
                <w:rFonts w:eastAsia="Times New Roman"/>
                <w:noProof/>
              </w:rPr>
            </w:pPr>
            <w:r>
              <w:rPr>
                <w:noProof/>
              </w:rPr>
              <w:t>RE-03-i07-RAA</w:t>
            </w:r>
          </w:p>
        </w:tc>
        <w:tc>
          <w:tcPr>
            <w:tcW w:w="982" w:type="dxa"/>
            <w:shd w:val="clear" w:color="auto" w:fill="C4EFCE"/>
            <w:vAlign w:val="center"/>
          </w:tcPr>
          <w:p w14:paraId="0BE4B152" w14:textId="6BC582B8" w:rsidR="00A15990" w:rsidRDefault="00686A62">
            <w:pPr>
              <w:pStyle w:val="P68B1DB1-Normal12"/>
              <w:spacing w:after="0" w:line="240" w:lineRule="auto"/>
              <w:jc w:val="center"/>
              <w:rPr>
                <w:rFonts w:eastAsia="Times New Roman" w:cstheme="minorHAnsi"/>
                <w:noProof/>
              </w:rPr>
            </w:pPr>
            <w:r>
              <w:rPr>
                <w:noProof/>
              </w:rPr>
              <w:t>T</w:t>
            </w:r>
          </w:p>
        </w:tc>
        <w:tc>
          <w:tcPr>
            <w:tcW w:w="1740" w:type="dxa"/>
            <w:shd w:val="clear" w:color="auto" w:fill="C4EFCE"/>
            <w:vAlign w:val="center"/>
          </w:tcPr>
          <w:p w14:paraId="5F735354" w14:textId="27282FEA" w:rsidR="00A15990" w:rsidRDefault="00686A62">
            <w:pPr>
              <w:pStyle w:val="P68B1DB1-Normal12"/>
              <w:spacing w:after="0" w:line="240" w:lineRule="auto"/>
              <w:jc w:val="center"/>
              <w:rPr>
                <w:rFonts w:eastAsia="Times New Roman" w:cstheme="minorHAnsi"/>
                <w:noProof/>
              </w:rPr>
            </w:pPr>
            <w:r>
              <w:rPr>
                <w:noProof/>
              </w:rPr>
              <w:t>Locuri extinse sau renovate în centre de îngrijire de tip rezidențial</w:t>
            </w:r>
          </w:p>
        </w:tc>
        <w:tc>
          <w:tcPr>
            <w:tcW w:w="1486" w:type="dxa"/>
            <w:shd w:val="clear" w:color="auto" w:fill="C4EFCE"/>
            <w:vAlign w:val="center"/>
          </w:tcPr>
          <w:p w14:paraId="6650B4B9" w14:textId="77777777" w:rsidR="00A15990" w:rsidRDefault="00A15990">
            <w:pPr>
              <w:spacing w:after="0" w:line="240" w:lineRule="auto"/>
              <w:jc w:val="center"/>
              <w:rPr>
                <w:rFonts w:eastAsia="Times New Roman" w:cstheme="minorHAnsi"/>
                <w:noProof/>
                <w:sz w:val="16"/>
              </w:rPr>
            </w:pPr>
          </w:p>
        </w:tc>
        <w:tc>
          <w:tcPr>
            <w:tcW w:w="1014" w:type="dxa"/>
            <w:shd w:val="clear" w:color="auto" w:fill="C4EFCE"/>
            <w:vAlign w:val="center"/>
          </w:tcPr>
          <w:p w14:paraId="41321D09" w14:textId="260F65A8" w:rsidR="00A15990" w:rsidRDefault="00686A62">
            <w:pPr>
              <w:pStyle w:val="P68B1DB1-Normal12"/>
              <w:spacing w:after="0" w:line="240" w:lineRule="auto"/>
              <w:jc w:val="center"/>
              <w:rPr>
                <w:rFonts w:eastAsia="Times New Roman" w:cstheme="minorHAnsi"/>
                <w:noProof/>
              </w:rPr>
            </w:pPr>
            <w:r>
              <w:rPr>
                <w:noProof/>
              </w:rPr>
              <w:t>Numărul</w:t>
            </w:r>
          </w:p>
        </w:tc>
        <w:tc>
          <w:tcPr>
            <w:tcW w:w="1014" w:type="dxa"/>
            <w:shd w:val="clear" w:color="auto" w:fill="C4EFCE"/>
            <w:vAlign w:val="center"/>
          </w:tcPr>
          <w:p w14:paraId="3A90B777" w14:textId="37BB98B3" w:rsidR="00A15990" w:rsidRDefault="00686A62">
            <w:pPr>
              <w:pStyle w:val="P68B1DB1-Normal12"/>
              <w:spacing w:after="0" w:line="240" w:lineRule="auto"/>
              <w:jc w:val="center"/>
              <w:rPr>
                <w:rFonts w:eastAsia="Times New Roman" w:cstheme="minorHAnsi"/>
                <w:noProof/>
              </w:rPr>
            </w:pPr>
            <w:r>
              <w:rPr>
                <w:noProof/>
              </w:rPr>
              <w:t>0</w:t>
            </w:r>
          </w:p>
        </w:tc>
        <w:tc>
          <w:tcPr>
            <w:tcW w:w="882" w:type="dxa"/>
            <w:shd w:val="clear" w:color="auto" w:fill="C4EFCE"/>
            <w:vAlign w:val="center"/>
          </w:tcPr>
          <w:p w14:paraId="5CDB17DC" w14:textId="772002B1" w:rsidR="00A15990" w:rsidRDefault="00686A62">
            <w:pPr>
              <w:pStyle w:val="P68B1DB1-Normal12"/>
              <w:spacing w:after="0" w:line="240" w:lineRule="auto"/>
              <w:jc w:val="center"/>
              <w:rPr>
                <w:rFonts w:eastAsia="Times New Roman" w:cstheme="minorHAnsi"/>
                <w:noProof/>
              </w:rPr>
            </w:pPr>
            <w:r>
              <w:rPr>
                <w:noProof/>
              </w:rPr>
              <w:t>91</w:t>
            </w:r>
          </w:p>
        </w:tc>
        <w:tc>
          <w:tcPr>
            <w:tcW w:w="680" w:type="dxa"/>
            <w:shd w:val="clear" w:color="auto" w:fill="C4EFCE"/>
            <w:vAlign w:val="center"/>
          </w:tcPr>
          <w:p w14:paraId="5C2F45A3" w14:textId="06EC7B74" w:rsidR="00A15990" w:rsidRDefault="00686A62">
            <w:pPr>
              <w:pStyle w:val="P68B1DB1-Normal12"/>
              <w:spacing w:after="0" w:line="240" w:lineRule="auto"/>
              <w:jc w:val="center"/>
              <w:rPr>
                <w:rFonts w:eastAsia="Times New Roman" w:cstheme="minorHAnsi"/>
                <w:noProof/>
              </w:rPr>
            </w:pPr>
            <w:r>
              <w:rPr>
                <w:noProof/>
              </w:rPr>
              <w:t>TRIMESTRUL 1</w:t>
            </w:r>
          </w:p>
        </w:tc>
        <w:tc>
          <w:tcPr>
            <w:tcW w:w="845" w:type="dxa"/>
            <w:shd w:val="clear" w:color="auto" w:fill="C4EFCE"/>
            <w:vAlign w:val="center"/>
          </w:tcPr>
          <w:p w14:paraId="1C8F5B94" w14:textId="3948B69B" w:rsidR="00A15990" w:rsidRDefault="00686A62">
            <w:pPr>
              <w:pStyle w:val="P68B1DB1-Normal12"/>
              <w:spacing w:after="0" w:line="240" w:lineRule="auto"/>
              <w:jc w:val="center"/>
              <w:rPr>
                <w:rFonts w:eastAsia="Times New Roman" w:cstheme="minorHAnsi"/>
                <w:noProof/>
              </w:rPr>
            </w:pPr>
            <w:r>
              <w:rPr>
                <w:noProof/>
              </w:rPr>
              <w:t>2026</w:t>
            </w:r>
          </w:p>
        </w:tc>
        <w:tc>
          <w:tcPr>
            <w:tcW w:w="4277" w:type="dxa"/>
            <w:shd w:val="clear" w:color="auto" w:fill="C4EFCE"/>
          </w:tcPr>
          <w:p w14:paraId="42B8FCAE" w14:textId="3605253D" w:rsidR="00A15990" w:rsidRDefault="00686A62">
            <w:pPr>
              <w:pStyle w:val="P68B1DB1-Normal12"/>
              <w:spacing w:after="0" w:line="240" w:lineRule="auto"/>
              <w:jc w:val="both"/>
              <w:rPr>
                <w:rFonts w:eastAsia="Times New Roman" w:cstheme="minorHAnsi"/>
                <w:noProof/>
              </w:rPr>
            </w:pPr>
            <w:r>
              <w:rPr>
                <w:noProof/>
              </w:rPr>
              <w:t xml:space="preserve">Numărul de locuri din centrele rezidențiale de îngrijire a persoanelor în vârstă (ERPI) s-a extins sau renovat în Regiunea Autonomă Azore. </w:t>
            </w:r>
            <w:r>
              <w:rPr>
                <w:noProof/>
              </w:rPr>
              <w:br/>
              <w:t>În cazul construirii de clădiri noi, noile clădiri trebuie să aibă o cerere de energie primară cu cel puțin 20 % mai mică decât cerințele pentru clădirile al căror consum de energie este aproape egal cu zero.</w:t>
            </w:r>
          </w:p>
        </w:tc>
      </w:tr>
      <w:tr w:rsidR="00A15990" w14:paraId="51E16407" w14:textId="77777777">
        <w:trPr>
          <w:trHeight w:val="1060"/>
        </w:trPr>
        <w:tc>
          <w:tcPr>
            <w:tcW w:w="1124" w:type="dxa"/>
            <w:shd w:val="clear" w:color="auto" w:fill="C4EFCE"/>
            <w:vAlign w:val="center"/>
          </w:tcPr>
          <w:p w14:paraId="31ECAE86" w14:textId="3C0FD4B9" w:rsidR="00A15990" w:rsidRDefault="00686A62">
            <w:pPr>
              <w:pStyle w:val="P68B1DB1-Normal11"/>
              <w:spacing w:after="0" w:line="240" w:lineRule="auto"/>
              <w:jc w:val="center"/>
              <w:rPr>
                <w:rFonts w:cstheme="minorHAnsi"/>
                <w:noProof/>
              </w:rPr>
            </w:pPr>
            <w:r>
              <w:rPr>
                <w:noProof/>
              </w:rPr>
              <w:t>3.29</w:t>
            </w:r>
          </w:p>
        </w:tc>
        <w:tc>
          <w:tcPr>
            <w:tcW w:w="1143" w:type="dxa"/>
            <w:shd w:val="clear" w:color="auto" w:fill="C4EFCE"/>
            <w:vAlign w:val="center"/>
          </w:tcPr>
          <w:p w14:paraId="5FF028A3" w14:textId="7F4C3916" w:rsidR="00A15990" w:rsidRDefault="00686A62">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1B53ECE1" w14:textId="6640AC21" w:rsidR="00A15990" w:rsidRDefault="00686A62">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7DB32A48" w14:textId="5A1867D2" w:rsidR="00A15990" w:rsidRDefault="00686A62">
            <w:pPr>
              <w:pStyle w:val="P68B1DB1-Normal12"/>
              <w:spacing w:after="0" w:line="240" w:lineRule="auto"/>
              <w:jc w:val="center"/>
              <w:rPr>
                <w:rFonts w:cstheme="minorHAnsi"/>
                <w:noProof/>
              </w:rPr>
            </w:pPr>
            <w:r>
              <w:rPr>
                <w:noProof/>
              </w:rPr>
              <w:t>Raportul Grupului de lucru privind prestațiile sociale unice</w:t>
            </w:r>
          </w:p>
        </w:tc>
        <w:tc>
          <w:tcPr>
            <w:tcW w:w="1486" w:type="dxa"/>
            <w:shd w:val="clear" w:color="auto" w:fill="C4EFCE"/>
            <w:vAlign w:val="center"/>
          </w:tcPr>
          <w:p w14:paraId="5D6A1559" w14:textId="7553CA76" w:rsidR="00A15990" w:rsidRDefault="00686A62">
            <w:pPr>
              <w:pStyle w:val="P68B1DB1-Normal12"/>
              <w:spacing w:after="0" w:line="240" w:lineRule="auto"/>
              <w:jc w:val="center"/>
              <w:rPr>
                <w:rFonts w:eastAsia="Times New Roman" w:cstheme="minorHAnsi"/>
                <w:noProof/>
              </w:rPr>
            </w:pPr>
            <w:r>
              <w:rPr>
                <w:noProof/>
              </w:rPr>
              <w:t xml:space="preserve">Publicarea raportului grupului de lucru privind prestațiile sociale unice </w:t>
            </w:r>
          </w:p>
        </w:tc>
        <w:tc>
          <w:tcPr>
            <w:tcW w:w="1014" w:type="dxa"/>
            <w:shd w:val="clear" w:color="auto" w:fill="C4EFCE"/>
            <w:vAlign w:val="center"/>
          </w:tcPr>
          <w:p w14:paraId="49C1E7A6" w14:textId="77777777" w:rsidR="00A15990" w:rsidRDefault="00A15990">
            <w:pPr>
              <w:spacing w:after="0" w:line="240" w:lineRule="auto"/>
              <w:jc w:val="center"/>
              <w:rPr>
                <w:rFonts w:cstheme="minorHAnsi"/>
                <w:noProof/>
                <w:sz w:val="16"/>
              </w:rPr>
            </w:pPr>
          </w:p>
        </w:tc>
        <w:tc>
          <w:tcPr>
            <w:tcW w:w="1014" w:type="dxa"/>
            <w:shd w:val="clear" w:color="auto" w:fill="C4EFCE"/>
            <w:vAlign w:val="center"/>
          </w:tcPr>
          <w:p w14:paraId="2EE0AFDC" w14:textId="77777777" w:rsidR="00A15990" w:rsidRDefault="00A15990">
            <w:pPr>
              <w:spacing w:after="0" w:line="240" w:lineRule="auto"/>
              <w:jc w:val="center"/>
              <w:rPr>
                <w:rFonts w:cstheme="minorHAnsi"/>
                <w:noProof/>
                <w:sz w:val="16"/>
              </w:rPr>
            </w:pPr>
          </w:p>
        </w:tc>
        <w:tc>
          <w:tcPr>
            <w:tcW w:w="882" w:type="dxa"/>
            <w:shd w:val="clear" w:color="auto" w:fill="C4EFCE"/>
            <w:vAlign w:val="center"/>
          </w:tcPr>
          <w:p w14:paraId="7CC75B9E" w14:textId="77777777" w:rsidR="00A15990" w:rsidRDefault="00A15990">
            <w:pPr>
              <w:spacing w:after="0" w:line="240" w:lineRule="auto"/>
              <w:jc w:val="center"/>
              <w:rPr>
                <w:rFonts w:cstheme="minorHAnsi"/>
                <w:noProof/>
                <w:sz w:val="16"/>
              </w:rPr>
            </w:pPr>
          </w:p>
        </w:tc>
        <w:tc>
          <w:tcPr>
            <w:tcW w:w="680" w:type="dxa"/>
            <w:shd w:val="clear" w:color="auto" w:fill="C4EFCE"/>
            <w:vAlign w:val="center"/>
          </w:tcPr>
          <w:p w14:paraId="0712AE4B" w14:textId="2A8B15A4" w:rsidR="00A15990" w:rsidRDefault="00686A62">
            <w:pPr>
              <w:pStyle w:val="P68B1DB1-Normal12"/>
              <w:spacing w:after="0" w:line="240" w:lineRule="auto"/>
              <w:jc w:val="center"/>
              <w:rPr>
                <w:rFonts w:cstheme="minorHAnsi"/>
                <w:noProof/>
              </w:rPr>
            </w:pPr>
            <w:r>
              <w:rPr>
                <w:noProof/>
              </w:rPr>
              <w:t>TRIMESTRUL 1</w:t>
            </w:r>
          </w:p>
        </w:tc>
        <w:tc>
          <w:tcPr>
            <w:tcW w:w="845" w:type="dxa"/>
            <w:shd w:val="clear" w:color="auto" w:fill="C4EFCE"/>
            <w:vAlign w:val="center"/>
          </w:tcPr>
          <w:p w14:paraId="72B52A51" w14:textId="34CA0953" w:rsidR="00A15990" w:rsidRDefault="00686A62">
            <w:pPr>
              <w:pStyle w:val="P68B1DB1-Normal12"/>
              <w:spacing w:after="0" w:line="240" w:lineRule="auto"/>
              <w:jc w:val="center"/>
              <w:rPr>
                <w:rFonts w:cstheme="minorHAnsi"/>
                <w:noProof/>
              </w:rPr>
            </w:pPr>
            <w:r>
              <w:rPr>
                <w:noProof/>
              </w:rPr>
              <w:t>2025</w:t>
            </w:r>
          </w:p>
        </w:tc>
        <w:tc>
          <w:tcPr>
            <w:tcW w:w="4277" w:type="dxa"/>
            <w:shd w:val="clear" w:color="auto" w:fill="C4EFCE"/>
          </w:tcPr>
          <w:p w14:paraId="2B2552AC" w14:textId="033FBD53" w:rsidR="00A15990" w:rsidRDefault="00686A62">
            <w:pPr>
              <w:pStyle w:val="P68B1DB1-Normal12"/>
              <w:spacing w:after="0" w:line="240" w:lineRule="auto"/>
              <w:jc w:val="both"/>
              <w:rPr>
                <w:rFonts w:cstheme="minorHAnsi"/>
                <w:noProof/>
              </w:rPr>
            </w:pPr>
            <w:r>
              <w:rPr>
                <w:noProof/>
              </w:rPr>
              <w:t>Publicarea raportului grupului de lucru privind prestațiile sociale unice, care conține principalele elemente ale elaborării și punerii în aplicare formale a acestuia. Raportul include o evaluare a impactului său asupra acoperirii, a nivelului de adecvare și de eficacitate, inclusiv cu privire la aspecte precum prevenirea suprapunerilor, eliminarea lacunelor în materie de protecție socială și îmbunătățirea nivelurilor de adoptare.</w:t>
            </w:r>
          </w:p>
        </w:tc>
      </w:tr>
      <w:tr w:rsidR="00A15990" w14:paraId="320C179B" w14:textId="77777777">
        <w:trPr>
          <w:trHeight w:val="1060"/>
        </w:trPr>
        <w:tc>
          <w:tcPr>
            <w:tcW w:w="1124" w:type="dxa"/>
            <w:shd w:val="clear" w:color="auto" w:fill="C4EFCE"/>
            <w:vAlign w:val="center"/>
          </w:tcPr>
          <w:p w14:paraId="6DED1EC3" w14:textId="46609D91" w:rsidR="00A15990" w:rsidRDefault="00686A62">
            <w:pPr>
              <w:pStyle w:val="P68B1DB1-Normal11"/>
              <w:spacing w:after="0" w:line="240" w:lineRule="auto"/>
              <w:jc w:val="center"/>
              <w:rPr>
                <w:rFonts w:cstheme="minorHAnsi"/>
                <w:noProof/>
              </w:rPr>
            </w:pPr>
            <w:r>
              <w:rPr>
                <w:noProof/>
              </w:rPr>
              <w:t>3.30</w:t>
            </w:r>
          </w:p>
        </w:tc>
        <w:tc>
          <w:tcPr>
            <w:tcW w:w="1143" w:type="dxa"/>
            <w:shd w:val="clear" w:color="auto" w:fill="C4EFCE"/>
            <w:vAlign w:val="center"/>
          </w:tcPr>
          <w:p w14:paraId="3CC2208B" w14:textId="71329F96" w:rsidR="00A15990" w:rsidRDefault="00686A62">
            <w:pPr>
              <w:pStyle w:val="P68B1DB1-Normal12"/>
              <w:spacing w:after="0" w:line="240" w:lineRule="auto"/>
              <w:jc w:val="center"/>
              <w:rPr>
                <w:rFonts w:cstheme="minorHAnsi"/>
                <w:noProof/>
              </w:rPr>
            </w:pPr>
            <w:r>
              <w:rPr>
                <w:noProof/>
              </w:rPr>
              <w:t>RE-C03-r38</w:t>
            </w:r>
          </w:p>
        </w:tc>
        <w:tc>
          <w:tcPr>
            <w:tcW w:w="982" w:type="dxa"/>
            <w:shd w:val="clear" w:color="auto" w:fill="C4EFCE"/>
            <w:vAlign w:val="center"/>
          </w:tcPr>
          <w:p w14:paraId="7E673827" w14:textId="115241B8" w:rsidR="00A15990" w:rsidRDefault="00686A62">
            <w:pPr>
              <w:pStyle w:val="P68B1DB1-Normal12"/>
              <w:spacing w:after="0" w:line="240" w:lineRule="auto"/>
              <w:jc w:val="center"/>
              <w:rPr>
                <w:rFonts w:cstheme="minorHAnsi"/>
                <w:noProof/>
              </w:rPr>
            </w:pPr>
            <w:r>
              <w:rPr>
                <w:noProof/>
              </w:rPr>
              <w:t>M</w:t>
            </w:r>
          </w:p>
        </w:tc>
        <w:tc>
          <w:tcPr>
            <w:tcW w:w="1740" w:type="dxa"/>
            <w:shd w:val="clear" w:color="auto" w:fill="C4EFCE"/>
            <w:vAlign w:val="center"/>
          </w:tcPr>
          <w:p w14:paraId="58E23131" w14:textId="741F88C0" w:rsidR="00A15990" w:rsidRDefault="00686A62">
            <w:pPr>
              <w:pStyle w:val="P68B1DB1-Normal12"/>
              <w:spacing w:after="0" w:line="240" w:lineRule="auto"/>
              <w:jc w:val="center"/>
              <w:rPr>
                <w:noProof/>
              </w:rPr>
            </w:pPr>
            <w:r>
              <w:rPr>
                <w:noProof/>
              </w:rPr>
              <w:t xml:space="preserve">Intrarea în vigoare a prestației sociale unice (în cadrul sistemului de protecție socială a cetățeniei) și a Codului prestațiilor sociale </w:t>
            </w:r>
          </w:p>
        </w:tc>
        <w:tc>
          <w:tcPr>
            <w:tcW w:w="1486" w:type="dxa"/>
            <w:shd w:val="clear" w:color="auto" w:fill="C4EFCE"/>
            <w:vAlign w:val="center"/>
          </w:tcPr>
          <w:p w14:paraId="78861CE8" w14:textId="020506AF" w:rsidR="00A15990" w:rsidRDefault="00686A62">
            <w:pPr>
              <w:pStyle w:val="P68B1DB1-Normal12"/>
              <w:spacing w:after="0" w:line="240" w:lineRule="auto"/>
              <w:jc w:val="center"/>
              <w:rPr>
                <w:rFonts w:eastAsia="Times New Roman" w:cstheme="minorHAnsi"/>
                <w:noProof/>
              </w:rPr>
            </w:pPr>
            <w:r>
              <w:rPr>
                <w:noProof/>
              </w:rPr>
              <w:t xml:space="preserve">Dispoziție legislativă care indică data de intrare în vigoare a legislațiilor </w:t>
            </w:r>
          </w:p>
        </w:tc>
        <w:tc>
          <w:tcPr>
            <w:tcW w:w="1014" w:type="dxa"/>
            <w:shd w:val="clear" w:color="auto" w:fill="C4EFCE"/>
            <w:vAlign w:val="center"/>
          </w:tcPr>
          <w:p w14:paraId="4C0FF700" w14:textId="77777777" w:rsidR="00A15990" w:rsidRDefault="00A15990">
            <w:pPr>
              <w:spacing w:after="0" w:line="240" w:lineRule="auto"/>
              <w:jc w:val="center"/>
              <w:rPr>
                <w:rFonts w:cstheme="minorHAnsi"/>
                <w:noProof/>
                <w:sz w:val="16"/>
              </w:rPr>
            </w:pPr>
          </w:p>
        </w:tc>
        <w:tc>
          <w:tcPr>
            <w:tcW w:w="1014" w:type="dxa"/>
            <w:shd w:val="clear" w:color="auto" w:fill="C4EFCE"/>
            <w:vAlign w:val="center"/>
          </w:tcPr>
          <w:p w14:paraId="1B83AB9F" w14:textId="77777777" w:rsidR="00A15990" w:rsidRDefault="00A15990">
            <w:pPr>
              <w:spacing w:after="0" w:line="240" w:lineRule="auto"/>
              <w:jc w:val="center"/>
              <w:rPr>
                <w:rFonts w:cstheme="minorHAnsi"/>
                <w:noProof/>
                <w:sz w:val="16"/>
              </w:rPr>
            </w:pPr>
          </w:p>
        </w:tc>
        <w:tc>
          <w:tcPr>
            <w:tcW w:w="882" w:type="dxa"/>
            <w:shd w:val="clear" w:color="auto" w:fill="C4EFCE"/>
            <w:vAlign w:val="center"/>
          </w:tcPr>
          <w:p w14:paraId="255BA677" w14:textId="77777777" w:rsidR="00A15990" w:rsidRDefault="00A15990">
            <w:pPr>
              <w:spacing w:after="0" w:line="240" w:lineRule="auto"/>
              <w:jc w:val="center"/>
              <w:rPr>
                <w:rFonts w:cstheme="minorHAnsi"/>
                <w:noProof/>
                <w:sz w:val="16"/>
              </w:rPr>
            </w:pPr>
          </w:p>
        </w:tc>
        <w:tc>
          <w:tcPr>
            <w:tcW w:w="680" w:type="dxa"/>
            <w:shd w:val="clear" w:color="auto" w:fill="C4EFCE"/>
            <w:vAlign w:val="center"/>
          </w:tcPr>
          <w:p w14:paraId="480DE372" w14:textId="1647FFAA" w:rsidR="00A15990" w:rsidRDefault="00686A62">
            <w:pPr>
              <w:pStyle w:val="P68B1DB1-Normal12"/>
              <w:spacing w:after="0" w:line="240" w:lineRule="auto"/>
              <w:jc w:val="center"/>
              <w:rPr>
                <w:rFonts w:cstheme="minorHAnsi"/>
                <w:noProof/>
              </w:rPr>
            </w:pPr>
            <w:r>
              <w:rPr>
                <w:noProof/>
              </w:rPr>
              <w:t>TRIMESTRUL 2</w:t>
            </w:r>
          </w:p>
        </w:tc>
        <w:tc>
          <w:tcPr>
            <w:tcW w:w="845" w:type="dxa"/>
            <w:shd w:val="clear" w:color="auto" w:fill="C4EFCE"/>
            <w:vAlign w:val="center"/>
          </w:tcPr>
          <w:p w14:paraId="57DB5970" w14:textId="6327CAC3" w:rsidR="00A15990" w:rsidRDefault="00686A62">
            <w:pPr>
              <w:pStyle w:val="P68B1DB1-Normal12"/>
              <w:spacing w:after="0" w:line="240" w:lineRule="auto"/>
              <w:jc w:val="center"/>
              <w:rPr>
                <w:rFonts w:cstheme="minorHAnsi"/>
                <w:noProof/>
              </w:rPr>
            </w:pPr>
            <w:r>
              <w:rPr>
                <w:noProof/>
              </w:rPr>
              <w:t>2026</w:t>
            </w:r>
          </w:p>
        </w:tc>
        <w:tc>
          <w:tcPr>
            <w:tcW w:w="4277" w:type="dxa"/>
            <w:shd w:val="clear" w:color="auto" w:fill="C4EFCE"/>
            <w:vAlign w:val="center"/>
          </w:tcPr>
          <w:p w14:paraId="5ECEC7B1" w14:textId="737ABB65" w:rsidR="00A15990" w:rsidRDefault="00686A62">
            <w:pPr>
              <w:pStyle w:val="P68B1DB1-Normal12"/>
              <w:spacing w:after="0" w:line="240" w:lineRule="auto"/>
              <w:jc w:val="both"/>
              <w:rPr>
                <w:noProof/>
              </w:rPr>
            </w:pPr>
            <w:r>
              <w:rPr>
                <w:noProof/>
              </w:rPr>
              <w:t xml:space="preserve">Intrarea în vigoare a legislației de instituire a prestației sociale unice (în cadrul sistemului de protecție socială a cetățeniei), în urma publicării raportului grupului de lucru privind prestațiile sociale unice și a consultărilor cu părțile interesate relevante. </w:t>
            </w:r>
          </w:p>
          <w:p w14:paraId="32A056B9" w14:textId="49C14321" w:rsidR="00A15990" w:rsidRDefault="00A15990">
            <w:pPr>
              <w:spacing w:after="0" w:line="240" w:lineRule="auto"/>
              <w:jc w:val="both"/>
              <w:rPr>
                <w:noProof/>
                <w:sz w:val="16"/>
              </w:rPr>
            </w:pPr>
          </w:p>
          <w:p w14:paraId="15031367" w14:textId="7F2F4187" w:rsidR="00A15990" w:rsidRDefault="00686A62">
            <w:pPr>
              <w:pStyle w:val="P68B1DB1-Normal12"/>
              <w:spacing w:after="0" w:line="240" w:lineRule="auto"/>
              <w:jc w:val="both"/>
              <w:rPr>
                <w:noProof/>
              </w:rPr>
            </w:pPr>
            <w:r>
              <w:rPr>
                <w:noProof/>
              </w:rPr>
              <w:t>Intrarea în vigoare a legislației de instituire a Codului prestațiilor sociale, care simplifică, armonizează și consolidează legislația care reglementează prestațiile sociale.</w:t>
            </w:r>
          </w:p>
        </w:tc>
      </w:tr>
    </w:tbl>
    <w:p w14:paraId="01FFACF8"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8BEF5A8"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78"/>
          <w:headerReference w:type="default" r:id="rId79"/>
          <w:footerReference w:type="even" r:id="rId80"/>
          <w:footerReference w:type="default" r:id="rId81"/>
          <w:headerReference w:type="first" r:id="rId82"/>
          <w:footerReference w:type="first" r:id="rId83"/>
          <w:pgSz w:w="16839" w:h="11907" w:orient="landscape"/>
          <w:pgMar w:top="1134" w:right="1134" w:bottom="1134" w:left="1134" w:header="567" w:footer="567" w:gutter="0"/>
          <w:cols w:space="720"/>
          <w:docGrid w:linePitch="360"/>
        </w:sectPr>
      </w:pPr>
    </w:p>
    <w:p w14:paraId="20E2D1A0"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D. COMPONENTA 4: Cultură</w:t>
      </w:r>
    </w:p>
    <w:p w14:paraId="3890A551" w14:textId="77777777" w:rsidR="00A15990" w:rsidRDefault="00686A62">
      <w:pPr>
        <w:pStyle w:val="P68B1DB1-Normal4"/>
        <w:keepNext/>
        <w:spacing w:before="40" w:after="0" w:line="259" w:lineRule="auto"/>
        <w:jc w:val="both"/>
        <w:rPr>
          <w:rFonts w:eastAsiaTheme="minorEastAsia" w:cs="Times New Roman"/>
          <w:noProof/>
        </w:rPr>
      </w:pPr>
      <w:r>
        <w:rPr>
          <w:noProof/>
        </w:rPr>
        <w:t>Componenta abordează atât provocările legate de efectele pandemiei de COVID-19, cât și problemele moștenite în urma unei situații de lipsă cronică de resurse pentru întreținerea, renovarea și modernizarea instalațiilor și echipamentelor culturale.</w:t>
      </w:r>
    </w:p>
    <w:p w14:paraId="2022E520" w14:textId="77777777" w:rsidR="00A15990" w:rsidRDefault="00686A62">
      <w:pPr>
        <w:pStyle w:val="P68B1DB1-Normal4"/>
        <w:keepNext/>
        <w:spacing w:before="40" w:after="0" w:line="259" w:lineRule="auto"/>
        <w:jc w:val="both"/>
        <w:rPr>
          <w:rFonts w:eastAsiaTheme="minorEastAsia" w:cs="Times New Roman"/>
          <w:noProof/>
        </w:rPr>
      </w:pPr>
      <w:r>
        <w:rPr>
          <w:noProof/>
        </w:rPr>
        <w:t>Principalele obiective ale componentei Cultura sunt renovarea clădirilor și a monumentelor naționale; protecția tehnicilor și profesiilor artizanale; modernizarea infrastructurii tehnologice și a instalațiilor culturale; digitalizarea operelor de artă și a patrimoniului cultural; și internaționalizarea, modernizarea și tranziția digitală a librăriilor și a editării de cărți.</w:t>
      </w:r>
    </w:p>
    <w:p w14:paraId="75BCC82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Componenta contribuie la abordarea recomandărilor specifice fiecărei țări de a lua toate măsurile necesare pentru a combate în mod eficace pandemia, a susține economia și a sprijini redresarea acesteia (recomandarea specifică fiecărei țări 1 2020); și sprijinirea utilizării tehnologiilor digitale pentru a stimula competitivitatea întreprinderilor (recomandarea specifică fiecărei țări 2 2020). </w:t>
      </w:r>
    </w:p>
    <w:p w14:paraId="66575D9A"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40AECA44"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D.1. Descrierea reformelor și a investițiilor pentru sprijinul financiar nerambursabil</w:t>
      </w:r>
    </w:p>
    <w:p w14:paraId="0C926D12"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RE-C04-i01: Rețelele culturale și tranziția digitală</w:t>
      </w:r>
    </w:p>
    <w:p w14:paraId="686F0143" w14:textId="1C6FCC1E" w:rsidR="00A15990" w:rsidRDefault="00686A62">
      <w:pPr>
        <w:pStyle w:val="P68B1DB1-Normal4"/>
        <w:widowControl w:val="0"/>
        <w:spacing w:before="120" w:after="140" w:line="257" w:lineRule="auto"/>
        <w:jc w:val="both"/>
        <w:rPr>
          <w:rFonts w:eastAsiaTheme="minorEastAsia" w:cs="Times New Roman"/>
          <w:noProof/>
        </w:rPr>
      </w:pPr>
      <w:r>
        <w:rPr>
          <w:noProof/>
        </w:rPr>
        <w:t>Obiectivul măsurii este modernizarea infrastructurii tehnologice a instalațiilor culturale publice care promovează tranziția digitală a acestora. Mai precis, acest lucru implică conservarea viitoare a operelor de artă și a patrimoniului cultural; îmbunătățirea experienței culturale; creșterea cererii de activități culturale și atragerea unui public nou, în special a noilor generații. Se preconizează că reziliența sectorului va fi sporită prin promovarea unor noi modele de afaceri, cum ar fi abonamentele și streamingul; și sprijinirea domeniilor culturale cu o componentă tehnologică puternică, cum ar fi producția de filme 3D.</w:t>
      </w:r>
    </w:p>
    <w:p w14:paraId="05904A40" w14:textId="77777777" w:rsidR="00A15990" w:rsidRDefault="00686A62">
      <w:pPr>
        <w:pStyle w:val="P68B1DB1-Normal4"/>
        <w:spacing w:before="40" w:after="0" w:line="259" w:lineRule="auto"/>
        <w:jc w:val="both"/>
        <w:rPr>
          <w:rFonts w:eastAsiaTheme="minorEastAsia" w:cs="Times New Roman"/>
          <w:noProof/>
        </w:rPr>
      </w:pPr>
      <w:r>
        <w:rPr>
          <w:noProof/>
        </w:rPr>
        <w:t xml:space="preserve">Această investiție constă în următoarele intervenții: </w:t>
      </w:r>
    </w:p>
    <w:p w14:paraId="0B7D23BD" w14:textId="77777777" w:rsidR="00A15990" w:rsidRDefault="00686A62">
      <w:pPr>
        <w:pStyle w:val="P68B1DB1-Normal4"/>
        <w:numPr>
          <w:ilvl w:val="0"/>
          <w:numId w:val="56"/>
        </w:numPr>
        <w:spacing w:before="40" w:after="160" w:line="259" w:lineRule="auto"/>
        <w:ind w:hanging="357"/>
        <w:contextualSpacing/>
        <w:jc w:val="both"/>
        <w:rPr>
          <w:rFonts w:eastAsiaTheme="minorEastAsia" w:cs="Times New Roman"/>
          <w:noProof/>
        </w:rPr>
      </w:pPr>
      <w:r>
        <w:rPr>
          <w:noProof/>
        </w:rPr>
        <w:t>modernizarea infrastructurii tehnologice a facilităților culturale</w:t>
      </w:r>
    </w:p>
    <w:p w14:paraId="5AD0BCC3" w14:textId="7FCD7F04"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achiziționarea de echipamente informatice, crearea de biblioteci mobile online, sisteme de informații și cataloage integrate pentru 239 de biblioteci publice;</w:t>
      </w:r>
    </w:p>
    <w:p w14:paraId="14E65A09" w14:textId="727DB745"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 xml:space="preserve">instalarea acoperirii </w:t>
      </w:r>
      <w:r>
        <w:rPr>
          <w:i/>
          <w:noProof/>
        </w:rPr>
        <w:t>wifi</w:t>
      </w:r>
      <w:r>
        <w:rPr>
          <w:noProof/>
        </w:rPr>
        <w:t xml:space="preserve"> în 50 muzee, palate și monumente;</w:t>
      </w:r>
    </w:p>
    <w:p w14:paraId="6418D2E6" w14:textId="77777777"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achiziționarea de echipamente digitale și video de proiecție pentru 155 cine-teatre și centre publice de artă contemporană;</w:t>
      </w:r>
    </w:p>
    <w:p w14:paraId="60152140" w14:textId="3D336127"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modernizarea tehnologică și menținerea laboratoarelor publice;</w:t>
      </w:r>
    </w:p>
    <w:p w14:paraId="1D93986E" w14:textId="596F8A12" w:rsidR="00A15990" w:rsidRDefault="00686A62">
      <w:pPr>
        <w:pStyle w:val="ListParagraph"/>
        <w:numPr>
          <w:ilvl w:val="1"/>
          <w:numId w:val="70"/>
        </w:numPr>
        <w:spacing w:before="40"/>
        <w:rPr>
          <w:noProof/>
        </w:rPr>
      </w:pPr>
      <w:r>
        <w:rPr>
          <w:noProof/>
        </w:rPr>
        <w:t>modernizarea tehnologică a Arhivei Naționale de Imagini în mișcare (ANIM);</w:t>
      </w:r>
    </w:p>
    <w:p w14:paraId="129B1E79" w14:textId="4144A407" w:rsidR="00A15990" w:rsidRDefault="00686A62">
      <w:pPr>
        <w:pStyle w:val="P68B1DB1-Normal4"/>
        <w:numPr>
          <w:ilvl w:val="1"/>
          <w:numId w:val="70"/>
        </w:numPr>
        <w:spacing w:before="40" w:after="160" w:line="259" w:lineRule="auto"/>
        <w:ind w:hanging="357"/>
        <w:contextualSpacing/>
        <w:jc w:val="both"/>
        <w:rPr>
          <w:rFonts w:eastAsia="Times New Roman" w:cs="Times New Roman"/>
          <w:noProof/>
        </w:rPr>
      </w:pPr>
      <w:r>
        <w:rPr>
          <w:noProof/>
        </w:rPr>
        <w:t>instalarea Arhivei Naționale de Sound.</w:t>
      </w:r>
    </w:p>
    <w:p w14:paraId="63A92FE4" w14:textId="1C99C7CC" w:rsidR="00A15990" w:rsidRDefault="00686A62">
      <w:pPr>
        <w:pStyle w:val="P68B1DB1-Normal4"/>
        <w:numPr>
          <w:ilvl w:val="0"/>
          <w:numId w:val="56"/>
        </w:numPr>
        <w:spacing w:before="40" w:after="160" w:line="259" w:lineRule="auto"/>
        <w:ind w:hanging="357"/>
        <w:contextualSpacing/>
        <w:jc w:val="both"/>
        <w:rPr>
          <w:rFonts w:eastAsiaTheme="minorEastAsia" w:cs="Times New Roman"/>
          <w:noProof/>
        </w:rPr>
      </w:pPr>
      <w:r>
        <w:rPr>
          <w:noProof/>
        </w:rPr>
        <w:t>digitalizarea și virtualizarea colecțiilor Direcției Generale Cărți, Arhive și Biblioteci (DGLAB), Biblioteca Națională Portugheză, Biblioteca Publică Évora, Cinematheque, colecțiile gestionate de Direcția Generală Patrimoniu Cultural (DGPC) și de Direcțiile regionale pentru cultură și digitalizarea materialelor audiovizuale din arhivele istorice ale țării:</w:t>
      </w:r>
    </w:p>
    <w:p w14:paraId="6C9F1DA9" w14:textId="77777777"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digitalizarea și virtualizarea colecțiilor bibliotecilor publice (20 000 000 imagini);</w:t>
      </w:r>
    </w:p>
    <w:p w14:paraId="2F41C273" w14:textId="77777777"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digitalizarea și virtualizarea colecțiilor arhivelor naționale (19 5 00 000 de documente);</w:t>
      </w:r>
    </w:p>
    <w:p w14:paraId="08CD788B" w14:textId="77777777"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digitalizarea a 59 500 de înregistrări ale muzeelor publice;</w:t>
      </w:r>
    </w:p>
    <w:p w14:paraId="4D9619E7" w14:textId="63B3EDDD"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vizite virtuale la muzee;</w:t>
      </w:r>
    </w:p>
    <w:p w14:paraId="6147E91E" w14:textId="0637379A"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digitalizarea a 1 000 filme (Cinematheque); și</w:t>
      </w:r>
    </w:p>
    <w:p w14:paraId="126C8F9B" w14:textId="08B9174F"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digitalizarea și punerea la dispoziția publicului a 45 000 de ore de material audiovizual din arhivele furnizorilor de servicii de televiziune și mass-media istorică din țară</w:t>
      </w:r>
    </w:p>
    <w:p w14:paraId="69CDFB3B" w14:textId="6E712039" w:rsidR="00A15990" w:rsidRDefault="00686A62">
      <w:pPr>
        <w:pStyle w:val="ListParagraph"/>
        <w:numPr>
          <w:ilvl w:val="0"/>
          <w:numId w:val="71"/>
        </w:numPr>
        <w:spacing w:before="40"/>
        <w:rPr>
          <w:noProof/>
        </w:rPr>
      </w:pPr>
      <w:r>
        <w:rPr>
          <w:noProof/>
        </w:rPr>
        <w:t>Internaționalizarea, modernizarea și tranziția digitală a cărților și autorilor:</w:t>
      </w:r>
    </w:p>
    <w:p w14:paraId="1E2C030B" w14:textId="6017B88F"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sprijin pentru traducerea și publicarea de cărți în limbi străine.</w:t>
      </w:r>
    </w:p>
    <w:p w14:paraId="197D7319" w14:textId="77777777" w:rsidR="00A15990" w:rsidRDefault="00686A62">
      <w:pPr>
        <w:pStyle w:val="P68B1DB1-Normal4"/>
        <w:numPr>
          <w:ilvl w:val="1"/>
          <w:numId w:val="70"/>
        </w:numPr>
        <w:spacing w:before="40" w:after="160" w:line="259" w:lineRule="auto"/>
        <w:ind w:hanging="357"/>
        <w:contextualSpacing/>
        <w:jc w:val="both"/>
        <w:rPr>
          <w:rFonts w:eastAsiaTheme="minorEastAsia" w:cs="Times New Roman"/>
          <w:noProof/>
        </w:rPr>
      </w:pPr>
      <w:r>
        <w:rPr>
          <w:noProof/>
        </w:rPr>
        <w:t>sprijin pentru traducerea și editarea de opere literare, inclusiv cărți audio și cărți electronice;</w:t>
      </w:r>
    </w:p>
    <w:p w14:paraId="2A41A423" w14:textId="6D165E09" w:rsidR="00A15990" w:rsidRDefault="00686A62">
      <w:pPr>
        <w:pStyle w:val="P68B1DB1-Normal4"/>
        <w:numPr>
          <w:ilvl w:val="1"/>
          <w:numId w:val="70"/>
        </w:numPr>
        <w:spacing w:before="40" w:after="160" w:line="259" w:lineRule="auto"/>
        <w:ind w:hanging="357"/>
        <w:contextualSpacing/>
        <w:jc w:val="both"/>
        <w:rPr>
          <w:rFonts w:eastAsia="Times New Roman" w:cs="Times New Roman"/>
          <w:noProof/>
        </w:rPr>
      </w:pPr>
      <w:r>
        <w:rPr>
          <w:noProof/>
        </w:rPr>
        <w:t>sprijin pentru modernizarea și tranziția digitală a librăriilor pentru achiziționarea de echipamente și tehnologie.</w:t>
      </w:r>
    </w:p>
    <w:p w14:paraId="496B0AF5" w14:textId="57DF3BD5" w:rsidR="00A15990" w:rsidRDefault="00A15990">
      <w:pPr>
        <w:spacing w:before="40" w:after="160" w:line="259" w:lineRule="auto"/>
        <w:ind w:left="1800"/>
        <w:contextualSpacing/>
        <w:jc w:val="both"/>
        <w:rPr>
          <w:rFonts w:ascii="Times New Roman" w:eastAsia="Times New Roman" w:hAnsi="Times New Roman" w:cs="Times New Roman"/>
          <w:noProof/>
          <w:sz w:val="24"/>
        </w:rPr>
      </w:pPr>
    </w:p>
    <w:p w14:paraId="75954FB6" w14:textId="41574F0B"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martie 2026.</w:t>
      </w:r>
    </w:p>
    <w:p w14:paraId="0CCAFF13" w14:textId="06C899D3" w:rsidR="00A15990" w:rsidRDefault="00A15990">
      <w:pPr>
        <w:spacing w:before="40" w:after="0" w:line="259" w:lineRule="auto"/>
        <w:jc w:val="both"/>
        <w:rPr>
          <w:rFonts w:ascii="Times New Roman" w:eastAsiaTheme="minorEastAsia" w:hAnsi="Times New Roman" w:cs="Times New Roman"/>
          <w:noProof/>
          <w:sz w:val="24"/>
        </w:rPr>
      </w:pPr>
    </w:p>
    <w:p w14:paraId="28A8ED10"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RE-C04-i02: Patrimoniul cultural</w:t>
      </w:r>
    </w:p>
    <w:p w14:paraId="739B4265" w14:textId="3F51DE11" w:rsidR="00A15990" w:rsidRDefault="00686A62">
      <w:pPr>
        <w:pStyle w:val="P68B1DB1-Normal4"/>
        <w:keepNext/>
        <w:widowControl w:val="0"/>
        <w:spacing w:before="120" w:after="120" w:line="259" w:lineRule="auto"/>
        <w:jc w:val="both"/>
        <w:rPr>
          <w:rFonts w:eastAsiaTheme="minorEastAsia" w:cs="Times New Roman"/>
          <w:noProof/>
        </w:rPr>
      </w:pPr>
      <w:r>
        <w:rPr>
          <w:noProof/>
        </w:rPr>
        <w:t>Obiectivul acestei măsuri este renovarea instalațiilor culturale clasificate drept patrimoniu cultural. Unul dintre obiectivele principale este adaptarea acestor instalații la noile standarde de mediu. Acest lucru implică măsuri precum reducerea consumului de energie primară al clădirilor, precum și intervenția în parcurile verzi istorice cu floră și faună unice pentru a promova adaptarea la schimbările climatice și atenuarea acestora prin reutilizarea eficientă a apei pentru irigații.</w:t>
      </w:r>
    </w:p>
    <w:p w14:paraId="264F16C0" w14:textId="77777777" w:rsidR="00A15990" w:rsidRDefault="00686A62">
      <w:pPr>
        <w:pStyle w:val="P68B1DB1-Normal4"/>
        <w:spacing w:before="120" w:after="120" w:line="259" w:lineRule="auto"/>
        <w:jc w:val="both"/>
        <w:rPr>
          <w:rFonts w:eastAsiaTheme="minorEastAsia" w:cs="Times New Roman"/>
          <w:noProof/>
        </w:rPr>
      </w:pPr>
      <w:r>
        <w:rPr>
          <w:noProof/>
        </w:rPr>
        <w:t xml:space="preserve">Această investiție constă în următoarele intervenții: </w:t>
      </w:r>
    </w:p>
    <w:p w14:paraId="4328998B" w14:textId="77777777" w:rsidR="00A15990" w:rsidRDefault="00686A62">
      <w:pPr>
        <w:pStyle w:val="P68B1DB1-Normal4"/>
        <w:keepNext/>
        <w:numPr>
          <w:ilvl w:val="0"/>
          <w:numId w:val="51"/>
        </w:numPr>
        <w:spacing w:before="120" w:after="120" w:line="259" w:lineRule="auto"/>
        <w:contextualSpacing/>
        <w:jc w:val="both"/>
        <w:rPr>
          <w:rFonts w:eastAsiaTheme="minorEastAsia" w:cs="Times New Roman"/>
          <w:noProof/>
        </w:rPr>
      </w:pPr>
      <w:r>
        <w:rPr>
          <w:noProof/>
        </w:rPr>
        <w:t>crearea unui registru de informații și documentație privind producția artizanală internă, identificarea și cartografierea materiilor prime;</w:t>
      </w:r>
    </w:p>
    <w:p w14:paraId="07974284" w14:textId="77777777" w:rsidR="00A15990" w:rsidRDefault="00686A62">
      <w:pPr>
        <w:pStyle w:val="P68B1DB1-Normal4"/>
        <w:keepNext/>
        <w:numPr>
          <w:ilvl w:val="0"/>
          <w:numId w:val="51"/>
        </w:numPr>
        <w:spacing w:before="120" w:after="120" w:line="259" w:lineRule="auto"/>
        <w:contextualSpacing/>
        <w:jc w:val="both"/>
        <w:rPr>
          <w:rFonts w:eastAsiaTheme="minorEastAsia" w:cs="Times New Roman"/>
          <w:noProof/>
        </w:rPr>
      </w:pPr>
      <w:r>
        <w:rPr>
          <w:noProof/>
        </w:rPr>
        <w:t>instalarea de laboratoare și rute ale inițiativei „</w:t>
      </w:r>
      <w:r>
        <w:rPr>
          <w:i/>
          <w:noProof/>
        </w:rPr>
        <w:t>Saber Fazer</w:t>
      </w:r>
      <w:r>
        <w:rPr>
          <w:noProof/>
        </w:rPr>
        <w:t>” privind Centrul tehnologic (protecția tehnicilor și profesiilor artizanale), inclusiv comercializarea produselor;</w:t>
      </w:r>
    </w:p>
    <w:p w14:paraId="50DF6D56" w14:textId="106A4F30" w:rsidR="00A15990" w:rsidRDefault="00686A62">
      <w:pPr>
        <w:pStyle w:val="P68B1DB1-Normal4"/>
        <w:keepNext/>
        <w:numPr>
          <w:ilvl w:val="0"/>
          <w:numId w:val="51"/>
        </w:numPr>
        <w:spacing w:before="120" w:after="120" w:line="259" w:lineRule="auto"/>
        <w:contextualSpacing/>
        <w:jc w:val="both"/>
        <w:rPr>
          <w:rFonts w:eastAsiaTheme="minorEastAsia" w:cs="Times New Roman"/>
          <w:noProof/>
        </w:rPr>
      </w:pPr>
      <w:r>
        <w:rPr>
          <w:noProof/>
        </w:rPr>
        <w:t>crearea de activități (pedagogice și informative privind tehnicile tradiționale);</w:t>
      </w:r>
    </w:p>
    <w:p w14:paraId="773D0F6E" w14:textId="596CA147" w:rsidR="00A15990" w:rsidRDefault="00686A62">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finalizarea lucrărilor în muzee, monumente, palate de stat și teatre naționale, care implică renovarea și/sau recalificarea;</w:t>
      </w:r>
    </w:p>
    <w:p w14:paraId="78989F13" w14:textId="56AD200E" w:rsidR="00A15990" w:rsidRDefault="00686A62">
      <w:pPr>
        <w:pStyle w:val="P68B1DB1-Normal4"/>
        <w:keepNext/>
        <w:numPr>
          <w:ilvl w:val="0"/>
          <w:numId w:val="51"/>
        </w:numPr>
        <w:spacing w:before="120" w:after="0" w:line="259" w:lineRule="auto"/>
        <w:ind w:left="714" w:hanging="357"/>
        <w:contextualSpacing/>
        <w:jc w:val="both"/>
        <w:rPr>
          <w:rFonts w:eastAsiaTheme="minorEastAsia" w:cs="Times New Roman"/>
          <w:noProof/>
        </w:rPr>
      </w:pPr>
      <w:r>
        <w:rPr>
          <w:noProof/>
        </w:rPr>
        <w:t>construirea Arhivei Naționale Sound.</w:t>
      </w:r>
    </w:p>
    <w:p w14:paraId="07BCF263" w14:textId="5FACEEE5" w:rsidR="00A15990" w:rsidRDefault="00A15990">
      <w:pPr>
        <w:keepNext/>
        <w:spacing w:before="120" w:after="0" w:line="259" w:lineRule="auto"/>
        <w:contextualSpacing/>
        <w:jc w:val="both"/>
        <w:rPr>
          <w:rFonts w:ascii="Times New Roman" w:eastAsia="Times New Roman" w:hAnsi="Times New Roman" w:cs="Times New Roman"/>
          <w:noProof/>
          <w:sz w:val="24"/>
        </w:rPr>
      </w:pPr>
    </w:p>
    <w:p w14:paraId="406F9B64" w14:textId="7A3749EE" w:rsidR="00A15990" w:rsidRDefault="00686A62">
      <w:pPr>
        <w:pStyle w:val="P68B1DB1-Normal4"/>
        <w:keepNext/>
        <w:spacing w:before="120" w:after="0" w:line="259" w:lineRule="auto"/>
        <w:contextualSpacing/>
        <w:jc w:val="both"/>
        <w:rPr>
          <w:rFonts w:eastAsiaTheme="minorEastAsia" w:cs="Times New Roman"/>
          <w:noProof/>
        </w:rPr>
      </w:pPr>
      <w:r>
        <w:rPr>
          <w:noProof/>
        </w:rPr>
        <w:t>Punerea în aplicare a investiției se va finaliza până la 31 martie 2026.</w:t>
      </w:r>
    </w:p>
    <w:p w14:paraId="22EEA54D" w14:textId="77777777" w:rsidR="00A15990" w:rsidRDefault="00A15990">
      <w:pPr>
        <w:rPr>
          <w:rFonts w:ascii="Times New Roman" w:eastAsiaTheme="minorEastAsia" w:hAnsi="Times New Roman" w:cs="Times New Roman"/>
          <w:noProof/>
          <w:sz w:val="24"/>
        </w:rPr>
      </w:pPr>
    </w:p>
    <w:p w14:paraId="461EECF2" w14:textId="77777777" w:rsidR="00A15990" w:rsidRDefault="00A15990">
      <w:pPr>
        <w:rPr>
          <w:rFonts w:ascii="Times New Roman" w:eastAsiaTheme="minorEastAsia" w:hAnsi="Times New Roman" w:cs="Times New Roman"/>
          <w:noProof/>
          <w:sz w:val="24"/>
        </w:rPr>
      </w:pPr>
    </w:p>
    <w:p w14:paraId="3E877F21" w14:textId="77777777" w:rsidR="00A15990" w:rsidRDefault="00A15990">
      <w:pPr>
        <w:rPr>
          <w:rFonts w:ascii="Times New Roman" w:eastAsiaTheme="minorEastAsia" w:hAnsi="Times New Roman" w:cs="Times New Roman"/>
          <w:noProof/>
          <w:sz w:val="24"/>
        </w:rPr>
      </w:pPr>
    </w:p>
    <w:p w14:paraId="74F6E330" w14:textId="5CC31371" w:rsidR="00A15990" w:rsidRDefault="00686A62">
      <w:pPr>
        <w:pStyle w:val="P68B1DB1-Normal4"/>
        <w:tabs>
          <w:tab w:val="left" w:pos="3527"/>
        </w:tabs>
        <w:rPr>
          <w:rFonts w:eastAsia="Times New Roman" w:cs="Times New Roman"/>
          <w:noProof/>
        </w:rPr>
      </w:pPr>
      <w:r>
        <w:rPr>
          <w:noProof/>
        </w:rPr>
        <w:tab/>
      </w:r>
    </w:p>
    <w:p w14:paraId="67590288" w14:textId="77777777" w:rsidR="00A15990" w:rsidRDefault="00A15990">
      <w:pPr>
        <w:rPr>
          <w:rFonts w:ascii="Times New Roman" w:eastAsia="Times New Roman" w:hAnsi="Times New Roman" w:cs="Times New Roman"/>
          <w:noProof/>
          <w:sz w:val="24"/>
        </w:rPr>
      </w:pPr>
    </w:p>
    <w:p w14:paraId="33277AD8" w14:textId="77777777" w:rsidR="00A15990" w:rsidRDefault="00A15990">
      <w:pPr>
        <w:rPr>
          <w:rFonts w:ascii="Times New Roman" w:eastAsiaTheme="minorEastAsia" w:hAnsi="Times New Roman" w:cs="Times New Roman"/>
          <w:noProof/>
          <w:sz w:val="24"/>
        </w:rPr>
        <w:sectPr w:rsidR="00A15990" w:rsidSect="00E00EDD">
          <w:headerReference w:type="even" r:id="rId84"/>
          <w:headerReference w:type="default" r:id="rId85"/>
          <w:footerReference w:type="even" r:id="rId86"/>
          <w:footerReference w:type="default" r:id="rId87"/>
          <w:headerReference w:type="first" r:id="rId88"/>
          <w:footerReference w:type="first" r:id="rId89"/>
          <w:pgSz w:w="11907" w:h="16839"/>
          <w:pgMar w:top="1134" w:right="1134" w:bottom="1134" w:left="1134" w:header="567" w:footer="567" w:gutter="0"/>
          <w:cols w:space="720"/>
          <w:docGrid w:linePitch="360"/>
        </w:sectPr>
      </w:pPr>
    </w:p>
    <w:p w14:paraId="0CA086A4" w14:textId="77777777" w:rsidR="00A15990" w:rsidRDefault="00686A62">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D.2. </w:t>
      </w:r>
      <w:r>
        <w:rPr>
          <w:noProof/>
        </w:rPr>
        <w:tab/>
      </w:r>
      <w:r>
        <w:rPr>
          <w:rFonts w:ascii="Times New Roman" w:hAnsi="Times New Roman"/>
          <w:b/>
          <w:noProof/>
          <w:sz w:val="24"/>
          <w:u w:val="single"/>
        </w:rPr>
        <w:t>Obiective de etapă, ținte, indicatori și calendar pentru monitorizarea și punerea în aplicare a sprijinului financiar nerambursabil</w:t>
      </w:r>
    </w:p>
    <w:p w14:paraId="0559F0B6"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191"/>
        <w:gridCol w:w="1060"/>
        <w:gridCol w:w="1588"/>
        <w:gridCol w:w="1193"/>
        <w:gridCol w:w="930"/>
        <w:gridCol w:w="1225"/>
        <w:gridCol w:w="671"/>
        <w:gridCol w:w="539"/>
        <w:gridCol w:w="672"/>
        <w:gridCol w:w="3756"/>
      </w:tblGrid>
      <w:tr w:rsidR="00A15990" w14:paraId="04D8F8F1" w14:textId="77777777">
        <w:trPr>
          <w:trHeight w:val="910"/>
          <w:tblHeader/>
        </w:trPr>
        <w:tc>
          <w:tcPr>
            <w:tcW w:w="1067" w:type="dxa"/>
            <w:vMerge w:val="restart"/>
            <w:shd w:val="clear" w:color="auto" w:fill="B4C6E7"/>
            <w:vAlign w:val="center"/>
            <w:hideMark/>
          </w:tcPr>
          <w:p w14:paraId="66743342"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191" w:type="dxa"/>
            <w:vMerge w:val="restart"/>
            <w:shd w:val="clear" w:color="auto" w:fill="B4C6E7"/>
            <w:vAlign w:val="center"/>
            <w:hideMark/>
          </w:tcPr>
          <w:p w14:paraId="12DF4D36" w14:textId="77777777" w:rsidR="00A15990" w:rsidRDefault="00686A62">
            <w:pPr>
              <w:pStyle w:val="P68B1DB1-Normal16"/>
              <w:spacing w:after="0" w:line="240" w:lineRule="auto"/>
              <w:jc w:val="center"/>
              <w:rPr>
                <w:rFonts w:eastAsia="Times New Roman" w:cs="Times New Roman"/>
                <w:b/>
                <w:noProof/>
              </w:rPr>
            </w:pPr>
            <w:r>
              <w:rPr>
                <w:b/>
                <w:noProof/>
              </w:rPr>
              <w:t>Măsură (reformă sau investiții)</w:t>
            </w:r>
            <w:r>
              <w:rPr>
                <w:noProof/>
              </w:rPr>
              <w:t> </w:t>
            </w:r>
          </w:p>
        </w:tc>
        <w:tc>
          <w:tcPr>
            <w:tcW w:w="1060" w:type="dxa"/>
            <w:vMerge w:val="restart"/>
            <w:shd w:val="clear" w:color="auto" w:fill="B4C6E7"/>
            <w:vAlign w:val="center"/>
            <w:hideMark/>
          </w:tcPr>
          <w:p w14:paraId="1BA1C91E" w14:textId="6B759531" w:rsidR="00A15990" w:rsidRDefault="008D37D6">
            <w:pPr>
              <w:pStyle w:val="P68B1DB1-Normal16"/>
              <w:spacing w:after="0" w:line="240" w:lineRule="auto"/>
              <w:jc w:val="center"/>
              <w:rPr>
                <w:rFonts w:eastAsia="Times New Roman" w:cs="Times New Roman"/>
                <w:b/>
                <w:noProof/>
              </w:rPr>
            </w:pPr>
            <w:r>
              <w:rPr>
                <w:b/>
                <w:noProof/>
              </w:rPr>
              <w:t>Jalon</w:t>
            </w:r>
            <w:r w:rsidR="00686A62">
              <w:rPr>
                <w:b/>
                <w:noProof/>
              </w:rPr>
              <w:t>/</w:t>
            </w:r>
            <w:r w:rsidR="00686A62">
              <w:rPr>
                <w:noProof/>
              </w:rPr>
              <w:t xml:space="preserve"> </w:t>
            </w:r>
            <w:r w:rsidR="00686A62">
              <w:rPr>
                <w:b/>
                <w:noProof/>
              </w:rPr>
              <w:t>Țintă</w:t>
            </w:r>
          </w:p>
        </w:tc>
        <w:tc>
          <w:tcPr>
            <w:tcW w:w="1588" w:type="dxa"/>
            <w:vMerge w:val="restart"/>
            <w:shd w:val="clear" w:color="auto" w:fill="B4C6E7"/>
            <w:vAlign w:val="center"/>
            <w:hideMark/>
          </w:tcPr>
          <w:p w14:paraId="28AD35BA" w14:textId="77777777" w:rsidR="00A15990" w:rsidRDefault="00686A62">
            <w:pPr>
              <w:pStyle w:val="P68B1DB1-Normal16"/>
              <w:spacing w:after="0" w:line="240" w:lineRule="auto"/>
              <w:jc w:val="center"/>
              <w:rPr>
                <w:rFonts w:eastAsia="Times New Roman" w:cs="Times New Roman"/>
                <w:b/>
                <w:noProof/>
              </w:rPr>
            </w:pPr>
            <w:r>
              <w:rPr>
                <w:b/>
                <w:noProof/>
              </w:rPr>
              <w:t>Nume</w:t>
            </w:r>
            <w:r>
              <w:rPr>
                <w:noProof/>
              </w:rPr>
              <w:t> </w:t>
            </w:r>
          </w:p>
        </w:tc>
        <w:tc>
          <w:tcPr>
            <w:tcW w:w="1193" w:type="dxa"/>
            <w:vMerge w:val="restart"/>
            <w:shd w:val="clear" w:color="auto" w:fill="B4C6E7"/>
            <w:vAlign w:val="center"/>
            <w:hideMark/>
          </w:tcPr>
          <w:p w14:paraId="17F2F265" w14:textId="77777777" w:rsidR="00A15990" w:rsidRDefault="00686A62">
            <w:pPr>
              <w:pStyle w:val="P68B1DB1-Normal16"/>
              <w:spacing w:after="0" w:line="240" w:lineRule="auto"/>
              <w:jc w:val="center"/>
              <w:rPr>
                <w:rFonts w:eastAsia="Times New Roman" w:cs="Times New Roman"/>
                <w:b/>
                <w:noProof/>
              </w:rPr>
            </w:pPr>
            <w:r>
              <w:rPr>
                <w:b/>
                <w:noProof/>
              </w:rPr>
              <w:t>Indicatori calitativi (pentru obiectivele de etapă)</w:t>
            </w:r>
            <w:r>
              <w:rPr>
                <w:noProof/>
              </w:rPr>
              <w:t> </w:t>
            </w:r>
          </w:p>
        </w:tc>
        <w:tc>
          <w:tcPr>
            <w:tcW w:w="2826" w:type="dxa"/>
            <w:gridSpan w:val="3"/>
            <w:shd w:val="clear" w:color="auto" w:fill="B4C6E7"/>
            <w:vAlign w:val="center"/>
            <w:hideMark/>
          </w:tcPr>
          <w:p w14:paraId="5E49CDA7" w14:textId="77777777" w:rsidR="00A15990" w:rsidRDefault="00686A62">
            <w:pPr>
              <w:pStyle w:val="P68B1DB1-Normal16"/>
              <w:spacing w:after="0" w:line="240" w:lineRule="auto"/>
              <w:jc w:val="center"/>
              <w:rPr>
                <w:rFonts w:eastAsia="Times New Roman" w:cs="Times New Roman"/>
                <w:b/>
                <w:noProof/>
              </w:rPr>
            </w:pPr>
            <w:r>
              <w:rPr>
                <w:b/>
                <w:noProof/>
              </w:rPr>
              <w:t>Indicatori cantitativi (pentru obiective)</w:t>
            </w:r>
            <w:r>
              <w:rPr>
                <w:noProof/>
              </w:rPr>
              <w:t> </w:t>
            </w:r>
          </w:p>
        </w:tc>
        <w:tc>
          <w:tcPr>
            <w:tcW w:w="1211" w:type="dxa"/>
            <w:gridSpan w:val="2"/>
            <w:shd w:val="clear" w:color="auto" w:fill="B4C6E7"/>
            <w:vAlign w:val="center"/>
            <w:hideMark/>
          </w:tcPr>
          <w:p w14:paraId="50636C03" w14:textId="77777777" w:rsidR="00A15990" w:rsidRDefault="00686A62">
            <w:pPr>
              <w:pStyle w:val="P68B1DB1-Normal16"/>
              <w:spacing w:after="0" w:line="240" w:lineRule="auto"/>
              <w:jc w:val="center"/>
              <w:rPr>
                <w:rFonts w:eastAsia="Times New Roman" w:cs="Times New Roman"/>
                <w:b/>
                <w:noProof/>
              </w:rPr>
            </w:pPr>
            <w:r>
              <w:rPr>
                <w:b/>
                <w:noProof/>
              </w:rPr>
              <w:t>Calendar orientativ pentru finalizare</w:t>
            </w:r>
            <w:r>
              <w:rPr>
                <w:noProof/>
              </w:rPr>
              <w:t> </w:t>
            </w:r>
          </w:p>
        </w:tc>
        <w:tc>
          <w:tcPr>
            <w:tcW w:w="3756" w:type="dxa"/>
            <w:vMerge w:val="restart"/>
            <w:shd w:val="clear" w:color="auto" w:fill="B4C6E7"/>
            <w:noWrap/>
            <w:vAlign w:val="center"/>
            <w:hideMark/>
          </w:tcPr>
          <w:p w14:paraId="1133A1F5" w14:textId="77777777" w:rsidR="00A15990" w:rsidRDefault="00686A62">
            <w:pPr>
              <w:pStyle w:val="P68B1DB1-Normal16"/>
              <w:spacing w:after="0" w:line="240" w:lineRule="auto"/>
              <w:jc w:val="center"/>
              <w:rPr>
                <w:rFonts w:eastAsia="Times New Roman" w:cs="Times New Roman"/>
                <w:b/>
                <w:noProof/>
              </w:rPr>
            </w:pPr>
            <w:r>
              <w:rPr>
                <w:b/>
                <w:noProof/>
              </w:rPr>
              <w:t>Descrierea și definiția clară a fiecărui obiectiv de etapă și a fiecărei ținte</w:t>
            </w:r>
            <w:r>
              <w:rPr>
                <w:noProof/>
              </w:rPr>
              <w:t> </w:t>
            </w:r>
          </w:p>
        </w:tc>
      </w:tr>
      <w:tr w:rsidR="00A15990" w14:paraId="52076021" w14:textId="77777777">
        <w:trPr>
          <w:trHeight w:val="470"/>
          <w:tblHeader/>
        </w:trPr>
        <w:tc>
          <w:tcPr>
            <w:tcW w:w="1067" w:type="dxa"/>
            <w:vMerge/>
            <w:vAlign w:val="center"/>
            <w:hideMark/>
          </w:tcPr>
          <w:p w14:paraId="12D2ED3A" w14:textId="77777777" w:rsidR="00A15990" w:rsidRDefault="00A15990">
            <w:pPr>
              <w:spacing w:after="0" w:line="240" w:lineRule="auto"/>
              <w:rPr>
                <w:rFonts w:ascii="Times New Roman" w:eastAsia="Times New Roman" w:hAnsi="Times New Roman" w:cs="Times New Roman"/>
                <w:b/>
                <w:noProof/>
                <w:sz w:val="18"/>
              </w:rPr>
            </w:pPr>
          </w:p>
        </w:tc>
        <w:tc>
          <w:tcPr>
            <w:tcW w:w="1191" w:type="dxa"/>
            <w:vMerge/>
            <w:vAlign w:val="center"/>
            <w:hideMark/>
          </w:tcPr>
          <w:p w14:paraId="40E37BF9" w14:textId="77777777" w:rsidR="00A15990" w:rsidRDefault="00A15990">
            <w:pPr>
              <w:spacing w:after="0" w:line="240" w:lineRule="auto"/>
              <w:rPr>
                <w:rFonts w:ascii="Times New Roman" w:eastAsia="Times New Roman" w:hAnsi="Times New Roman" w:cs="Times New Roman"/>
                <w:b/>
                <w:noProof/>
                <w:sz w:val="18"/>
              </w:rPr>
            </w:pPr>
          </w:p>
        </w:tc>
        <w:tc>
          <w:tcPr>
            <w:tcW w:w="1060" w:type="dxa"/>
            <w:vMerge/>
            <w:vAlign w:val="center"/>
            <w:hideMark/>
          </w:tcPr>
          <w:p w14:paraId="7217D83F" w14:textId="40991F61" w:rsidR="00A15990" w:rsidRDefault="00A15990">
            <w:pPr>
              <w:spacing w:after="0" w:line="240" w:lineRule="auto"/>
              <w:jc w:val="center"/>
              <w:rPr>
                <w:rFonts w:ascii="Times New Roman" w:eastAsia="Times New Roman" w:hAnsi="Times New Roman" w:cs="Times New Roman"/>
                <w:b/>
                <w:noProof/>
                <w:sz w:val="18"/>
              </w:rPr>
            </w:pPr>
          </w:p>
        </w:tc>
        <w:tc>
          <w:tcPr>
            <w:tcW w:w="1588" w:type="dxa"/>
            <w:vMerge/>
            <w:vAlign w:val="center"/>
            <w:hideMark/>
          </w:tcPr>
          <w:p w14:paraId="17CFCC18" w14:textId="77777777" w:rsidR="00A15990" w:rsidRDefault="00A15990">
            <w:pPr>
              <w:spacing w:after="0" w:line="240" w:lineRule="auto"/>
              <w:rPr>
                <w:rFonts w:ascii="Times New Roman" w:eastAsia="Times New Roman" w:hAnsi="Times New Roman" w:cs="Times New Roman"/>
                <w:b/>
                <w:noProof/>
                <w:sz w:val="18"/>
              </w:rPr>
            </w:pPr>
          </w:p>
        </w:tc>
        <w:tc>
          <w:tcPr>
            <w:tcW w:w="1193" w:type="dxa"/>
            <w:vMerge/>
            <w:vAlign w:val="center"/>
            <w:hideMark/>
          </w:tcPr>
          <w:p w14:paraId="19D57B14" w14:textId="77777777" w:rsidR="00A15990" w:rsidRDefault="00A15990">
            <w:pPr>
              <w:spacing w:after="0" w:line="240" w:lineRule="auto"/>
              <w:rPr>
                <w:rFonts w:ascii="Times New Roman" w:eastAsia="Times New Roman" w:hAnsi="Times New Roman" w:cs="Times New Roman"/>
                <w:b/>
                <w:noProof/>
                <w:sz w:val="18"/>
              </w:rPr>
            </w:pPr>
          </w:p>
        </w:tc>
        <w:tc>
          <w:tcPr>
            <w:tcW w:w="930" w:type="dxa"/>
            <w:shd w:val="clear" w:color="auto" w:fill="B4C6E7"/>
            <w:vAlign w:val="center"/>
            <w:hideMark/>
          </w:tcPr>
          <w:p w14:paraId="2DDF773F" w14:textId="77777777" w:rsidR="00A15990" w:rsidRDefault="00686A62">
            <w:pPr>
              <w:pStyle w:val="P68B1DB1-Normal16"/>
              <w:spacing w:after="0" w:line="240" w:lineRule="auto"/>
              <w:jc w:val="center"/>
              <w:rPr>
                <w:rFonts w:eastAsia="Times New Roman" w:cs="Times New Roman"/>
                <w:b/>
                <w:noProof/>
              </w:rPr>
            </w:pPr>
            <w:r>
              <w:rPr>
                <w:b/>
                <w:noProof/>
              </w:rPr>
              <w:t>Unitate de măsură</w:t>
            </w:r>
            <w:r>
              <w:rPr>
                <w:noProof/>
              </w:rPr>
              <w:t> </w:t>
            </w:r>
          </w:p>
        </w:tc>
        <w:tc>
          <w:tcPr>
            <w:tcW w:w="1225" w:type="dxa"/>
            <w:shd w:val="clear" w:color="auto" w:fill="B4C6E7"/>
            <w:vAlign w:val="center"/>
            <w:hideMark/>
          </w:tcPr>
          <w:p w14:paraId="70EE8293" w14:textId="77777777" w:rsidR="00A15990" w:rsidRDefault="00686A62">
            <w:pPr>
              <w:pStyle w:val="P68B1DB1-Normal16"/>
              <w:spacing w:after="0" w:line="240" w:lineRule="auto"/>
              <w:jc w:val="center"/>
              <w:rPr>
                <w:rFonts w:eastAsia="Times New Roman" w:cs="Times New Roman"/>
                <w:b/>
                <w:noProof/>
              </w:rPr>
            </w:pPr>
            <w:r>
              <w:rPr>
                <w:b/>
                <w:noProof/>
              </w:rPr>
              <w:t>Situația de referință</w:t>
            </w:r>
            <w:r>
              <w:rPr>
                <w:noProof/>
              </w:rPr>
              <w:t> </w:t>
            </w:r>
          </w:p>
        </w:tc>
        <w:tc>
          <w:tcPr>
            <w:tcW w:w="671" w:type="dxa"/>
            <w:shd w:val="clear" w:color="auto" w:fill="B4C6E7"/>
            <w:vAlign w:val="center"/>
            <w:hideMark/>
          </w:tcPr>
          <w:p w14:paraId="091447AD" w14:textId="77777777" w:rsidR="00A15990" w:rsidRDefault="00686A62">
            <w:pPr>
              <w:pStyle w:val="P68B1DB1-Normal16"/>
              <w:spacing w:after="0" w:line="240" w:lineRule="auto"/>
              <w:jc w:val="center"/>
              <w:rPr>
                <w:rFonts w:eastAsia="Times New Roman" w:cs="Times New Roman"/>
                <w:b/>
                <w:noProof/>
              </w:rPr>
            </w:pPr>
            <w:r>
              <w:rPr>
                <w:b/>
                <w:noProof/>
              </w:rPr>
              <w:t>Obiectiv</w:t>
            </w:r>
            <w:r>
              <w:rPr>
                <w:noProof/>
              </w:rPr>
              <w:t> </w:t>
            </w:r>
          </w:p>
        </w:tc>
        <w:tc>
          <w:tcPr>
            <w:tcW w:w="539" w:type="dxa"/>
            <w:shd w:val="clear" w:color="auto" w:fill="B4C6E7"/>
            <w:vAlign w:val="center"/>
            <w:hideMark/>
          </w:tcPr>
          <w:p w14:paraId="6A0E7E81" w14:textId="77777777" w:rsidR="00A15990" w:rsidRDefault="00686A62">
            <w:pPr>
              <w:pStyle w:val="P68B1DB1-Normal16"/>
              <w:spacing w:after="0" w:line="240" w:lineRule="auto"/>
              <w:jc w:val="center"/>
              <w:rPr>
                <w:rFonts w:eastAsia="Times New Roman" w:cs="Times New Roman"/>
                <w:b/>
                <w:noProof/>
              </w:rPr>
            </w:pPr>
            <w:r>
              <w:rPr>
                <w:b/>
                <w:noProof/>
              </w:rPr>
              <w:t>Q</w:t>
            </w:r>
            <w:r>
              <w:rPr>
                <w:noProof/>
              </w:rPr>
              <w:t> </w:t>
            </w:r>
          </w:p>
        </w:tc>
        <w:tc>
          <w:tcPr>
            <w:tcW w:w="672" w:type="dxa"/>
            <w:shd w:val="clear" w:color="auto" w:fill="B4C6E7"/>
            <w:vAlign w:val="center"/>
            <w:hideMark/>
          </w:tcPr>
          <w:p w14:paraId="4917FFB7" w14:textId="77777777" w:rsidR="00A15990" w:rsidRDefault="00686A62">
            <w:pPr>
              <w:pStyle w:val="P68B1DB1-Normal16"/>
              <w:spacing w:after="0" w:line="240" w:lineRule="auto"/>
              <w:jc w:val="center"/>
              <w:rPr>
                <w:rFonts w:eastAsia="Times New Roman" w:cs="Times New Roman"/>
                <w:b/>
                <w:noProof/>
              </w:rPr>
            </w:pPr>
            <w:r>
              <w:rPr>
                <w:b/>
                <w:noProof/>
              </w:rPr>
              <w:t>Anul</w:t>
            </w:r>
            <w:r>
              <w:rPr>
                <w:noProof/>
              </w:rPr>
              <w:t> </w:t>
            </w:r>
          </w:p>
        </w:tc>
        <w:tc>
          <w:tcPr>
            <w:tcW w:w="3756" w:type="dxa"/>
            <w:vMerge/>
            <w:vAlign w:val="center"/>
            <w:hideMark/>
          </w:tcPr>
          <w:p w14:paraId="38B9FC0D" w14:textId="77777777" w:rsidR="00A15990" w:rsidRDefault="00A15990">
            <w:pPr>
              <w:spacing w:after="0" w:line="240" w:lineRule="auto"/>
              <w:rPr>
                <w:rFonts w:ascii="Times New Roman" w:eastAsia="Times New Roman" w:hAnsi="Times New Roman" w:cs="Times New Roman"/>
                <w:b/>
                <w:noProof/>
                <w:sz w:val="18"/>
              </w:rPr>
            </w:pPr>
          </w:p>
        </w:tc>
      </w:tr>
      <w:tr w:rsidR="00A15990" w14:paraId="69100ED4" w14:textId="77777777">
        <w:trPr>
          <w:trHeight w:val="1480"/>
        </w:trPr>
        <w:tc>
          <w:tcPr>
            <w:tcW w:w="1067" w:type="dxa"/>
            <w:shd w:val="clear" w:color="auto" w:fill="C5EFCE"/>
            <w:vAlign w:val="center"/>
            <w:hideMark/>
          </w:tcPr>
          <w:p w14:paraId="7FFFB0EB" w14:textId="77777777" w:rsidR="00A15990" w:rsidRDefault="00686A62">
            <w:pPr>
              <w:pStyle w:val="P68B1DB1-Normal7"/>
              <w:spacing w:after="0" w:line="240" w:lineRule="auto"/>
              <w:jc w:val="center"/>
              <w:rPr>
                <w:rFonts w:eastAsia="Times New Roman" w:cs="Calibri"/>
                <w:noProof/>
              </w:rPr>
            </w:pPr>
            <w:r>
              <w:rPr>
                <w:noProof/>
              </w:rPr>
              <w:t>4.1</w:t>
            </w:r>
          </w:p>
        </w:tc>
        <w:tc>
          <w:tcPr>
            <w:tcW w:w="1191" w:type="dxa"/>
            <w:shd w:val="clear" w:color="auto" w:fill="C4EFCE"/>
            <w:vAlign w:val="center"/>
            <w:hideMark/>
          </w:tcPr>
          <w:p w14:paraId="0F332CE6" w14:textId="77777777" w:rsidR="00A15990" w:rsidRDefault="00686A62">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94E1B0B" w14:textId="77777777" w:rsidR="00A15990" w:rsidRDefault="00686A62">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04704446" w14:textId="77777777" w:rsidR="00A15990" w:rsidRDefault="00686A62">
            <w:pPr>
              <w:pStyle w:val="P68B1DB1-Normal8"/>
              <w:spacing w:after="0" w:line="240" w:lineRule="auto"/>
              <w:jc w:val="center"/>
              <w:rPr>
                <w:rFonts w:eastAsia="Times New Roman" w:cs="Calibri"/>
                <w:noProof/>
              </w:rPr>
            </w:pPr>
            <w:r>
              <w:rPr>
                <w:noProof/>
              </w:rPr>
              <w:t>Specificații tehnologice pentru rețeaua de facilități culturale</w:t>
            </w:r>
          </w:p>
        </w:tc>
        <w:tc>
          <w:tcPr>
            <w:tcW w:w="1193" w:type="dxa"/>
            <w:shd w:val="clear" w:color="auto" w:fill="C4EFCE"/>
            <w:vAlign w:val="center"/>
            <w:hideMark/>
          </w:tcPr>
          <w:p w14:paraId="61F7EBA6" w14:textId="77777777" w:rsidR="00A15990" w:rsidRDefault="00686A62">
            <w:pPr>
              <w:pStyle w:val="P68B1DB1-Normal8"/>
              <w:spacing w:after="0" w:line="240" w:lineRule="auto"/>
              <w:jc w:val="center"/>
              <w:rPr>
                <w:rFonts w:eastAsia="Times New Roman" w:cs="Calibri"/>
                <w:noProof/>
              </w:rPr>
            </w:pPr>
            <w:r>
              <w:rPr>
                <w:noProof/>
              </w:rPr>
              <w:t>Raport privind specificațiile tehnologice pentru rețeaua de facilități culturale</w:t>
            </w:r>
          </w:p>
        </w:tc>
        <w:tc>
          <w:tcPr>
            <w:tcW w:w="930" w:type="dxa"/>
            <w:shd w:val="clear" w:color="auto" w:fill="C4EFCE"/>
            <w:vAlign w:val="center"/>
            <w:hideMark/>
          </w:tcPr>
          <w:p w14:paraId="7F181E4F" w14:textId="77777777" w:rsidR="00A15990" w:rsidRDefault="00686A62">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B4FC930" w14:textId="77777777" w:rsidR="00A15990" w:rsidRDefault="00686A62">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1EE62675" w14:textId="77777777" w:rsidR="00A15990" w:rsidRDefault="00686A62">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E5E1F2E" w14:textId="77777777" w:rsidR="00A15990" w:rsidRDefault="00686A62">
            <w:pPr>
              <w:pStyle w:val="P68B1DB1-Normal8"/>
              <w:spacing w:after="0" w:line="240" w:lineRule="auto"/>
              <w:jc w:val="center"/>
              <w:rPr>
                <w:rFonts w:eastAsia="Times New Roman" w:cs="Calibri"/>
                <w:noProof/>
              </w:rPr>
            </w:pPr>
            <w:r>
              <w:rPr>
                <w:noProof/>
              </w:rPr>
              <w:t>TRIMESTRUL 2 </w:t>
            </w:r>
          </w:p>
        </w:tc>
        <w:tc>
          <w:tcPr>
            <w:tcW w:w="672" w:type="dxa"/>
            <w:shd w:val="clear" w:color="auto" w:fill="C4EFCE"/>
            <w:vAlign w:val="center"/>
            <w:hideMark/>
          </w:tcPr>
          <w:p w14:paraId="7BDF2F41" w14:textId="77777777" w:rsidR="00A15990" w:rsidRDefault="00686A62">
            <w:pPr>
              <w:pStyle w:val="P68B1DB1-Normal8"/>
              <w:spacing w:after="0" w:line="240" w:lineRule="auto"/>
              <w:jc w:val="center"/>
              <w:rPr>
                <w:rFonts w:eastAsia="Times New Roman" w:cs="Calibri"/>
                <w:noProof/>
              </w:rPr>
            </w:pPr>
            <w:r>
              <w:rPr>
                <w:noProof/>
              </w:rPr>
              <w:t>2022 </w:t>
            </w:r>
          </w:p>
        </w:tc>
        <w:tc>
          <w:tcPr>
            <w:tcW w:w="3756" w:type="dxa"/>
            <w:shd w:val="clear" w:color="auto" w:fill="C4EFCE"/>
            <w:noWrap/>
            <w:vAlign w:val="center"/>
            <w:hideMark/>
          </w:tcPr>
          <w:p w14:paraId="3C24C115" w14:textId="77777777" w:rsidR="00A15990" w:rsidRDefault="00686A62">
            <w:pPr>
              <w:pStyle w:val="P68B1DB1-Normal8"/>
              <w:spacing w:after="0" w:line="240" w:lineRule="auto"/>
              <w:jc w:val="both"/>
              <w:rPr>
                <w:rFonts w:eastAsia="Times New Roman" w:cs="Calibri"/>
                <w:noProof/>
              </w:rPr>
            </w:pPr>
            <w:r>
              <w:rPr>
                <w:noProof/>
              </w:rPr>
              <w:t>Definirea detaliată a specificațiilor tehnologice pentru rețeaua de facilități culturale </w:t>
            </w:r>
          </w:p>
        </w:tc>
      </w:tr>
      <w:tr w:rsidR="00A15990" w14:paraId="6A18F214" w14:textId="77777777">
        <w:trPr>
          <w:trHeight w:val="1060"/>
        </w:trPr>
        <w:tc>
          <w:tcPr>
            <w:tcW w:w="1067" w:type="dxa"/>
            <w:shd w:val="clear" w:color="auto" w:fill="C5EFCE"/>
            <w:vAlign w:val="center"/>
            <w:hideMark/>
          </w:tcPr>
          <w:p w14:paraId="2815D0CE" w14:textId="77777777" w:rsidR="00A15990" w:rsidRDefault="00686A62">
            <w:pPr>
              <w:pStyle w:val="P68B1DB1-Normal7"/>
              <w:spacing w:after="0" w:line="240" w:lineRule="auto"/>
              <w:jc w:val="center"/>
              <w:rPr>
                <w:rFonts w:eastAsia="Times New Roman" w:cs="Calibri"/>
                <w:noProof/>
              </w:rPr>
            </w:pPr>
            <w:r>
              <w:rPr>
                <w:noProof/>
              </w:rPr>
              <w:t>4.2</w:t>
            </w:r>
          </w:p>
        </w:tc>
        <w:tc>
          <w:tcPr>
            <w:tcW w:w="1191" w:type="dxa"/>
            <w:shd w:val="clear" w:color="auto" w:fill="C4EFCE"/>
            <w:vAlign w:val="center"/>
            <w:hideMark/>
          </w:tcPr>
          <w:p w14:paraId="67F836FD" w14:textId="77777777" w:rsidR="00A15990" w:rsidRDefault="00686A62">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3862850B" w14:textId="77777777" w:rsidR="00A15990" w:rsidRDefault="00686A62">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3696B783" w14:textId="77777777" w:rsidR="00A15990" w:rsidRDefault="00686A62">
            <w:pPr>
              <w:pStyle w:val="P68B1DB1-Normal8"/>
              <w:spacing w:after="0" w:line="240" w:lineRule="auto"/>
              <w:jc w:val="center"/>
              <w:rPr>
                <w:rFonts w:eastAsia="Times New Roman" w:cs="Calibri"/>
                <w:noProof/>
              </w:rPr>
            </w:pPr>
            <w:r>
              <w:rPr>
                <w:noProof/>
              </w:rPr>
              <w:t>Sprijin financiar pentru tranziția digitală a librăriilor</w:t>
            </w:r>
          </w:p>
        </w:tc>
        <w:tc>
          <w:tcPr>
            <w:tcW w:w="1193" w:type="dxa"/>
            <w:shd w:val="clear" w:color="auto" w:fill="C4EFCE"/>
            <w:vAlign w:val="center"/>
            <w:hideMark/>
          </w:tcPr>
          <w:p w14:paraId="4F0ADF20" w14:textId="77777777" w:rsidR="00A15990" w:rsidRDefault="00686A62">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6F1EB3DA" w14:textId="77777777" w:rsidR="00A15990" w:rsidRDefault="00686A62">
            <w:pPr>
              <w:pStyle w:val="P68B1DB1-Normal8"/>
              <w:spacing w:after="0" w:line="240" w:lineRule="auto"/>
              <w:jc w:val="center"/>
              <w:rPr>
                <w:rFonts w:eastAsia="Times New Roman" w:cs="Calibri"/>
                <w:noProof/>
              </w:rPr>
            </w:pPr>
            <w:r>
              <w:rPr>
                <w:noProof/>
              </w:rPr>
              <w:t>Numărul</w:t>
            </w:r>
          </w:p>
        </w:tc>
        <w:tc>
          <w:tcPr>
            <w:tcW w:w="1225" w:type="dxa"/>
            <w:shd w:val="clear" w:color="auto" w:fill="C4EFCE"/>
            <w:vAlign w:val="center"/>
            <w:hideMark/>
          </w:tcPr>
          <w:p w14:paraId="07E69B40" w14:textId="77777777" w:rsidR="00A15990" w:rsidRDefault="00686A62">
            <w:pPr>
              <w:pStyle w:val="P68B1DB1-Normal8"/>
              <w:spacing w:after="0" w:line="240" w:lineRule="auto"/>
              <w:jc w:val="center"/>
              <w:rPr>
                <w:rFonts w:eastAsia="Times New Roman" w:cs="Calibri"/>
                <w:noProof/>
              </w:rPr>
            </w:pPr>
            <w:r>
              <w:rPr>
                <w:noProof/>
              </w:rPr>
              <w:t>0 </w:t>
            </w:r>
          </w:p>
        </w:tc>
        <w:tc>
          <w:tcPr>
            <w:tcW w:w="671" w:type="dxa"/>
            <w:shd w:val="clear" w:color="auto" w:fill="C4EFCE"/>
            <w:vAlign w:val="center"/>
            <w:hideMark/>
          </w:tcPr>
          <w:p w14:paraId="34DE8CD7" w14:textId="77777777" w:rsidR="00A15990" w:rsidRDefault="00686A62">
            <w:pPr>
              <w:pStyle w:val="P68B1DB1-Normal8"/>
              <w:spacing w:after="0" w:line="240" w:lineRule="auto"/>
              <w:jc w:val="center"/>
              <w:rPr>
                <w:rFonts w:eastAsia="Times New Roman" w:cs="Calibri"/>
                <w:noProof/>
              </w:rPr>
            </w:pPr>
            <w:r>
              <w:rPr>
                <w:noProof/>
              </w:rPr>
              <w:t>200 </w:t>
            </w:r>
          </w:p>
        </w:tc>
        <w:tc>
          <w:tcPr>
            <w:tcW w:w="539" w:type="dxa"/>
            <w:shd w:val="clear" w:color="auto" w:fill="C4EFCE"/>
            <w:vAlign w:val="center"/>
            <w:hideMark/>
          </w:tcPr>
          <w:p w14:paraId="58CDDC7C" w14:textId="77777777" w:rsidR="00A15990" w:rsidRDefault="00686A62">
            <w:pPr>
              <w:pStyle w:val="P68B1DB1-Normal8"/>
              <w:spacing w:after="0" w:line="240" w:lineRule="auto"/>
              <w:jc w:val="center"/>
              <w:rPr>
                <w:rFonts w:eastAsia="Times New Roman" w:cs="Calibri"/>
                <w:noProof/>
              </w:rPr>
            </w:pPr>
            <w:r>
              <w:rPr>
                <w:noProof/>
              </w:rPr>
              <w:t>TRIMESTRUL 4 </w:t>
            </w:r>
          </w:p>
        </w:tc>
        <w:tc>
          <w:tcPr>
            <w:tcW w:w="672" w:type="dxa"/>
            <w:shd w:val="clear" w:color="auto" w:fill="C4EFCE"/>
            <w:vAlign w:val="center"/>
            <w:hideMark/>
          </w:tcPr>
          <w:p w14:paraId="6C906CB7" w14:textId="77777777" w:rsidR="00A15990" w:rsidRDefault="00686A62">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7BA7A95B" w14:textId="5C3C166A" w:rsidR="00A15990" w:rsidRDefault="00686A62">
            <w:pPr>
              <w:pStyle w:val="P68B1DB1-Normal8"/>
              <w:spacing w:after="0" w:line="240" w:lineRule="auto"/>
              <w:jc w:val="both"/>
              <w:rPr>
                <w:rFonts w:eastAsia="Times New Roman" w:cs="Calibri"/>
                <w:noProof/>
              </w:rPr>
            </w:pPr>
            <w:r>
              <w:rPr>
                <w:noProof/>
              </w:rPr>
              <w:t>Numărul de librării care au beneficiat de sprijin financiar pentru tranziția digitală a librăriilor, subvenționând 60 % din costul unui coș de echipamente și servicii tehnologice per librărie (de exemplu, scaner pentru cărți, rețele Wi-fi și VPN, site web pentru librărie, sistem contabil integrat etc.)</w:t>
            </w:r>
          </w:p>
        </w:tc>
      </w:tr>
      <w:tr w:rsidR="00A15990" w14:paraId="26C8893F" w14:textId="77777777">
        <w:trPr>
          <w:trHeight w:val="290"/>
        </w:trPr>
        <w:tc>
          <w:tcPr>
            <w:tcW w:w="1067" w:type="dxa"/>
            <w:shd w:val="clear" w:color="auto" w:fill="C5EFCE"/>
            <w:vAlign w:val="center"/>
            <w:hideMark/>
          </w:tcPr>
          <w:p w14:paraId="5A0BEA5E" w14:textId="77777777" w:rsidR="00A15990" w:rsidRDefault="00686A62">
            <w:pPr>
              <w:pStyle w:val="P68B1DB1-Normal7"/>
              <w:spacing w:after="0" w:line="240" w:lineRule="auto"/>
              <w:jc w:val="center"/>
              <w:rPr>
                <w:rFonts w:eastAsia="Times New Roman" w:cs="Calibri"/>
                <w:noProof/>
              </w:rPr>
            </w:pPr>
            <w:r>
              <w:rPr>
                <w:noProof/>
              </w:rPr>
              <w:t>4.3</w:t>
            </w:r>
          </w:p>
        </w:tc>
        <w:tc>
          <w:tcPr>
            <w:tcW w:w="1191" w:type="dxa"/>
            <w:shd w:val="clear" w:color="auto" w:fill="C4EFCE"/>
            <w:vAlign w:val="center"/>
            <w:hideMark/>
          </w:tcPr>
          <w:p w14:paraId="162AF0B7" w14:textId="77777777" w:rsidR="00A15990" w:rsidRDefault="00686A62">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08616AC9" w14:textId="77777777" w:rsidR="00A15990" w:rsidRDefault="00686A62">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1C4A4D61" w14:textId="77777777" w:rsidR="00A15990" w:rsidRDefault="00686A62">
            <w:pPr>
              <w:pStyle w:val="P68B1DB1-Normal8"/>
              <w:spacing w:after="0" w:line="240" w:lineRule="auto"/>
              <w:jc w:val="center"/>
              <w:rPr>
                <w:rFonts w:eastAsia="Times New Roman" w:cs="Calibri"/>
                <w:noProof/>
              </w:rPr>
            </w:pPr>
            <w:r>
              <w:rPr>
                <w:noProof/>
              </w:rPr>
              <w:t xml:space="preserve">Digitalizarea și virtualizarea colecțiilor publice </w:t>
            </w:r>
          </w:p>
        </w:tc>
        <w:tc>
          <w:tcPr>
            <w:tcW w:w="1193" w:type="dxa"/>
            <w:shd w:val="clear" w:color="auto" w:fill="C4EFCE"/>
            <w:vAlign w:val="center"/>
            <w:hideMark/>
          </w:tcPr>
          <w:p w14:paraId="69874A18" w14:textId="77777777" w:rsidR="00A15990" w:rsidRDefault="00686A62">
            <w:pPr>
              <w:pStyle w:val="P68B1DB1-Normal8"/>
              <w:spacing w:after="0" w:line="240" w:lineRule="auto"/>
              <w:jc w:val="center"/>
              <w:rPr>
                <w:rFonts w:eastAsia="Times New Roman" w:cs="Calibri"/>
                <w:noProof/>
              </w:rPr>
            </w:pPr>
            <w:r>
              <w:rPr>
                <w:noProof/>
              </w:rPr>
              <w:t>Digitalizarea și virtualizarea colecțiilor publice</w:t>
            </w:r>
          </w:p>
        </w:tc>
        <w:tc>
          <w:tcPr>
            <w:tcW w:w="930" w:type="dxa"/>
            <w:shd w:val="clear" w:color="auto" w:fill="C4EFCE"/>
            <w:vAlign w:val="center"/>
            <w:hideMark/>
          </w:tcPr>
          <w:p w14:paraId="06325BFB" w14:textId="77777777" w:rsidR="00A15990" w:rsidRDefault="00686A62">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54FF56D1" w14:textId="77777777" w:rsidR="00A15990" w:rsidRDefault="00686A62">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62B27753" w14:textId="77777777" w:rsidR="00A15990" w:rsidRDefault="00686A62">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73989E77" w14:textId="77777777" w:rsidR="00A15990" w:rsidRDefault="00686A62">
            <w:pPr>
              <w:pStyle w:val="P68B1DB1-Normal8"/>
              <w:spacing w:after="0" w:line="240" w:lineRule="auto"/>
              <w:jc w:val="center"/>
              <w:rPr>
                <w:rFonts w:eastAsia="Times New Roman" w:cs="Calibri"/>
                <w:noProof/>
              </w:rPr>
            </w:pPr>
            <w:r>
              <w:rPr>
                <w:noProof/>
              </w:rPr>
              <w:t>TRIMESTRUL 4 </w:t>
            </w:r>
          </w:p>
        </w:tc>
        <w:tc>
          <w:tcPr>
            <w:tcW w:w="672" w:type="dxa"/>
            <w:shd w:val="clear" w:color="auto" w:fill="C4EFCE"/>
            <w:vAlign w:val="center"/>
            <w:hideMark/>
          </w:tcPr>
          <w:p w14:paraId="410429FA" w14:textId="77777777" w:rsidR="00A15990" w:rsidRDefault="00686A62">
            <w:pPr>
              <w:pStyle w:val="P68B1DB1-Normal8"/>
              <w:spacing w:after="0" w:line="240" w:lineRule="auto"/>
              <w:jc w:val="center"/>
              <w:rPr>
                <w:rFonts w:eastAsia="Times New Roman" w:cs="Calibri"/>
                <w:noProof/>
              </w:rPr>
            </w:pPr>
            <w:r>
              <w:rPr>
                <w:noProof/>
              </w:rPr>
              <w:t>2025 </w:t>
            </w:r>
          </w:p>
        </w:tc>
        <w:tc>
          <w:tcPr>
            <w:tcW w:w="3756" w:type="dxa"/>
            <w:shd w:val="clear" w:color="auto" w:fill="C4EFCE"/>
            <w:noWrap/>
            <w:vAlign w:val="center"/>
            <w:hideMark/>
          </w:tcPr>
          <w:p w14:paraId="61F98F7A" w14:textId="77777777" w:rsidR="00A15990" w:rsidRDefault="00686A62">
            <w:pPr>
              <w:pStyle w:val="P68B1DB1-Normal8"/>
              <w:spacing w:after="0" w:line="240" w:lineRule="auto"/>
              <w:jc w:val="both"/>
              <w:rPr>
                <w:rFonts w:eastAsia="Times New Roman" w:cs="Calibri"/>
                <w:noProof/>
              </w:rPr>
            </w:pPr>
            <w:r>
              <w:rPr>
                <w:noProof/>
              </w:rPr>
              <w:t xml:space="preserve">Digitalizarea și virtualizarea colecțiilor </w:t>
            </w:r>
            <w:bookmarkStart w:id="8" w:name="_Int_JLJ2Ng8K"/>
            <w:r>
              <w:rPr>
                <w:noProof/>
              </w:rPr>
              <w:t>de:</w:t>
            </w:r>
            <w:bookmarkEnd w:id="8"/>
            <w:r>
              <w:rPr>
                <w:noProof/>
              </w:rPr>
              <w:t xml:space="preserve"> direcția Generală Cărți, Arhive și Biblioteci; </w:t>
            </w:r>
          </w:p>
          <w:p w14:paraId="4D6FD7CE" w14:textId="77777777" w:rsidR="00A15990" w:rsidRDefault="00686A62">
            <w:pPr>
              <w:pStyle w:val="P68B1DB1-Normal8"/>
              <w:spacing w:after="0" w:line="240" w:lineRule="auto"/>
              <w:jc w:val="both"/>
              <w:rPr>
                <w:rFonts w:eastAsia="Times New Roman" w:cs="Calibri"/>
                <w:noProof/>
              </w:rPr>
            </w:pPr>
            <w:r>
              <w:rPr>
                <w:noProof/>
              </w:rPr>
              <w:t xml:space="preserve">biblioteca Națională Portugheză, </w:t>
            </w:r>
          </w:p>
          <w:p w14:paraId="04887855" w14:textId="77777777" w:rsidR="00A15990" w:rsidRDefault="00686A62">
            <w:pPr>
              <w:pStyle w:val="P68B1DB1-Normal8"/>
              <w:spacing w:after="0" w:line="240" w:lineRule="auto"/>
              <w:jc w:val="both"/>
              <w:rPr>
                <w:rFonts w:eastAsia="Times New Roman" w:cs="Calibri"/>
                <w:noProof/>
              </w:rPr>
            </w:pPr>
            <w:r>
              <w:rPr>
                <w:noProof/>
              </w:rPr>
              <w:t>biblioteca publică Évora, </w:t>
            </w:r>
          </w:p>
          <w:p w14:paraId="125C26EB" w14:textId="77777777" w:rsidR="00A15990" w:rsidRDefault="00686A62">
            <w:pPr>
              <w:pStyle w:val="P68B1DB1-Normal8"/>
              <w:spacing w:after="0" w:line="240" w:lineRule="auto"/>
              <w:jc w:val="both"/>
              <w:rPr>
                <w:rFonts w:eastAsia="Times New Roman" w:cs="Calibri"/>
                <w:noProof/>
              </w:rPr>
            </w:pPr>
            <w:r>
              <w:rPr>
                <w:noProof/>
              </w:rPr>
              <w:t>Cinemateca și Muzeele (sub conducerea DGPC și a direcțiilor regionale pentru cultură)</w:t>
            </w:r>
          </w:p>
          <w:p w14:paraId="4C43F75A" w14:textId="77777777" w:rsidR="00A15990" w:rsidRDefault="00686A62">
            <w:pPr>
              <w:pStyle w:val="P68B1DB1-Normal8"/>
              <w:spacing w:after="0" w:line="240" w:lineRule="auto"/>
              <w:jc w:val="both"/>
              <w:rPr>
                <w:rFonts w:eastAsia="Times New Roman" w:cs="Calibri"/>
                <w:noProof/>
              </w:rPr>
            </w:pPr>
            <w:r>
              <w:rPr>
                <w:noProof/>
              </w:rPr>
              <w:t xml:space="preserve">Biblioteci publice (20 000 000 imagini) </w:t>
            </w:r>
          </w:p>
          <w:p w14:paraId="3A6A5CC5" w14:textId="77777777" w:rsidR="00A15990" w:rsidRDefault="00686A62">
            <w:pPr>
              <w:pStyle w:val="P68B1DB1-Normal8"/>
              <w:spacing w:after="0" w:line="240" w:lineRule="auto"/>
              <w:jc w:val="both"/>
              <w:rPr>
                <w:rFonts w:eastAsia="Times New Roman" w:cs="Calibri"/>
                <w:noProof/>
              </w:rPr>
            </w:pPr>
            <w:r>
              <w:rPr>
                <w:noProof/>
              </w:rPr>
              <w:t xml:space="preserve">Arhive naționale (19 500 000 documente) </w:t>
            </w:r>
          </w:p>
          <w:p w14:paraId="0C26521C" w14:textId="0DC785F2" w:rsidR="00A15990" w:rsidRDefault="00686A62">
            <w:pPr>
              <w:pStyle w:val="P68B1DB1-Normal8"/>
              <w:spacing w:after="0" w:line="240" w:lineRule="auto"/>
              <w:jc w:val="both"/>
              <w:rPr>
                <w:rFonts w:eastAsia="Times New Roman" w:cs="Calibri"/>
                <w:noProof/>
              </w:rPr>
            </w:pPr>
            <w:r>
              <w:rPr>
                <w:noProof/>
              </w:rPr>
              <w:t>Muzee publice (59 500 de înregistrări)</w:t>
            </w:r>
          </w:p>
          <w:p w14:paraId="5E5FA37C" w14:textId="77777777" w:rsidR="00A15990" w:rsidRDefault="00686A62">
            <w:pPr>
              <w:pStyle w:val="P68B1DB1-Normal8"/>
              <w:spacing w:after="0" w:line="240" w:lineRule="auto"/>
              <w:jc w:val="both"/>
              <w:rPr>
                <w:rFonts w:eastAsia="Times New Roman" w:cs="Calibri"/>
                <w:noProof/>
              </w:rPr>
            </w:pPr>
            <w:r>
              <w:rPr>
                <w:noProof/>
              </w:rPr>
              <w:t>Vizite virtuale la muzee (65 muzee)</w:t>
            </w:r>
          </w:p>
          <w:p w14:paraId="4A3AECA6" w14:textId="503848A9" w:rsidR="00A15990" w:rsidRDefault="00686A62">
            <w:pPr>
              <w:pStyle w:val="P68B1DB1-Normal8"/>
              <w:spacing w:after="0" w:line="240" w:lineRule="auto"/>
              <w:jc w:val="both"/>
              <w:rPr>
                <w:rFonts w:eastAsia="Times New Roman" w:cs="Calibri"/>
                <w:noProof/>
              </w:rPr>
            </w:pPr>
            <w:r>
              <w:rPr>
                <w:noProof/>
              </w:rPr>
              <w:t>Cinematheque (1000 filme)</w:t>
            </w:r>
          </w:p>
          <w:p w14:paraId="57CB2147" w14:textId="0C2B23D7" w:rsidR="00A15990" w:rsidRDefault="00686A62">
            <w:pPr>
              <w:pStyle w:val="P68B1DB1-Normal8"/>
              <w:spacing w:after="0" w:line="240" w:lineRule="auto"/>
              <w:jc w:val="both"/>
              <w:rPr>
                <w:rFonts w:eastAsia="Times New Roman" w:cs="Calibri"/>
                <w:noProof/>
              </w:rPr>
            </w:pPr>
            <w:r>
              <w:rPr>
                <w:noProof/>
              </w:rPr>
              <w:t>Arhivele furnizorilor de servicii de mass-media istorică și de televiziune (digitalizate și puse la dispoziția publicului, 45 000 de ore de conținut de casete video)</w:t>
            </w:r>
          </w:p>
        </w:tc>
      </w:tr>
      <w:tr w:rsidR="00A15990" w14:paraId="0744F11D" w14:textId="77777777">
        <w:trPr>
          <w:trHeight w:val="1690"/>
        </w:trPr>
        <w:tc>
          <w:tcPr>
            <w:tcW w:w="1067" w:type="dxa"/>
            <w:shd w:val="clear" w:color="auto" w:fill="C5EFCE"/>
            <w:vAlign w:val="center"/>
            <w:hideMark/>
          </w:tcPr>
          <w:p w14:paraId="01436334" w14:textId="77777777" w:rsidR="00A15990" w:rsidRDefault="00686A62">
            <w:pPr>
              <w:pStyle w:val="P68B1DB1-Normal7"/>
              <w:spacing w:after="0" w:line="240" w:lineRule="auto"/>
              <w:jc w:val="center"/>
              <w:rPr>
                <w:rFonts w:eastAsia="Times New Roman" w:cs="Calibri"/>
                <w:noProof/>
              </w:rPr>
            </w:pPr>
            <w:r>
              <w:rPr>
                <w:noProof/>
              </w:rPr>
              <w:t>4.4</w:t>
            </w:r>
          </w:p>
        </w:tc>
        <w:tc>
          <w:tcPr>
            <w:tcW w:w="1191" w:type="dxa"/>
            <w:shd w:val="clear" w:color="auto" w:fill="C4EFCE"/>
            <w:vAlign w:val="center"/>
            <w:hideMark/>
          </w:tcPr>
          <w:p w14:paraId="1141670F" w14:textId="77777777" w:rsidR="00A15990" w:rsidRDefault="00686A62">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151B6187" w14:textId="77777777" w:rsidR="00A15990" w:rsidRDefault="00686A62">
            <w:pPr>
              <w:pStyle w:val="P68B1DB1-Normal8"/>
              <w:spacing w:after="0" w:line="240" w:lineRule="auto"/>
              <w:jc w:val="center"/>
              <w:rPr>
                <w:rFonts w:eastAsia="Times New Roman" w:cs="Calibri"/>
                <w:noProof/>
              </w:rPr>
            </w:pPr>
            <w:r>
              <w:rPr>
                <w:noProof/>
              </w:rPr>
              <w:t>M</w:t>
            </w:r>
          </w:p>
        </w:tc>
        <w:tc>
          <w:tcPr>
            <w:tcW w:w="1588" w:type="dxa"/>
            <w:shd w:val="clear" w:color="auto" w:fill="C4EFCE"/>
            <w:vAlign w:val="center"/>
            <w:hideMark/>
          </w:tcPr>
          <w:p w14:paraId="56792410" w14:textId="77777777" w:rsidR="00A15990" w:rsidRDefault="00686A62">
            <w:pPr>
              <w:pStyle w:val="P68B1DB1-Normal8"/>
              <w:spacing w:after="0" w:line="240" w:lineRule="auto"/>
              <w:jc w:val="center"/>
              <w:rPr>
                <w:rFonts w:eastAsia="Times New Roman" w:cs="Calibri"/>
                <w:noProof/>
              </w:rPr>
            </w:pPr>
            <w:r>
              <w:rPr>
                <w:noProof/>
              </w:rPr>
              <w:t>Furnizarea unei infrastructuri tehnologice modernizate pentru rețeaua de infrastructuri culturale </w:t>
            </w:r>
          </w:p>
        </w:tc>
        <w:tc>
          <w:tcPr>
            <w:tcW w:w="1193" w:type="dxa"/>
            <w:shd w:val="clear" w:color="auto" w:fill="C4EFCE"/>
            <w:vAlign w:val="center"/>
            <w:hideMark/>
          </w:tcPr>
          <w:p w14:paraId="00695BDC" w14:textId="77777777" w:rsidR="00A15990" w:rsidRDefault="00686A62">
            <w:pPr>
              <w:pStyle w:val="P68B1DB1-Normal8"/>
              <w:spacing w:after="0" w:line="240" w:lineRule="auto"/>
              <w:jc w:val="center"/>
              <w:rPr>
                <w:rFonts w:eastAsia="Times New Roman" w:cs="Calibri"/>
                <w:noProof/>
              </w:rPr>
            </w:pPr>
            <w:r>
              <w:rPr>
                <w:noProof/>
              </w:rPr>
              <w:t>Furnizarea unei infrastructuri tehnologice modernizate pentru infrastructurile culturale</w:t>
            </w:r>
          </w:p>
        </w:tc>
        <w:tc>
          <w:tcPr>
            <w:tcW w:w="930" w:type="dxa"/>
            <w:shd w:val="clear" w:color="auto" w:fill="C4EFCE"/>
            <w:vAlign w:val="center"/>
            <w:hideMark/>
          </w:tcPr>
          <w:p w14:paraId="64F5C137" w14:textId="77777777" w:rsidR="00A15990" w:rsidRDefault="00686A62">
            <w:pPr>
              <w:pStyle w:val="P68B1DB1-Normal9"/>
              <w:spacing w:after="0" w:line="240" w:lineRule="auto"/>
              <w:rPr>
                <w:rFonts w:eastAsia="Times New Roman" w:cs="Calibri"/>
                <w:noProof/>
              </w:rPr>
            </w:pPr>
            <w:r>
              <w:rPr>
                <w:noProof/>
              </w:rPr>
              <w:t> </w:t>
            </w:r>
          </w:p>
        </w:tc>
        <w:tc>
          <w:tcPr>
            <w:tcW w:w="1225" w:type="dxa"/>
            <w:shd w:val="clear" w:color="auto" w:fill="C4EFCE"/>
            <w:vAlign w:val="center"/>
            <w:hideMark/>
          </w:tcPr>
          <w:p w14:paraId="430240F6" w14:textId="77777777" w:rsidR="00A15990" w:rsidRDefault="00686A62">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4882E765" w14:textId="77777777" w:rsidR="00A15990" w:rsidRDefault="00686A62">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60F3F936" w14:textId="361C2C84" w:rsidR="00A15990" w:rsidRDefault="00686A62">
            <w:pPr>
              <w:pStyle w:val="P68B1DB1-Normal8"/>
              <w:spacing w:after="0" w:line="240" w:lineRule="auto"/>
              <w:jc w:val="center"/>
              <w:rPr>
                <w:rFonts w:eastAsia="Times New Roman" w:cs="Calibri"/>
                <w:noProof/>
              </w:rPr>
            </w:pPr>
            <w:r>
              <w:rPr>
                <w:noProof/>
              </w:rPr>
              <w:t>TRIMESTRUL 1 </w:t>
            </w:r>
          </w:p>
        </w:tc>
        <w:tc>
          <w:tcPr>
            <w:tcW w:w="672" w:type="dxa"/>
            <w:shd w:val="clear" w:color="auto" w:fill="C4EFCE"/>
            <w:vAlign w:val="center"/>
            <w:hideMark/>
          </w:tcPr>
          <w:p w14:paraId="0AAC7F90" w14:textId="71E4A3EF" w:rsidR="00A15990" w:rsidRDefault="00686A62">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16A65CDB" w14:textId="5B3C9491" w:rsidR="00A15990" w:rsidRDefault="00686A62">
            <w:pPr>
              <w:pStyle w:val="P68B1DB1-Normal8"/>
              <w:spacing w:after="0" w:line="240" w:lineRule="auto"/>
              <w:jc w:val="both"/>
              <w:rPr>
                <w:rFonts w:eastAsia="Times New Roman" w:cs="Calibri"/>
                <w:noProof/>
              </w:rPr>
            </w:pPr>
            <w:r>
              <w:rPr>
                <w:noProof/>
              </w:rPr>
              <w:t>Livrarea de echipamente informatice și sisteme integrate de informare și catalog pentru 239 de biblioteci publice; acoperirea Wi-Fi a 50 muzee, palate și monumente; achiziționarea de echipamente de proiecție video și cinematografică pentru 155 cine-teatre și centre publice de artă contemporană.</w:t>
            </w:r>
          </w:p>
        </w:tc>
      </w:tr>
      <w:tr w:rsidR="00A15990" w14:paraId="20E65D52" w14:textId="77777777">
        <w:trPr>
          <w:trHeight w:val="1124"/>
        </w:trPr>
        <w:tc>
          <w:tcPr>
            <w:tcW w:w="1067" w:type="dxa"/>
            <w:shd w:val="clear" w:color="auto" w:fill="C5EFCE"/>
            <w:vAlign w:val="center"/>
            <w:hideMark/>
          </w:tcPr>
          <w:p w14:paraId="7AE297CF" w14:textId="77777777" w:rsidR="00A15990" w:rsidRDefault="00686A62">
            <w:pPr>
              <w:pStyle w:val="P68B1DB1-Normal7"/>
              <w:spacing w:after="0" w:line="240" w:lineRule="auto"/>
              <w:jc w:val="center"/>
              <w:rPr>
                <w:rFonts w:eastAsia="Times New Roman" w:cs="Calibri"/>
                <w:noProof/>
              </w:rPr>
            </w:pPr>
            <w:r>
              <w:rPr>
                <w:noProof/>
              </w:rPr>
              <w:t>4.5</w:t>
            </w:r>
          </w:p>
        </w:tc>
        <w:tc>
          <w:tcPr>
            <w:tcW w:w="1191" w:type="dxa"/>
            <w:shd w:val="clear" w:color="auto" w:fill="C4EFCE"/>
            <w:vAlign w:val="center"/>
            <w:hideMark/>
          </w:tcPr>
          <w:p w14:paraId="61E6DBD4" w14:textId="77777777" w:rsidR="00A15990" w:rsidRDefault="00686A62">
            <w:pPr>
              <w:pStyle w:val="P68B1DB1-Normal8"/>
              <w:spacing w:after="0" w:line="240" w:lineRule="auto"/>
              <w:jc w:val="center"/>
              <w:rPr>
                <w:rFonts w:eastAsia="Times New Roman" w:cs="Calibri"/>
                <w:noProof/>
              </w:rPr>
            </w:pPr>
            <w:r>
              <w:rPr>
                <w:noProof/>
              </w:rPr>
              <w:t>RE-C04-i01 </w:t>
            </w:r>
          </w:p>
        </w:tc>
        <w:tc>
          <w:tcPr>
            <w:tcW w:w="1060" w:type="dxa"/>
            <w:shd w:val="clear" w:color="auto" w:fill="C4EFCE"/>
            <w:vAlign w:val="center"/>
            <w:hideMark/>
          </w:tcPr>
          <w:p w14:paraId="708C4920" w14:textId="77777777" w:rsidR="00A15990" w:rsidRDefault="00686A62">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50DE4D28" w14:textId="77777777" w:rsidR="00A15990" w:rsidRDefault="00686A62">
            <w:pPr>
              <w:pStyle w:val="P68B1DB1-Normal8"/>
              <w:spacing w:after="0" w:line="240" w:lineRule="auto"/>
              <w:jc w:val="center"/>
              <w:rPr>
                <w:rFonts w:eastAsia="Times New Roman" w:cs="Calibri"/>
                <w:noProof/>
              </w:rPr>
            </w:pPr>
            <w:r>
              <w:rPr>
                <w:noProof/>
              </w:rPr>
              <w:t>Sprijin financiar pentru traducerea și editarea operelor literare</w:t>
            </w:r>
          </w:p>
        </w:tc>
        <w:tc>
          <w:tcPr>
            <w:tcW w:w="1193" w:type="dxa"/>
            <w:shd w:val="clear" w:color="auto" w:fill="C4EFCE"/>
            <w:vAlign w:val="center"/>
            <w:hideMark/>
          </w:tcPr>
          <w:p w14:paraId="7B42CD2C" w14:textId="77777777" w:rsidR="00A15990" w:rsidRDefault="00686A62">
            <w:pPr>
              <w:pStyle w:val="P68B1DB1-Normal8"/>
              <w:spacing w:after="0" w:line="240" w:lineRule="auto"/>
              <w:jc w:val="center"/>
              <w:rPr>
                <w:rFonts w:eastAsia="Times New Roman" w:cs="Calibri"/>
                <w:noProof/>
              </w:rPr>
            </w:pPr>
            <w:r>
              <w:rPr>
                <w:noProof/>
              </w:rPr>
              <w:t>  </w:t>
            </w:r>
          </w:p>
        </w:tc>
        <w:tc>
          <w:tcPr>
            <w:tcW w:w="930" w:type="dxa"/>
            <w:shd w:val="clear" w:color="auto" w:fill="C4EFCE"/>
            <w:vAlign w:val="center"/>
            <w:hideMark/>
          </w:tcPr>
          <w:p w14:paraId="4CC6026D" w14:textId="77777777" w:rsidR="00A15990" w:rsidRDefault="00686A62">
            <w:pPr>
              <w:pStyle w:val="P68B1DB1-Normal8"/>
              <w:spacing w:after="0" w:line="240" w:lineRule="auto"/>
              <w:jc w:val="center"/>
              <w:rPr>
                <w:rFonts w:eastAsia="Times New Roman" w:cs="Calibri"/>
                <w:noProof/>
              </w:rPr>
            </w:pPr>
            <w:r>
              <w:rPr>
                <w:noProof/>
              </w:rPr>
              <w:t>Numărul</w:t>
            </w:r>
          </w:p>
        </w:tc>
        <w:tc>
          <w:tcPr>
            <w:tcW w:w="1225" w:type="dxa"/>
            <w:shd w:val="clear" w:color="auto" w:fill="C4EFCE"/>
            <w:vAlign w:val="center"/>
            <w:hideMark/>
          </w:tcPr>
          <w:p w14:paraId="6357E9BC" w14:textId="77777777" w:rsidR="00A15990" w:rsidRDefault="00686A62">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3EAEBED8" w14:textId="77777777" w:rsidR="00A15990" w:rsidRDefault="00686A62">
            <w:pPr>
              <w:pStyle w:val="P68B1DB1-Normal8"/>
              <w:spacing w:after="0" w:line="240" w:lineRule="auto"/>
              <w:jc w:val="center"/>
              <w:rPr>
                <w:rFonts w:eastAsia="Times New Roman" w:cs="Calibri"/>
                <w:noProof/>
              </w:rPr>
            </w:pPr>
            <w:r>
              <w:rPr>
                <w:noProof/>
              </w:rPr>
              <w:t>5 200 </w:t>
            </w:r>
          </w:p>
        </w:tc>
        <w:tc>
          <w:tcPr>
            <w:tcW w:w="539" w:type="dxa"/>
            <w:shd w:val="clear" w:color="auto" w:fill="C4EFCE"/>
            <w:vAlign w:val="center"/>
            <w:hideMark/>
          </w:tcPr>
          <w:p w14:paraId="50DC2D60" w14:textId="77777777" w:rsidR="00A15990" w:rsidRDefault="00686A62">
            <w:pPr>
              <w:pStyle w:val="P68B1DB1-Normal8"/>
              <w:spacing w:after="0" w:line="240" w:lineRule="auto"/>
              <w:jc w:val="center"/>
              <w:rPr>
                <w:rFonts w:eastAsia="Times New Roman" w:cs="Calibri"/>
                <w:noProof/>
              </w:rPr>
            </w:pPr>
            <w:r>
              <w:rPr>
                <w:noProof/>
              </w:rPr>
              <w:t>TRIMESTRUL 4 </w:t>
            </w:r>
          </w:p>
        </w:tc>
        <w:tc>
          <w:tcPr>
            <w:tcW w:w="672" w:type="dxa"/>
            <w:shd w:val="clear" w:color="auto" w:fill="C4EFCE"/>
            <w:vAlign w:val="center"/>
            <w:hideMark/>
          </w:tcPr>
          <w:p w14:paraId="29C58B9A" w14:textId="77777777" w:rsidR="00A15990" w:rsidRDefault="00686A62">
            <w:pPr>
              <w:pStyle w:val="P68B1DB1-Normal8"/>
              <w:spacing w:after="0" w:line="240" w:lineRule="auto"/>
              <w:jc w:val="center"/>
              <w:rPr>
                <w:rFonts w:eastAsia="Times New Roman" w:cs="Calibri"/>
                <w:noProof/>
              </w:rPr>
            </w:pPr>
            <w:r>
              <w:rPr>
                <w:noProof/>
              </w:rPr>
              <w:t>2025 </w:t>
            </w:r>
          </w:p>
        </w:tc>
        <w:tc>
          <w:tcPr>
            <w:tcW w:w="3756" w:type="dxa"/>
            <w:shd w:val="clear" w:color="auto" w:fill="C4EFCE"/>
            <w:vAlign w:val="center"/>
            <w:hideMark/>
          </w:tcPr>
          <w:p w14:paraId="315D085F" w14:textId="0B09D103" w:rsidR="00A15990" w:rsidRDefault="00A15990">
            <w:pPr>
              <w:spacing w:after="0" w:line="240" w:lineRule="auto"/>
              <w:jc w:val="both"/>
              <w:rPr>
                <w:rFonts w:ascii="Calibri" w:eastAsia="Times New Roman" w:hAnsi="Calibri" w:cs="Calibri"/>
                <w:noProof/>
                <w:sz w:val="16"/>
              </w:rPr>
            </w:pPr>
          </w:p>
          <w:p w14:paraId="1A89509D" w14:textId="1230369A" w:rsidR="00A15990" w:rsidRDefault="00686A62">
            <w:pPr>
              <w:pStyle w:val="P68B1DB1-Normal8"/>
              <w:spacing w:after="0" w:line="240" w:lineRule="auto"/>
              <w:jc w:val="both"/>
              <w:rPr>
                <w:rFonts w:eastAsia="Times New Roman" w:cs="Calibri"/>
                <w:noProof/>
              </w:rPr>
            </w:pPr>
            <w:r>
              <w:rPr>
                <w:noProof/>
              </w:rPr>
              <w:t>Numărul de opere literare care au beneficiat de sprijin financiar pentru traducerea și publicarea de opere literare și editarea de cărți audio și cărți electronice prin finanțarea a 60-70 % din costurile de traducere și publicare.</w:t>
            </w:r>
          </w:p>
        </w:tc>
      </w:tr>
      <w:tr w:rsidR="00A15990" w14:paraId="69C93F6D" w14:textId="77777777">
        <w:trPr>
          <w:trHeight w:val="1252"/>
        </w:trPr>
        <w:tc>
          <w:tcPr>
            <w:tcW w:w="1067" w:type="dxa"/>
            <w:shd w:val="clear" w:color="auto" w:fill="C5EFCE"/>
            <w:vAlign w:val="center"/>
            <w:hideMark/>
          </w:tcPr>
          <w:p w14:paraId="4136033A" w14:textId="7FAAF2FA" w:rsidR="00A15990" w:rsidRDefault="00686A62">
            <w:pPr>
              <w:pStyle w:val="P68B1DB1-Normal7"/>
              <w:spacing w:line="240" w:lineRule="auto"/>
              <w:jc w:val="center"/>
              <w:rPr>
                <w:rFonts w:eastAsia="Times New Roman" w:cs="Calibri"/>
                <w:noProof/>
              </w:rPr>
            </w:pPr>
            <w:r>
              <w:rPr>
                <w:noProof/>
              </w:rPr>
              <w:t>4.9</w:t>
            </w:r>
          </w:p>
        </w:tc>
        <w:tc>
          <w:tcPr>
            <w:tcW w:w="1191" w:type="dxa"/>
            <w:shd w:val="clear" w:color="auto" w:fill="C4EFCE"/>
            <w:vAlign w:val="center"/>
            <w:hideMark/>
          </w:tcPr>
          <w:p w14:paraId="087D8C01" w14:textId="1509E774" w:rsidR="00A15990" w:rsidRDefault="00686A62">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102CD47A" w14:textId="3BE67781" w:rsidR="00A15990" w:rsidRDefault="00686A62">
            <w:pPr>
              <w:pStyle w:val="P68B1DB1-Normal8"/>
              <w:spacing w:line="240" w:lineRule="auto"/>
              <w:jc w:val="center"/>
              <w:rPr>
                <w:rFonts w:eastAsia="Times New Roman" w:cs="Calibri"/>
                <w:noProof/>
              </w:rPr>
            </w:pPr>
            <w:r>
              <w:rPr>
                <w:noProof/>
              </w:rPr>
              <w:t>M</w:t>
            </w:r>
          </w:p>
        </w:tc>
        <w:tc>
          <w:tcPr>
            <w:tcW w:w="1588" w:type="dxa"/>
            <w:shd w:val="clear" w:color="auto" w:fill="C4EFCE"/>
            <w:vAlign w:val="center"/>
            <w:hideMark/>
          </w:tcPr>
          <w:p w14:paraId="226CD61A" w14:textId="4958D1C6" w:rsidR="00A15990" w:rsidRDefault="00686A62">
            <w:pPr>
              <w:pStyle w:val="P68B1DB1-Normal8"/>
              <w:widowControl w:val="0"/>
              <w:spacing w:before="320" w:after="0" w:line="240" w:lineRule="auto"/>
              <w:jc w:val="center"/>
              <w:rPr>
                <w:rFonts w:eastAsia="Calibri" w:cs="Calibri"/>
                <w:noProof/>
              </w:rPr>
            </w:pPr>
            <w:r>
              <w:rPr>
                <w:noProof/>
              </w:rPr>
              <w:t>Modernizarea tehnologică a ANIM – Arhiva Națională a Imaginilor în mișcare</w:t>
            </w:r>
          </w:p>
        </w:tc>
        <w:tc>
          <w:tcPr>
            <w:tcW w:w="1193" w:type="dxa"/>
            <w:shd w:val="clear" w:color="auto" w:fill="C4EFCE"/>
            <w:vAlign w:val="center"/>
            <w:hideMark/>
          </w:tcPr>
          <w:p w14:paraId="36622BAB" w14:textId="2B99FCB6" w:rsidR="00A15990" w:rsidRDefault="00686A62">
            <w:pPr>
              <w:pStyle w:val="P68B1DB1-Normal8"/>
              <w:spacing w:line="240" w:lineRule="auto"/>
              <w:jc w:val="center"/>
              <w:rPr>
                <w:rFonts w:eastAsia="Times New Roman" w:cs="Calibri"/>
                <w:noProof/>
              </w:rPr>
            </w:pPr>
            <w:r>
              <w:rPr>
                <w:noProof/>
              </w:rPr>
              <w:t>Livrarea echipamentelor</w:t>
            </w:r>
          </w:p>
        </w:tc>
        <w:tc>
          <w:tcPr>
            <w:tcW w:w="930" w:type="dxa"/>
            <w:shd w:val="clear" w:color="auto" w:fill="C4EFCE"/>
            <w:vAlign w:val="center"/>
            <w:hideMark/>
          </w:tcPr>
          <w:p w14:paraId="50A25E56" w14:textId="4285FAF0" w:rsidR="00A15990" w:rsidRDefault="00A15990">
            <w:pPr>
              <w:spacing w:line="240" w:lineRule="auto"/>
              <w:jc w:val="center"/>
              <w:rPr>
                <w:rFonts w:ascii="Calibri" w:eastAsia="Times New Roman" w:hAnsi="Calibri" w:cs="Calibri"/>
                <w:noProof/>
                <w:sz w:val="16"/>
              </w:rPr>
            </w:pPr>
          </w:p>
        </w:tc>
        <w:tc>
          <w:tcPr>
            <w:tcW w:w="1225" w:type="dxa"/>
            <w:shd w:val="clear" w:color="auto" w:fill="C4EFCE"/>
            <w:vAlign w:val="center"/>
            <w:hideMark/>
          </w:tcPr>
          <w:p w14:paraId="3A7664CF" w14:textId="533FA4EC" w:rsidR="00A15990" w:rsidRDefault="00A15990">
            <w:pPr>
              <w:spacing w:line="240" w:lineRule="auto"/>
              <w:jc w:val="center"/>
              <w:rPr>
                <w:rFonts w:ascii="Calibri" w:eastAsia="Times New Roman" w:hAnsi="Calibri" w:cs="Calibri"/>
                <w:noProof/>
                <w:sz w:val="16"/>
              </w:rPr>
            </w:pPr>
          </w:p>
        </w:tc>
        <w:tc>
          <w:tcPr>
            <w:tcW w:w="671" w:type="dxa"/>
            <w:shd w:val="clear" w:color="auto" w:fill="C4EFCE"/>
            <w:vAlign w:val="center"/>
            <w:hideMark/>
          </w:tcPr>
          <w:p w14:paraId="4B934F52" w14:textId="168F57DB" w:rsidR="00A15990" w:rsidRDefault="00A15990">
            <w:pPr>
              <w:spacing w:line="240" w:lineRule="auto"/>
              <w:jc w:val="center"/>
              <w:rPr>
                <w:rFonts w:ascii="Calibri" w:eastAsia="Times New Roman" w:hAnsi="Calibri" w:cs="Calibri"/>
                <w:noProof/>
                <w:sz w:val="16"/>
              </w:rPr>
            </w:pPr>
          </w:p>
        </w:tc>
        <w:tc>
          <w:tcPr>
            <w:tcW w:w="539" w:type="dxa"/>
            <w:shd w:val="clear" w:color="auto" w:fill="C4EFCE"/>
            <w:vAlign w:val="center"/>
            <w:hideMark/>
          </w:tcPr>
          <w:p w14:paraId="2BB5A574" w14:textId="38582661" w:rsidR="00A15990" w:rsidRDefault="00686A62">
            <w:pPr>
              <w:pStyle w:val="P68B1DB1-Normal8"/>
              <w:spacing w:line="240" w:lineRule="auto"/>
              <w:jc w:val="center"/>
              <w:rPr>
                <w:rFonts w:eastAsia="Times New Roman" w:cs="Calibri"/>
                <w:noProof/>
              </w:rPr>
            </w:pPr>
            <w:r>
              <w:rPr>
                <w:noProof/>
              </w:rPr>
              <w:t>TRIMESTRUL 3</w:t>
            </w:r>
          </w:p>
        </w:tc>
        <w:tc>
          <w:tcPr>
            <w:tcW w:w="672" w:type="dxa"/>
            <w:shd w:val="clear" w:color="auto" w:fill="C4EFCE"/>
            <w:vAlign w:val="center"/>
            <w:hideMark/>
          </w:tcPr>
          <w:p w14:paraId="4FE4F2D2" w14:textId="215CF13E" w:rsidR="00A15990" w:rsidRDefault="00686A62">
            <w:pPr>
              <w:pStyle w:val="P68B1DB1-Normal8"/>
              <w:spacing w:line="240" w:lineRule="auto"/>
              <w:jc w:val="center"/>
              <w:rPr>
                <w:rFonts w:eastAsia="Times New Roman" w:cs="Calibri"/>
                <w:noProof/>
              </w:rPr>
            </w:pPr>
            <w:r>
              <w:rPr>
                <w:noProof/>
              </w:rPr>
              <w:t>2023</w:t>
            </w:r>
          </w:p>
        </w:tc>
        <w:tc>
          <w:tcPr>
            <w:tcW w:w="3756" w:type="dxa"/>
            <w:shd w:val="clear" w:color="auto" w:fill="C4EFCE"/>
            <w:vAlign w:val="center"/>
            <w:hideMark/>
          </w:tcPr>
          <w:p w14:paraId="0A05C053" w14:textId="1A2F05CC" w:rsidR="00A15990" w:rsidRDefault="00686A62">
            <w:pPr>
              <w:pStyle w:val="P68B1DB1-Normal8"/>
              <w:spacing w:before="40" w:after="160" w:line="240" w:lineRule="auto"/>
              <w:contextualSpacing/>
              <w:jc w:val="both"/>
              <w:rPr>
                <w:rFonts w:eastAsia="Calibri" w:cs="Calibri"/>
                <w:noProof/>
              </w:rPr>
            </w:pPr>
            <w:r>
              <w:rPr>
                <w:noProof/>
              </w:rPr>
              <w:t>Livrarea de echipamente pentru modernizarea tehnologică a Arhivei Naționale a Imaginilor în mișcare.</w:t>
            </w:r>
          </w:p>
        </w:tc>
      </w:tr>
      <w:tr w:rsidR="00A15990" w14:paraId="7A6F89CA" w14:textId="77777777">
        <w:trPr>
          <w:trHeight w:val="1883"/>
        </w:trPr>
        <w:tc>
          <w:tcPr>
            <w:tcW w:w="1067" w:type="dxa"/>
            <w:shd w:val="clear" w:color="auto" w:fill="C5EFCE"/>
            <w:vAlign w:val="center"/>
            <w:hideMark/>
          </w:tcPr>
          <w:p w14:paraId="0F231483" w14:textId="3BD0B995" w:rsidR="00A15990" w:rsidRDefault="00686A62">
            <w:pPr>
              <w:pStyle w:val="P68B1DB1-Normal7"/>
              <w:spacing w:line="240" w:lineRule="auto"/>
              <w:jc w:val="center"/>
              <w:rPr>
                <w:rFonts w:eastAsia="Times New Roman" w:cs="Calibri"/>
                <w:noProof/>
              </w:rPr>
            </w:pPr>
            <w:r>
              <w:rPr>
                <w:noProof/>
              </w:rPr>
              <w:t>4.10</w:t>
            </w:r>
          </w:p>
        </w:tc>
        <w:tc>
          <w:tcPr>
            <w:tcW w:w="1191" w:type="dxa"/>
            <w:shd w:val="clear" w:color="auto" w:fill="C4EFCE"/>
            <w:vAlign w:val="center"/>
            <w:hideMark/>
          </w:tcPr>
          <w:p w14:paraId="3A7259C4" w14:textId="3A73E587" w:rsidR="00A15990" w:rsidRDefault="00686A62">
            <w:pPr>
              <w:pStyle w:val="P68B1DB1-Normal8"/>
              <w:spacing w:line="240" w:lineRule="auto"/>
              <w:jc w:val="center"/>
              <w:rPr>
                <w:rFonts w:eastAsia="Times New Roman" w:cs="Calibri"/>
                <w:noProof/>
              </w:rPr>
            </w:pPr>
            <w:r>
              <w:rPr>
                <w:noProof/>
              </w:rPr>
              <w:t>RE-C04-i01</w:t>
            </w:r>
          </w:p>
        </w:tc>
        <w:tc>
          <w:tcPr>
            <w:tcW w:w="1060" w:type="dxa"/>
            <w:shd w:val="clear" w:color="auto" w:fill="C4EFCE"/>
            <w:vAlign w:val="center"/>
            <w:hideMark/>
          </w:tcPr>
          <w:p w14:paraId="707B69E4" w14:textId="522C4E35" w:rsidR="00A15990" w:rsidRDefault="00686A62">
            <w:pPr>
              <w:pStyle w:val="P68B1DB1-Normal8"/>
              <w:spacing w:line="240" w:lineRule="auto"/>
              <w:jc w:val="center"/>
              <w:rPr>
                <w:rFonts w:eastAsia="Times New Roman" w:cs="Calibri"/>
                <w:noProof/>
              </w:rPr>
            </w:pPr>
            <w:r>
              <w:rPr>
                <w:noProof/>
              </w:rPr>
              <w:t>T</w:t>
            </w:r>
          </w:p>
        </w:tc>
        <w:tc>
          <w:tcPr>
            <w:tcW w:w="1588" w:type="dxa"/>
            <w:shd w:val="clear" w:color="auto" w:fill="C4EFCE"/>
            <w:vAlign w:val="center"/>
            <w:hideMark/>
          </w:tcPr>
          <w:p w14:paraId="600DDD24" w14:textId="12D6D904" w:rsidR="00A15990" w:rsidRDefault="00686A62">
            <w:pPr>
              <w:pStyle w:val="P68B1DB1-Normal8"/>
              <w:widowControl w:val="0"/>
              <w:spacing w:before="320" w:after="0" w:line="240" w:lineRule="auto"/>
              <w:jc w:val="center"/>
              <w:rPr>
                <w:rFonts w:eastAsia="Calibri" w:cs="Calibri"/>
                <w:noProof/>
              </w:rPr>
            </w:pPr>
            <w:r>
              <w:rPr>
                <w:noProof/>
              </w:rPr>
              <w:t>Livrarea de echipamente pentru instalarea Arhivei Naționale de Sound și pentru modernizarea tehnologică a laboratoarelor publice</w:t>
            </w:r>
          </w:p>
        </w:tc>
        <w:tc>
          <w:tcPr>
            <w:tcW w:w="1193" w:type="dxa"/>
            <w:shd w:val="clear" w:color="auto" w:fill="C4EFCE"/>
            <w:vAlign w:val="center"/>
            <w:hideMark/>
          </w:tcPr>
          <w:p w14:paraId="3916C5A9" w14:textId="2EEBDAB8" w:rsidR="00A15990" w:rsidRDefault="00A15990">
            <w:pPr>
              <w:spacing w:line="240" w:lineRule="auto"/>
              <w:jc w:val="center"/>
              <w:rPr>
                <w:rFonts w:ascii="Calibri" w:eastAsia="Times New Roman" w:hAnsi="Calibri" w:cs="Calibri"/>
                <w:noProof/>
                <w:sz w:val="16"/>
              </w:rPr>
            </w:pPr>
          </w:p>
        </w:tc>
        <w:tc>
          <w:tcPr>
            <w:tcW w:w="930" w:type="dxa"/>
            <w:shd w:val="clear" w:color="auto" w:fill="C4EFCE"/>
            <w:vAlign w:val="center"/>
            <w:hideMark/>
          </w:tcPr>
          <w:p w14:paraId="3EC993CE" w14:textId="4B407D21" w:rsidR="00A15990" w:rsidRDefault="00686A62">
            <w:pPr>
              <w:pStyle w:val="P68B1DB1-Normal8"/>
              <w:spacing w:line="240" w:lineRule="auto"/>
              <w:jc w:val="center"/>
              <w:rPr>
                <w:rFonts w:eastAsia="Times New Roman" w:cs="Calibri"/>
                <w:noProof/>
              </w:rPr>
            </w:pPr>
            <w:r>
              <w:rPr>
                <w:noProof/>
              </w:rPr>
              <w:t>Numărul</w:t>
            </w:r>
          </w:p>
        </w:tc>
        <w:tc>
          <w:tcPr>
            <w:tcW w:w="1225" w:type="dxa"/>
            <w:shd w:val="clear" w:color="auto" w:fill="C4EFCE"/>
            <w:vAlign w:val="center"/>
            <w:hideMark/>
          </w:tcPr>
          <w:p w14:paraId="40DF9AC1" w14:textId="69274E4F" w:rsidR="00A15990" w:rsidRDefault="00686A62">
            <w:pPr>
              <w:pStyle w:val="P68B1DB1-Normal8"/>
              <w:spacing w:line="240" w:lineRule="auto"/>
              <w:jc w:val="center"/>
              <w:rPr>
                <w:rFonts w:eastAsia="Times New Roman" w:cs="Calibri"/>
                <w:noProof/>
              </w:rPr>
            </w:pPr>
            <w:r>
              <w:rPr>
                <w:noProof/>
              </w:rPr>
              <w:t>0</w:t>
            </w:r>
          </w:p>
        </w:tc>
        <w:tc>
          <w:tcPr>
            <w:tcW w:w="671" w:type="dxa"/>
            <w:shd w:val="clear" w:color="auto" w:fill="C4EFCE"/>
            <w:vAlign w:val="center"/>
            <w:hideMark/>
          </w:tcPr>
          <w:p w14:paraId="706ECCC2" w14:textId="057ADB86" w:rsidR="00A15990" w:rsidRDefault="00686A62">
            <w:pPr>
              <w:pStyle w:val="P68B1DB1-Normal8"/>
              <w:spacing w:line="240" w:lineRule="auto"/>
              <w:jc w:val="center"/>
              <w:rPr>
                <w:rFonts w:eastAsia="Times New Roman" w:cs="Calibri"/>
                <w:noProof/>
              </w:rPr>
            </w:pPr>
            <w:r>
              <w:rPr>
                <w:noProof/>
              </w:rPr>
              <w:t>5</w:t>
            </w:r>
          </w:p>
        </w:tc>
        <w:tc>
          <w:tcPr>
            <w:tcW w:w="539" w:type="dxa"/>
            <w:shd w:val="clear" w:color="auto" w:fill="C4EFCE"/>
            <w:vAlign w:val="center"/>
            <w:hideMark/>
          </w:tcPr>
          <w:p w14:paraId="03E2A86D" w14:textId="0364350D" w:rsidR="00A15990" w:rsidRDefault="00686A62">
            <w:pPr>
              <w:pStyle w:val="P68B1DB1-Normal8"/>
              <w:spacing w:line="240" w:lineRule="auto"/>
              <w:jc w:val="center"/>
              <w:rPr>
                <w:rFonts w:eastAsia="Times New Roman" w:cs="Calibri"/>
                <w:noProof/>
              </w:rPr>
            </w:pPr>
            <w:r>
              <w:rPr>
                <w:noProof/>
              </w:rPr>
              <w:t>TRIMESTRUL 1</w:t>
            </w:r>
          </w:p>
        </w:tc>
        <w:tc>
          <w:tcPr>
            <w:tcW w:w="672" w:type="dxa"/>
            <w:shd w:val="clear" w:color="auto" w:fill="C4EFCE"/>
            <w:vAlign w:val="center"/>
            <w:hideMark/>
          </w:tcPr>
          <w:p w14:paraId="217FE2C8" w14:textId="0B333ABA" w:rsidR="00A15990" w:rsidRDefault="00686A62">
            <w:pPr>
              <w:pStyle w:val="P68B1DB1-Normal8"/>
              <w:spacing w:line="240" w:lineRule="auto"/>
              <w:jc w:val="center"/>
              <w:rPr>
                <w:rFonts w:eastAsia="Times New Roman" w:cs="Calibri"/>
                <w:noProof/>
              </w:rPr>
            </w:pPr>
            <w:r>
              <w:rPr>
                <w:noProof/>
              </w:rPr>
              <w:t>2026</w:t>
            </w:r>
          </w:p>
        </w:tc>
        <w:tc>
          <w:tcPr>
            <w:tcW w:w="3756" w:type="dxa"/>
            <w:shd w:val="clear" w:color="auto" w:fill="C4EFCE"/>
            <w:vAlign w:val="center"/>
            <w:hideMark/>
          </w:tcPr>
          <w:p w14:paraId="752F7E82" w14:textId="604FBA79" w:rsidR="00A15990" w:rsidRDefault="00686A62">
            <w:pPr>
              <w:pStyle w:val="P68B1DB1-Normal8"/>
              <w:widowControl w:val="0"/>
              <w:spacing w:after="160" w:line="240" w:lineRule="auto"/>
              <w:rPr>
                <w:rFonts w:eastAsia="Calibri" w:cs="Calibri"/>
                <w:noProof/>
              </w:rPr>
            </w:pPr>
            <w:r>
              <w:rPr>
                <w:noProof/>
              </w:rPr>
              <w:t>Numărul de clădiri și laboratoare pentru care au fost livrate echipamente (Arhiva Națională a Sound și laboratoare publice: José Figueiredo Laboratory, CNANS, LARQ și Forte de Sacavém).</w:t>
            </w:r>
          </w:p>
        </w:tc>
      </w:tr>
      <w:tr w:rsidR="00A15990" w14:paraId="6CE186ED" w14:textId="77777777">
        <w:trPr>
          <w:trHeight w:val="2740"/>
        </w:trPr>
        <w:tc>
          <w:tcPr>
            <w:tcW w:w="1067" w:type="dxa"/>
            <w:shd w:val="clear" w:color="auto" w:fill="C5EFCE"/>
            <w:vAlign w:val="center"/>
            <w:hideMark/>
          </w:tcPr>
          <w:p w14:paraId="4096D4CD" w14:textId="77777777" w:rsidR="00A15990" w:rsidRDefault="00686A62">
            <w:pPr>
              <w:pStyle w:val="P68B1DB1-Normal7"/>
              <w:spacing w:after="0" w:line="240" w:lineRule="auto"/>
              <w:jc w:val="center"/>
              <w:rPr>
                <w:rFonts w:eastAsia="Times New Roman" w:cs="Calibri"/>
                <w:noProof/>
              </w:rPr>
            </w:pPr>
            <w:r>
              <w:rPr>
                <w:noProof/>
              </w:rPr>
              <w:t>4.6</w:t>
            </w:r>
          </w:p>
        </w:tc>
        <w:tc>
          <w:tcPr>
            <w:tcW w:w="1191" w:type="dxa"/>
            <w:shd w:val="clear" w:color="auto" w:fill="C4EFCE"/>
            <w:vAlign w:val="center"/>
            <w:hideMark/>
          </w:tcPr>
          <w:p w14:paraId="756E9748" w14:textId="77777777" w:rsidR="00A15990" w:rsidRDefault="00686A62">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EAEAB0E" w14:textId="77777777" w:rsidR="00A15990" w:rsidRDefault="00686A62">
            <w:pPr>
              <w:pStyle w:val="P68B1DB1-Normal8"/>
              <w:spacing w:after="0" w:line="240" w:lineRule="auto"/>
              <w:jc w:val="center"/>
              <w:rPr>
                <w:rFonts w:eastAsia="Times New Roman" w:cs="Calibri"/>
                <w:noProof/>
              </w:rPr>
            </w:pPr>
            <w:r>
              <w:rPr>
                <w:noProof/>
              </w:rPr>
              <w:t>M </w:t>
            </w:r>
          </w:p>
        </w:tc>
        <w:tc>
          <w:tcPr>
            <w:tcW w:w="1588" w:type="dxa"/>
            <w:shd w:val="clear" w:color="auto" w:fill="C4EFCE"/>
            <w:vAlign w:val="center"/>
            <w:hideMark/>
          </w:tcPr>
          <w:p w14:paraId="7DE50256" w14:textId="77777777" w:rsidR="00A15990" w:rsidRDefault="00686A62">
            <w:pPr>
              <w:pStyle w:val="P68B1DB1-Normal8"/>
              <w:spacing w:after="0" w:line="240" w:lineRule="auto"/>
              <w:jc w:val="center"/>
              <w:rPr>
                <w:rFonts w:eastAsia="Times New Roman" w:cs="Calibri"/>
                <w:noProof/>
              </w:rPr>
            </w:pPr>
            <w:r>
              <w:rPr>
                <w:noProof/>
              </w:rPr>
              <w:t>Crearea rețelei „Saber Fazer” </w:t>
            </w:r>
          </w:p>
        </w:tc>
        <w:tc>
          <w:tcPr>
            <w:tcW w:w="1193" w:type="dxa"/>
            <w:shd w:val="clear" w:color="auto" w:fill="C4EFCE"/>
            <w:vAlign w:val="center"/>
            <w:hideMark/>
          </w:tcPr>
          <w:p w14:paraId="55979DAB" w14:textId="7F73E08D" w:rsidR="00A15990" w:rsidRDefault="00686A62">
            <w:pPr>
              <w:pStyle w:val="P68B1DB1-Normal8"/>
              <w:spacing w:after="0" w:line="240" w:lineRule="auto"/>
              <w:jc w:val="center"/>
              <w:rPr>
                <w:rFonts w:eastAsia="Times New Roman" w:cs="Calibri"/>
                <w:noProof/>
              </w:rPr>
            </w:pPr>
            <w:r>
              <w:rPr>
                <w:noProof/>
              </w:rPr>
              <w:t xml:space="preserve">Crearea unui registru de informații și documentație privind producția artizanală internă, identificarea și cartografierea materiilor prime </w:t>
            </w:r>
          </w:p>
        </w:tc>
        <w:tc>
          <w:tcPr>
            <w:tcW w:w="930" w:type="dxa"/>
            <w:shd w:val="clear" w:color="auto" w:fill="C4EFCE"/>
            <w:vAlign w:val="center"/>
            <w:hideMark/>
          </w:tcPr>
          <w:p w14:paraId="34888FD9" w14:textId="77777777" w:rsidR="00A15990" w:rsidRDefault="00686A62">
            <w:pPr>
              <w:pStyle w:val="P68B1DB1-Normal8"/>
              <w:spacing w:after="0" w:line="240" w:lineRule="auto"/>
              <w:jc w:val="center"/>
              <w:rPr>
                <w:rFonts w:eastAsia="Times New Roman" w:cs="Calibri"/>
                <w:noProof/>
              </w:rPr>
            </w:pPr>
            <w:r>
              <w:rPr>
                <w:noProof/>
              </w:rPr>
              <w:t>  </w:t>
            </w:r>
          </w:p>
        </w:tc>
        <w:tc>
          <w:tcPr>
            <w:tcW w:w="1225" w:type="dxa"/>
            <w:shd w:val="clear" w:color="auto" w:fill="C4EFCE"/>
            <w:vAlign w:val="center"/>
            <w:hideMark/>
          </w:tcPr>
          <w:p w14:paraId="760352CB" w14:textId="77777777" w:rsidR="00A15990" w:rsidRDefault="00686A62">
            <w:pPr>
              <w:pStyle w:val="P68B1DB1-Normal8"/>
              <w:spacing w:after="0" w:line="240" w:lineRule="auto"/>
              <w:jc w:val="center"/>
              <w:rPr>
                <w:rFonts w:eastAsia="Times New Roman" w:cs="Calibri"/>
                <w:noProof/>
              </w:rPr>
            </w:pPr>
            <w:r>
              <w:rPr>
                <w:noProof/>
              </w:rPr>
              <w:t>  </w:t>
            </w:r>
          </w:p>
        </w:tc>
        <w:tc>
          <w:tcPr>
            <w:tcW w:w="671" w:type="dxa"/>
            <w:shd w:val="clear" w:color="auto" w:fill="C4EFCE"/>
            <w:vAlign w:val="center"/>
            <w:hideMark/>
          </w:tcPr>
          <w:p w14:paraId="788C2337" w14:textId="77777777" w:rsidR="00A15990" w:rsidRDefault="00686A62">
            <w:pPr>
              <w:pStyle w:val="P68B1DB1-Normal8"/>
              <w:spacing w:after="0" w:line="240" w:lineRule="auto"/>
              <w:jc w:val="center"/>
              <w:rPr>
                <w:rFonts w:eastAsia="Times New Roman" w:cs="Calibri"/>
                <w:noProof/>
              </w:rPr>
            </w:pPr>
            <w:r>
              <w:rPr>
                <w:noProof/>
              </w:rPr>
              <w:t>  </w:t>
            </w:r>
          </w:p>
        </w:tc>
        <w:tc>
          <w:tcPr>
            <w:tcW w:w="539" w:type="dxa"/>
            <w:shd w:val="clear" w:color="auto" w:fill="C4EFCE"/>
            <w:vAlign w:val="center"/>
            <w:hideMark/>
          </w:tcPr>
          <w:p w14:paraId="332FDD5B" w14:textId="77777777" w:rsidR="00A15990" w:rsidRDefault="00686A62">
            <w:pPr>
              <w:pStyle w:val="P68B1DB1-Normal8"/>
              <w:spacing w:after="0" w:line="240" w:lineRule="auto"/>
              <w:jc w:val="center"/>
              <w:rPr>
                <w:rFonts w:eastAsia="Times New Roman" w:cs="Calibri"/>
                <w:noProof/>
              </w:rPr>
            </w:pPr>
            <w:r>
              <w:rPr>
                <w:noProof/>
              </w:rPr>
              <w:t>TRIMESTRUL 4 </w:t>
            </w:r>
          </w:p>
        </w:tc>
        <w:tc>
          <w:tcPr>
            <w:tcW w:w="672" w:type="dxa"/>
            <w:shd w:val="clear" w:color="auto" w:fill="C4EFCE"/>
            <w:vAlign w:val="center"/>
            <w:hideMark/>
          </w:tcPr>
          <w:p w14:paraId="4E4BC6F2" w14:textId="77777777" w:rsidR="00A15990" w:rsidRDefault="00686A62">
            <w:pPr>
              <w:pStyle w:val="P68B1DB1-Normal8"/>
              <w:spacing w:after="0" w:line="240" w:lineRule="auto"/>
              <w:jc w:val="center"/>
              <w:rPr>
                <w:rFonts w:eastAsia="Times New Roman" w:cs="Calibri"/>
                <w:noProof/>
              </w:rPr>
            </w:pPr>
            <w:r>
              <w:rPr>
                <w:noProof/>
              </w:rPr>
              <w:t>2022 </w:t>
            </w:r>
          </w:p>
        </w:tc>
        <w:tc>
          <w:tcPr>
            <w:tcW w:w="3756" w:type="dxa"/>
            <w:shd w:val="clear" w:color="auto" w:fill="C4EFCE"/>
            <w:vAlign w:val="center"/>
            <w:hideMark/>
          </w:tcPr>
          <w:p w14:paraId="4C1C186A" w14:textId="77777777" w:rsidR="00A15990" w:rsidRDefault="00686A62">
            <w:pPr>
              <w:pStyle w:val="P68B1DB1-Normal8"/>
              <w:spacing w:after="0" w:line="240" w:lineRule="auto"/>
              <w:jc w:val="both"/>
              <w:rPr>
                <w:rFonts w:eastAsia="Times New Roman" w:cs="Calibri"/>
                <w:noProof/>
              </w:rPr>
            </w:pPr>
            <w:r>
              <w:rPr>
                <w:noProof/>
              </w:rPr>
              <w:t>Crearea rețelei „Saber Fazer”: crearea unui registru de informații și documentație privind producția artizanală internă; și identificarea și cartografierea materiilor prime utilizate în producția artizanală.</w:t>
            </w:r>
          </w:p>
        </w:tc>
      </w:tr>
      <w:tr w:rsidR="00A15990" w14:paraId="35C27186" w14:textId="77777777">
        <w:trPr>
          <w:trHeight w:val="1492"/>
        </w:trPr>
        <w:tc>
          <w:tcPr>
            <w:tcW w:w="1067" w:type="dxa"/>
            <w:shd w:val="clear" w:color="auto" w:fill="C5EFCE"/>
            <w:vAlign w:val="center"/>
            <w:hideMark/>
          </w:tcPr>
          <w:p w14:paraId="23022BEF" w14:textId="77777777" w:rsidR="00A15990" w:rsidRDefault="00686A62">
            <w:pPr>
              <w:pStyle w:val="P68B1DB1-Normal7"/>
              <w:spacing w:after="0" w:line="240" w:lineRule="auto"/>
              <w:jc w:val="center"/>
              <w:rPr>
                <w:rFonts w:eastAsia="Times New Roman" w:cs="Calibri"/>
                <w:noProof/>
              </w:rPr>
            </w:pPr>
            <w:r>
              <w:rPr>
                <w:noProof/>
              </w:rPr>
              <w:t>4.7</w:t>
            </w:r>
          </w:p>
        </w:tc>
        <w:tc>
          <w:tcPr>
            <w:tcW w:w="1191" w:type="dxa"/>
            <w:shd w:val="clear" w:color="auto" w:fill="C4EFCE"/>
            <w:vAlign w:val="center"/>
            <w:hideMark/>
          </w:tcPr>
          <w:p w14:paraId="255C30CA" w14:textId="77777777" w:rsidR="00A15990" w:rsidRDefault="00686A62">
            <w:pPr>
              <w:pStyle w:val="P68B1DB1-Normal8"/>
              <w:spacing w:after="0" w:line="240" w:lineRule="auto"/>
              <w:jc w:val="center"/>
              <w:rPr>
                <w:rFonts w:eastAsia="Times New Roman" w:cs="Calibri"/>
                <w:noProof/>
              </w:rPr>
            </w:pPr>
            <w:r>
              <w:rPr>
                <w:noProof/>
              </w:rPr>
              <w:t xml:space="preserve">RE-C04-i02  </w:t>
            </w:r>
          </w:p>
        </w:tc>
        <w:tc>
          <w:tcPr>
            <w:tcW w:w="1060" w:type="dxa"/>
            <w:shd w:val="clear" w:color="auto" w:fill="C4EFCE"/>
            <w:vAlign w:val="center"/>
            <w:hideMark/>
          </w:tcPr>
          <w:p w14:paraId="5CC87B5D" w14:textId="77777777" w:rsidR="00A15990" w:rsidRDefault="00686A62">
            <w:pPr>
              <w:pStyle w:val="P68B1DB1-Normal8"/>
              <w:spacing w:after="0" w:line="240" w:lineRule="auto"/>
              <w:jc w:val="center"/>
              <w:rPr>
                <w:rFonts w:eastAsia="Times New Roman" w:cs="Calibri"/>
                <w:noProof/>
              </w:rPr>
            </w:pPr>
            <w:r>
              <w:rPr>
                <w:noProof/>
              </w:rPr>
              <w:t>T</w:t>
            </w:r>
          </w:p>
        </w:tc>
        <w:tc>
          <w:tcPr>
            <w:tcW w:w="1588" w:type="dxa"/>
            <w:shd w:val="clear" w:color="auto" w:fill="C4EFCE"/>
            <w:vAlign w:val="center"/>
            <w:hideMark/>
          </w:tcPr>
          <w:p w14:paraId="123191A7" w14:textId="77777777" w:rsidR="00A15990" w:rsidRDefault="00686A62">
            <w:pPr>
              <w:pStyle w:val="P68B1DB1-Normal8"/>
              <w:spacing w:after="0" w:line="240" w:lineRule="auto"/>
              <w:jc w:val="center"/>
              <w:rPr>
                <w:rFonts w:eastAsia="Times New Roman" w:cs="Calibri"/>
                <w:noProof/>
              </w:rPr>
            </w:pPr>
            <w:r>
              <w:rPr>
                <w:noProof/>
              </w:rPr>
              <w:t>Contracte semnate pentru reabilitarea și conservarea clădirilor din patrimoniul cultural și a teatrelor naționale</w:t>
            </w:r>
          </w:p>
        </w:tc>
        <w:tc>
          <w:tcPr>
            <w:tcW w:w="1193" w:type="dxa"/>
            <w:shd w:val="clear" w:color="auto" w:fill="C4EFCE"/>
            <w:vAlign w:val="center"/>
            <w:hideMark/>
          </w:tcPr>
          <w:p w14:paraId="12AD789B" w14:textId="77777777" w:rsidR="00A15990" w:rsidRDefault="00686A62">
            <w:pPr>
              <w:pStyle w:val="P68B1DB1-Normal8"/>
              <w:spacing w:after="0" w:line="240" w:lineRule="auto"/>
              <w:rPr>
                <w:rFonts w:eastAsia="Times New Roman" w:cs="Calibri"/>
                <w:noProof/>
              </w:rPr>
            </w:pPr>
            <w:r>
              <w:rPr>
                <w:noProof/>
              </w:rPr>
              <w:t>Contracte semnate</w:t>
            </w:r>
          </w:p>
        </w:tc>
        <w:tc>
          <w:tcPr>
            <w:tcW w:w="930" w:type="dxa"/>
            <w:shd w:val="clear" w:color="auto" w:fill="C4EFCE"/>
            <w:vAlign w:val="center"/>
            <w:hideMark/>
          </w:tcPr>
          <w:p w14:paraId="23F889FB" w14:textId="77777777" w:rsidR="00A15990" w:rsidRDefault="00686A62">
            <w:pPr>
              <w:pStyle w:val="P68B1DB1-Normal8"/>
              <w:spacing w:after="0" w:line="240" w:lineRule="auto"/>
              <w:jc w:val="center"/>
              <w:rPr>
                <w:rFonts w:eastAsia="Times New Roman" w:cs="Calibri"/>
                <w:noProof/>
              </w:rPr>
            </w:pPr>
            <w:r>
              <w:rPr>
                <w:noProof/>
              </w:rPr>
              <w:t>Numărul</w:t>
            </w:r>
          </w:p>
        </w:tc>
        <w:tc>
          <w:tcPr>
            <w:tcW w:w="1225" w:type="dxa"/>
            <w:shd w:val="clear" w:color="auto" w:fill="C4EFCE"/>
            <w:vAlign w:val="center"/>
            <w:hideMark/>
          </w:tcPr>
          <w:p w14:paraId="10D23A74" w14:textId="77777777" w:rsidR="00A15990" w:rsidRDefault="00686A62">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6C192691" w14:textId="77777777" w:rsidR="00A15990" w:rsidRDefault="00686A62">
            <w:pPr>
              <w:pStyle w:val="P68B1DB1-Normal8"/>
              <w:spacing w:after="0" w:line="240" w:lineRule="auto"/>
              <w:jc w:val="center"/>
              <w:rPr>
                <w:rFonts w:eastAsia="Times New Roman" w:cs="Calibri"/>
                <w:noProof/>
              </w:rPr>
            </w:pPr>
            <w:r>
              <w:rPr>
                <w:noProof/>
              </w:rPr>
              <w:t>49</w:t>
            </w:r>
          </w:p>
        </w:tc>
        <w:tc>
          <w:tcPr>
            <w:tcW w:w="539" w:type="dxa"/>
            <w:shd w:val="clear" w:color="auto" w:fill="C4EFCE"/>
            <w:vAlign w:val="center"/>
            <w:hideMark/>
          </w:tcPr>
          <w:p w14:paraId="1BE96BE2" w14:textId="77777777" w:rsidR="00A15990" w:rsidRDefault="00686A62">
            <w:pPr>
              <w:pStyle w:val="P68B1DB1-Normal8"/>
              <w:spacing w:after="0" w:line="240" w:lineRule="auto"/>
              <w:jc w:val="center"/>
              <w:rPr>
                <w:rFonts w:eastAsia="Times New Roman" w:cs="Calibri"/>
                <w:noProof/>
              </w:rPr>
            </w:pPr>
            <w:r>
              <w:rPr>
                <w:noProof/>
              </w:rPr>
              <w:t>TRIMESTRUL 3</w:t>
            </w:r>
          </w:p>
        </w:tc>
        <w:tc>
          <w:tcPr>
            <w:tcW w:w="672" w:type="dxa"/>
            <w:shd w:val="clear" w:color="auto" w:fill="C4EFCE"/>
            <w:vAlign w:val="center"/>
            <w:hideMark/>
          </w:tcPr>
          <w:p w14:paraId="64DC8375" w14:textId="77777777" w:rsidR="00A15990" w:rsidRDefault="00686A62">
            <w:pPr>
              <w:pStyle w:val="P68B1DB1-Normal8"/>
              <w:spacing w:after="0" w:line="240" w:lineRule="auto"/>
              <w:jc w:val="center"/>
              <w:rPr>
                <w:rFonts w:eastAsia="Times New Roman" w:cs="Calibri"/>
                <w:noProof/>
              </w:rPr>
            </w:pPr>
            <w:r>
              <w:rPr>
                <w:noProof/>
              </w:rPr>
              <w:t>2023</w:t>
            </w:r>
          </w:p>
        </w:tc>
        <w:tc>
          <w:tcPr>
            <w:tcW w:w="3756" w:type="dxa"/>
            <w:shd w:val="clear" w:color="auto" w:fill="C4EFCE"/>
            <w:vAlign w:val="center"/>
            <w:hideMark/>
          </w:tcPr>
          <w:p w14:paraId="7AAC0ED8" w14:textId="3E3946FA" w:rsidR="00A15990" w:rsidRDefault="00686A62">
            <w:pPr>
              <w:pStyle w:val="P68B1DB1-Normal8"/>
              <w:spacing w:after="0" w:line="240" w:lineRule="auto"/>
              <w:jc w:val="both"/>
              <w:rPr>
                <w:rFonts w:eastAsia="Times New Roman" w:cs="Calibri"/>
                <w:noProof/>
              </w:rPr>
            </w:pPr>
            <w:r>
              <w:rPr>
                <w:noProof/>
              </w:rPr>
              <w:t>Numărul de situri culturale pentru care se semnează contracte pentru reabilitarea și conservarea muzeelor, monumentelor, palatelor de stat și teatrelor naționale.</w:t>
            </w:r>
          </w:p>
        </w:tc>
      </w:tr>
      <w:tr w:rsidR="00A15990" w14:paraId="21A4EBFD" w14:textId="77777777">
        <w:trPr>
          <w:trHeight w:val="1691"/>
        </w:trPr>
        <w:tc>
          <w:tcPr>
            <w:tcW w:w="1067" w:type="dxa"/>
            <w:shd w:val="clear" w:color="auto" w:fill="C5EFCE"/>
            <w:vAlign w:val="center"/>
            <w:hideMark/>
          </w:tcPr>
          <w:p w14:paraId="53135006" w14:textId="77777777" w:rsidR="00A15990" w:rsidRDefault="00686A62">
            <w:pPr>
              <w:pStyle w:val="P68B1DB1-Normal7"/>
              <w:spacing w:after="0" w:line="240" w:lineRule="auto"/>
              <w:jc w:val="center"/>
              <w:rPr>
                <w:rFonts w:eastAsia="Times New Roman" w:cs="Calibri"/>
                <w:noProof/>
              </w:rPr>
            </w:pPr>
            <w:r>
              <w:rPr>
                <w:noProof/>
              </w:rPr>
              <w:t>4.8</w:t>
            </w:r>
          </w:p>
        </w:tc>
        <w:tc>
          <w:tcPr>
            <w:tcW w:w="1191" w:type="dxa"/>
            <w:shd w:val="clear" w:color="auto" w:fill="C4EFCE"/>
            <w:vAlign w:val="center"/>
            <w:hideMark/>
          </w:tcPr>
          <w:p w14:paraId="26F1C65B" w14:textId="77777777" w:rsidR="00A15990" w:rsidRDefault="00686A62">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hideMark/>
          </w:tcPr>
          <w:p w14:paraId="2453522C" w14:textId="77777777" w:rsidR="00A15990" w:rsidRDefault="00686A62">
            <w:pPr>
              <w:pStyle w:val="P68B1DB1-Normal8"/>
              <w:spacing w:after="0" w:line="240" w:lineRule="auto"/>
              <w:jc w:val="center"/>
              <w:rPr>
                <w:rFonts w:eastAsia="Times New Roman" w:cs="Calibri"/>
                <w:noProof/>
              </w:rPr>
            </w:pPr>
            <w:r>
              <w:rPr>
                <w:noProof/>
              </w:rPr>
              <w:t>T </w:t>
            </w:r>
          </w:p>
        </w:tc>
        <w:tc>
          <w:tcPr>
            <w:tcW w:w="1588" w:type="dxa"/>
            <w:shd w:val="clear" w:color="auto" w:fill="C4EFCE"/>
            <w:vAlign w:val="center"/>
            <w:hideMark/>
          </w:tcPr>
          <w:p w14:paraId="2B8435E8" w14:textId="2A41D561" w:rsidR="00A15990" w:rsidRDefault="00686A62">
            <w:pPr>
              <w:pStyle w:val="P68B1DB1-Normal8"/>
              <w:spacing w:after="0" w:line="240" w:lineRule="auto"/>
              <w:jc w:val="center"/>
              <w:rPr>
                <w:rFonts w:eastAsia="Times New Roman" w:cs="Calibri"/>
                <w:noProof/>
              </w:rPr>
            </w:pPr>
            <w:r>
              <w:rPr>
                <w:noProof/>
              </w:rPr>
              <w:t xml:space="preserve">Lucrări finalizate pentru reabilitarea și conservarea clădirilor din patrimoniul cultural și a teatrelor naționale </w:t>
            </w:r>
          </w:p>
        </w:tc>
        <w:tc>
          <w:tcPr>
            <w:tcW w:w="1193" w:type="dxa"/>
            <w:shd w:val="clear" w:color="auto" w:fill="C4EFCE"/>
            <w:vAlign w:val="center"/>
            <w:hideMark/>
          </w:tcPr>
          <w:p w14:paraId="0A14C98B" w14:textId="77777777" w:rsidR="00A15990" w:rsidRDefault="00686A62">
            <w:pPr>
              <w:pStyle w:val="P68B1DB1-Normal8"/>
              <w:spacing w:after="0" w:line="240" w:lineRule="auto"/>
              <w:rPr>
                <w:rFonts w:eastAsia="Times New Roman" w:cs="Calibri"/>
                <w:noProof/>
              </w:rPr>
            </w:pPr>
            <w:r>
              <w:rPr>
                <w:noProof/>
              </w:rPr>
              <w:t>Finalizarea lucrărilor</w:t>
            </w:r>
          </w:p>
        </w:tc>
        <w:tc>
          <w:tcPr>
            <w:tcW w:w="930" w:type="dxa"/>
            <w:shd w:val="clear" w:color="auto" w:fill="C4EFCE"/>
            <w:vAlign w:val="center"/>
            <w:hideMark/>
          </w:tcPr>
          <w:p w14:paraId="5A849F2E" w14:textId="77777777" w:rsidR="00A15990" w:rsidRDefault="00686A62">
            <w:pPr>
              <w:pStyle w:val="P68B1DB1-Normal8"/>
              <w:spacing w:after="0" w:line="240" w:lineRule="auto"/>
              <w:jc w:val="center"/>
              <w:rPr>
                <w:rFonts w:eastAsia="Times New Roman" w:cs="Calibri"/>
                <w:noProof/>
              </w:rPr>
            </w:pPr>
            <w:r>
              <w:rPr>
                <w:noProof/>
              </w:rPr>
              <w:t>Numărul</w:t>
            </w:r>
          </w:p>
        </w:tc>
        <w:tc>
          <w:tcPr>
            <w:tcW w:w="1225" w:type="dxa"/>
            <w:shd w:val="clear" w:color="auto" w:fill="C4EFCE"/>
            <w:vAlign w:val="center"/>
            <w:hideMark/>
          </w:tcPr>
          <w:p w14:paraId="2CDB7EB4" w14:textId="77777777" w:rsidR="00A15990" w:rsidRDefault="00686A62">
            <w:pPr>
              <w:pStyle w:val="P68B1DB1-Normal8"/>
              <w:spacing w:after="0" w:line="240" w:lineRule="auto"/>
              <w:jc w:val="center"/>
              <w:rPr>
                <w:rFonts w:eastAsia="Times New Roman" w:cs="Calibri"/>
                <w:noProof/>
              </w:rPr>
            </w:pPr>
            <w:r>
              <w:rPr>
                <w:noProof/>
              </w:rPr>
              <w:t>0</w:t>
            </w:r>
          </w:p>
        </w:tc>
        <w:tc>
          <w:tcPr>
            <w:tcW w:w="671" w:type="dxa"/>
            <w:shd w:val="clear" w:color="auto" w:fill="C4EFCE"/>
            <w:vAlign w:val="center"/>
            <w:hideMark/>
          </w:tcPr>
          <w:p w14:paraId="7B9894CE" w14:textId="6B71FBD0" w:rsidR="00A15990" w:rsidRDefault="00686A62">
            <w:pPr>
              <w:pStyle w:val="P68B1DB1-Normal8"/>
              <w:spacing w:after="0" w:line="240" w:lineRule="auto"/>
              <w:jc w:val="center"/>
              <w:rPr>
                <w:rFonts w:eastAsia="Times New Roman" w:cs="Calibri"/>
                <w:noProof/>
              </w:rPr>
            </w:pPr>
            <w:r>
              <w:rPr>
                <w:noProof/>
              </w:rPr>
              <w:t>75</w:t>
            </w:r>
          </w:p>
        </w:tc>
        <w:tc>
          <w:tcPr>
            <w:tcW w:w="539" w:type="dxa"/>
            <w:shd w:val="clear" w:color="auto" w:fill="C4EFCE"/>
            <w:vAlign w:val="center"/>
            <w:hideMark/>
          </w:tcPr>
          <w:p w14:paraId="2791A5BD" w14:textId="0ED63B4C" w:rsidR="00A15990" w:rsidRDefault="00686A62">
            <w:pPr>
              <w:pStyle w:val="P68B1DB1-Normal8"/>
              <w:spacing w:after="0" w:line="240" w:lineRule="auto"/>
              <w:jc w:val="center"/>
              <w:rPr>
                <w:rFonts w:eastAsia="Times New Roman" w:cs="Calibri"/>
                <w:noProof/>
              </w:rPr>
            </w:pPr>
            <w:r>
              <w:rPr>
                <w:noProof/>
              </w:rPr>
              <w:t>TRIMESTRUL 1 </w:t>
            </w:r>
          </w:p>
        </w:tc>
        <w:tc>
          <w:tcPr>
            <w:tcW w:w="672" w:type="dxa"/>
            <w:shd w:val="clear" w:color="auto" w:fill="C4EFCE"/>
            <w:vAlign w:val="center"/>
            <w:hideMark/>
          </w:tcPr>
          <w:p w14:paraId="199003BA" w14:textId="4BAD9944" w:rsidR="00A15990" w:rsidRDefault="00686A62">
            <w:pPr>
              <w:pStyle w:val="P68B1DB1-Normal8"/>
              <w:spacing w:after="0" w:line="240" w:lineRule="auto"/>
              <w:jc w:val="center"/>
              <w:rPr>
                <w:rFonts w:eastAsia="Times New Roman" w:cs="Calibri"/>
                <w:noProof/>
              </w:rPr>
            </w:pPr>
            <w:r>
              <w:rPr>
                <w:noProof/>
              </w:rPr>
              <w:t>2026</w:t>
            </w:r>
          </w:p>
        </w:tc>
        <w:tc>
          <w:tcPr>
            <w:tcW w:w="3756" w:type="dxa"/>
            <w:shd w:val="clear" w:color="auto" w:fill="C4EFCE"/>
            <w:vAlign w:val="center"/>
            <w:hideMark/>
          </w:tcPr>
          <w:p w14:paraId="44EBB5A9" w14:textId="5E647B96" w:rsidR="00A15990" w:rsidRDefault="00686A62">
            <w:pPr>
              <w:pStyle w:val="P68B1DB1-Normal8"/>
              <w:spacing w:after="0" w:line="240" w:lineRule="auto"/>
              <w:jc w:val="both"/>
              <w:rPr>
                <w:rFonts w:eastAsia="Times New Roman" w:cs="Calibri"/>
                <w:noProof/>
              </w:rPr>
            </w:pPr>
            <w:r>
              <w:rPr>
                <w:noProof/>
              </w:rPr>
              <w:t>Numărul de situri culturale pentru care se finalizează lucrări de reabilitare și conservare a muzeelor, monumentelor, palatelor de stat și teatrelor naționale.</w:t>
            </w:r>
          </w:p>
        </w:tc>
      </w:tr>
      <w:tr w:rsidR="00A15990" w14:paraId="6C8F3CC5" w14:textId="77777777">
        <w:trPr>
          <w:trHeight w:val="2486"/>
        </w:trPr>
        <w:tc>
          <w:tcPr>
            <w:tcW w:w="1067" w:type="dxa"/>
            <w:shd w:val="clear" w:color="auto" w:fill="C5EFCE"/>
            <w:vAlign w:val="center"/>
          </w:tcPr>
          <w:p w14:paraId="14F7780E" w14:textId="50B225CD" w:rsidR="00A15990" w:rsidRDefault="00686A62">
            <w:pPr>
              <w:pStyle w:val="P68B1DB1-Normal11"/>
              <w:spacing w:line="240" w:lineRule="auto"/>
              <w:jc w:val="center"/>
              <w:rPr>
                <w:rFonts w:eastAsiaTheme="minorEastAsia"/>
                <w:noProof/>
              </w:rPr>
            </w:pPr>
            <w:r>
              <w:rPr>
                <w:noProof/>
              </w:rPr>
              <w:t>4.11</w:t>
            </w:r>
          </w:p>
        </w:tc>
        <w:tc>
          <w:tcPr>
            <w:tcW w:w="1191" w:type="dxa"/>
            <w:shd w:val="clear" w:color="auto" w:fill="C4EFCE"/>
            <w:vAlign w:val="center"/>
          </w:tcPr>
          <w:p w14:paraId="031805CE" w14:textId="198EF4ED" w:rsidR="00A15990" w:rsidRDefault="00686A62">
            <w:pPr>
              <w:pStyle w:val="P68B1DB1-Normal8"/>
              <w:spacing w:after="0" w:line="240" w:lineRule="auto"/>
              <w:jc w:val="center"/>
              <w:rPr>
                <w:rFonts w:eastAsia="Times New Roman" w:cs="Calibri"/>
                <w:noProof/>
              </w:rPr>
            </w:pPr>
            <w:r>
              <w:rPr>
                <w:noProof/>
              </w:rPr>
              <w:t>RE-C04-i02 </w:t>
            </w:r>
          </w:p>
        </w:tc>
        <w:tc>
          <w:tcPr>
            <w:tcW w:w="1060" w:type="dxa"/>
            <w:shd w:val="clear" w:color="auto" w:fill="C4EFCE"/>
            <w:vAlign w:val="center"/>
          </w:tcPr>
          <w:p w14:paraId="0170B3FA" w14:textId="1839734A" w:rsidR="00A15990" w:rsidRDefault="00686A62">
            <w:pPr>
              <w:pStyle w:val="P68B1DB1-Normal12"/>
              <w:spacing w:line="240" w:lineRule="auto"/>
              <w:jc w:val="center"/>
              <w:rPr>
                <w:rFonts w:eastAsiaTheme="minorEastAsia"/>
                <w:noProof/>
              </w:rPr>
            </w:pPr>
            <w:r>
              <w:rPr>
                <w:noProof/>
              </w:rPr>
              <w:t>M</w:t>
            </w:r>
          </w:p>
        </w:tc>
        <w:tc>
          <w:tcPr>
            <w:tcW w:w="1588" w:type="dxa"/>
            <w:shd w:val="clear" w:color="auto" w:fill="C4EFCE"/>
            <w:vAlign w:val="center"/>
          </w:tcPr>
          <w:p w14:paraId="7A827ECC" w14:textId="31B94B99" w:rsidR="00A15990" w:rsidRDefault="00686A62">
            <w:pPr>
              <w:pStyle w:val="P68B1DB1-Normal8"/>
              <w:widowControl w:val="0"/>
              <w:spacing w:after="0" w:line="240" w:lineRule="auto"/>
              <w:jc w:val="center"/>
              <w:rPr>
                <w:rFonts w:eastAsia="Calibri" w:cs="Calibri"/>
                <w:noProof/>
              </w:rPr>
            </w:pPr>
            <w:r>
              <w:rPr>
                <w:noProof/>
              </w:rPr>
              <w:t>Instalarea de laboratoare și rute ale inițiativei privind centrele tehnologice „Saber Fazer” și crearea de activități pedagogice și informative privind tehnicile tradiționale.</w:t>
            </w:r>
          </w:p>
        </w:tc>
        <w:tc>
          <w:tcPr>
            <w:tcW w:w="1193" w:type="dxa"/>
            <w:shd w:val="clear" w:color="auto" w:fill="C4EFCE"/>
            <w:vAlign w:val="center"/>
          </w:tcPr>
          <w:p w14:paraId="02EC0D5B" w14:textId="2468D793" w:rsidR="00A15990" w:rsidRDefault="00686A62">
            <w:pPr>
              <w:pStyle w:val="P68B1DB1-Normal8"/>
              <w:spacing w:after="0" w:line="240" w:lineRule="auto"/>
              <w:jc w:val="center"/>
              <w:rPr>
                <w:rFonts w:eastAsia="Calibri" w:cs="Calibri"/>
                <w:noProof/>
              </w:rPr>
            </w:pPr>
            <w:r>
              <w:rPr>
                <w:noProof/>
              </w:rPr>
              <w:t>Instalarea laboratoarelor și a rutelor și crearea de activități informative</w:t>
            </w:r>
          </w:p>
        </w:tc>
        <w:tc>
          <w:tcPr>
            <w:tcW w:w="930" w:type="dxa"/>
            <w:shd w:val="clear" w:color="auto" w:fill="C4EFCE"/>
            <w:vAlign w:val="center"/>
          </w:tcPr>
          <w:p w14:paraId="00D6DCB5" w14:textId="6E4FFB7F" w:rsidR="00A15990" w:rsidRDefault="00A15990">
            <w:pPr>
              <w:spacing w:line="240" w:lineRule="auto"/>
              <w:jc w:val="center"/>
              <w:rPr>
                <w:rFonts w:eastAsiaTheme="minorEastAsia"/>
                <w:noProof/>
                <w:sz w:val="16"/>
              </w:rPr>
            </w:pPr>
          </w:p>
        </w:tc>
        <w:tc>
          <w:tcPr>
            <w:tcW w:w="1225" w:type="dxa"/>
            <w:shd w:val="clear" w:color="auto" w:fill="C4EFCE"/>
            <w:vAlign w:val="center"/>
          </w:tcPr>
          <w:p w14:paraId="212F99FB" w14:textId="75AD13CC" w:rsidR="00A15990" w:rsidRDefault="00A15990">
            <w:pPr>
              <w:spacing w:line="240" w:lineRule="auto"/>
              <w:jc w:val="center"/>
              <w:rPr>
                <w:rFonts w:eastAsiaTheme="minorEastAsia"/>
                <w:noProof/>
                <w:sz w:val="16"/>
              </w:rPr>
            </w:pPr>
          </w:p>
        </w:tc>
        <w:tc>
          <w:tcPr>
            <w:tcW w:w="671" w:type="dxa"/>
            <w:shd w:val="clear" w:color="auto" w:fill="C4EFCE"/>
            <w:vAlign w:val="center"/>
          </w:tcPr>
          <w:p w14:paraId="55B67104" w14:textId="32C4CF8D" w:rsidR="00A15990" w:rsidRDefault="00A15990">
            <w:pPr>
              <w:spacing w:line="240" w:lineRule="auto"/>
              <w:jc w:val="center"/>
              <w:rPr>
                <w:rFonts w:eastAsiaTheme="minorEastAsia"/>
                <w:noProof/>
                <w:sz w:val="16"/>
              </w:rPr>
            </w:pPr>
          </w:p>
        </w:tc>
        <w:tc>
          <w:tcPr>
            <w:tcW w:w="539" w:type="dxa"/>
            <w:shd w:val="clear" w:color="auto" w:fill="C4EFCE"/>
            <w:vAlign w:val="center"/>
          </w:tcPr>
          <w:p w14:paraId="21CA84BA" w14:textId="4EA4C59D" w:rsidR="00A15990" w:rsidRDefault="00686A62">
            <w:pPr>
              <w:pStyle w:val="P68B1DB1-Normal12"/>
              <w:spacing w:line="240" w:lineRule="auto"/>
              <w:jc w:val="center"/>
              <w:rPr>
                <w:rFonts w:eastAsiaTheme="minorEastAsia"/>
                <w:noProof/>
              </w:rPr>
            </w:pPr>
            <w:r>
              <w:rPr>
                <w:noProof/>
              </w:rPr>
              <w:t>TRIMESTRUL 4</w:t>
            </w:r>
          </w:p>
        </w:tc>
        <w:tc>
          <w:tcPr>
            <w:tcW w:w="672" w:type="dxa"/>
            <w:shd w:val="clear" w:color="auto" w:fill="C4EFCE"/>
            <w:vAlign w:val="center"/>
          </w:tcPr>
          <w:p w14:paraId="48405223" w14:textId="3B99029C" w:rsidR="00A15990" w:rsidRDefault="00686A62">
            <w:pPr>
              <w:pStyle w:val="P68B1DB1-Normal12"/>
              <w:spacing w:line="240" w:lineRule="auto"/>
              <w:jc w:val="center"/>
              <w:rPr>
                <w:rFonts w:eastAsiaTheme="minorEastAsia"/>
                <w:noProof/>
              </w:rPr>
            </w:pPr>
            <w:r>
              <w:rPr>
                <w:noProof/>
              </w:rPr>
              <w:t>2025</w:t>
            </w:r>
          </w:p>
        </w:tc>
        <w:tc>
          <w:tcPr>
            <w:tcW w:w="3756" w:type="dxa"/>
            <w:shd w:val="clear" w:color="auto" w:fill="C4EFCE"/>
            <w:vAlign w:val="center"/>
          </w:tcPr>
          <w:p w14:paraId="68A57C86" w14:textId="204DEDB9" w:rsidR="00A15990" w:rsidRDefault="00686A62">
            <w:pPr>
              <w:pStyle w:val="P68B1DB1-Normal8"/>
              <w:spacing w:line="240" w:lineRule="auto"/>
              <w:rPr>
                <w:rFonts w:eastAsia="Calibri" w:cs="Calibri"/>
                <w:noProof/>
              </w:rPr>
            </w:pPr>
            <w:r>
              <w:rPr>
                <w:noProof/>
              </w:rPr>
              <w:t>Se instalează laboratoare și rute ale inițiativei „Saber Fazer” privind Centrul tehnologic.</w:t>
            </w:r>
          </w:p>
          <w:p w14:paraId="4A586D50" w14:textId="49FECD44" w:rsidR="00A15990" w:rsidRDefault="00686A62">
            <w:pPr>
              <w:pStyle w:val="P68B1DB1-Normal8"/>
              <w:spacing w:line="240" w:lineRule="auto"/>
              <w:rPr>
                <w:rFonts w:eastAsia="Calibri" w:cs="Calibri"/>
                <w:noProof/>
              </w:rPr>
            </w:pPr>
            <w:r>
              <w:rPr>
                <w:noProof/>
              </w:rPr>
              <w:t>Se creează activități pedagogice și informative privind tehnicile tradiționale.</w:t>
            </w:r>
          </w:p>
        </w:tc>
      </w:tr>
      <w:tr w:rsidR="00A15990" w14:paraId="2E9B74C5" w14:textId="77777777">
        <w:trPr>
          <w:trHeight w:val="1232"/>
        </w:trPr>
        <w:tc>
          <w:tcPr>
            <w:tcW w:w="1067" w:type="dxa"/>
            <w:shd w:val="clear" w:color="auto" w:fill="C5EFCE"/>
            <w:vAlign w:val="center"/>
          </w:tcPr>
          <w:p w14:paraId="7B23F4D9" w14:textId="656A027C" w:rsidR="00A15990" w:rsidRDefault="00686A62">
            <w:pPr>
              <w:pStyle w:val="P68B1DB1-Normal11"/>
              <w:spacing w:after="0" w:line="240" w:lineRule="auto"/>
              <w:jc w:val="center"/>
              <w:rPr>
                <w:rFonts w:eastAsiaTheme="minorEastAsia"/>
                <w:noProof/>
              </w:rPr>
            </w:pPr>
            <w:r>
              <w:rPr>
                <w:noProof/>
              </w:rPr>
              <w:t>4.12</w:t>
            </w:r>
          </w:p>
        </w:tc>
        <w:tc>
          <w:tcPr>
            <w:tcW w:w="1191" w:type="dxa"/>
            <w:shd w:val="clear" w:color="auto" w:fill="C4EFCE"/>
            <w:vAlign w:val="center"/>
          </w:tcPr>
          <w:p w14:paraId="2D75212B" w14:textId="699667CF" w:rsidR="00A15990" w:rsidRDefault="00686A62">
            <w:pPr>
              <w:pStyle w:val="P68B1DB1-Normal12"/>
              <w:spacing w:line="240" w:lineRule="auto"/>
              <w:jc w:val="center"/>
              <w:rPr>
                <w:rFonts w:eastAsiaTheme="minorEastAsia"/>
                <w:noProof/>
              </w:rPr>
            </w:pPr>
            <w:r>
              <w:rPr>
                <w:noProof/>
              </w:rPr>
              <w:t>RE-C04-i02</w:t>
            </w:r>
          </w:p>
        </w:tc>
        <w:tc>
          <w:tcPr>
            <w:tcW w:w="1060" w:type="dxa"/>
            <w:shd w:val="clear" w:color="auto" w:fill="C4EFCE"/>
            <w:vAlign w:val="center"/>
          </w:tcPr>
          <w:p w14:paraId="01863DAD" w14:textId="500BD97C" w:rsidR="00A15990" w:rsidRDefault="00686A62">
            <w:pPr>
              <w:pStyle w:val="P68B1DB1-Normal12"/>
              <w:spacing w:after="0" w:line="240" w:lineRule="auto"/>
              <w:jc w:val="center"/>
              <w:rPr>
                <w:rFonts w:eastAsiaTheme="minorEastAsia"/>
                <w:noProof/>
              </w:rPr>
            </w:pPr>
            <w:r>
              <w:rPr>
                <w:noProof/>
              </w:rPr>
              <w:t>M</w:t>
            </w:r>
          </w:p>
        </w:tc>
        <w:tc>
          <w:tcPr>
            <w:tcW w:w="1588" w:type="dxa"/>
            <w:shd w:val="clear" w:color="auto" w:fill="C4EFCE"/>
            <w:vAlign w:val="center"/>
          </w:tcPr>
          <w:p w14:paraId="15F8BB2A" w14:textId="4AD42237" w:rsidR="00A15990" w:rsidRDefault="00686A62">
            <w:pPr>
              <w:pStyle w:val="P68B1DB1-Normal12"/>
              <w:widowControl w:val="0"/>
              <w:spacing w:after="0" w:line="240" w:lineRule="auto"/>
              <w:jc w:val="center"/>
              <w:rPr>
                <w:rFonts w:eastAsia="Calibri"/>
                <w:noProof/>
              </w:rPr>
            </w:pPr>
            <w:r>
              <w:rPr>
                <w:noProof/>
              </w:rPr>
              <w:t>Finalizarea construcției Arhivei Naționale de Sound</w:t>
            </w:r>
          </w:p>
        </w:tc>
        <w:tc>
          <w:tcPr>
            <w:tcW w:w="1193" w:type="dxa"/>
            <w:shd w:val="clear" w:color="auto" w:fill="C4EFCE"/>
            <w:vAlign w:val="center"/>
          </w:tcPr>
          <w:p w14:paraId="21192B9D" w14:textId="5381A138" w:rsidR="00A15990" w:rsidRDefault="00686A62">
            <w:pPr>
              <w:pStyle w:val="P68B1DB1-Normal12"/>
              <w:spacing w:after="0" w:line="240" w:lineRule="auto"/>
              <w:jc w:val="center"/>
              <w:rPr>
                <w:rFonts w:eastAsiaTheme="minorEastAsia"/>
                <w:noProof/>
              </w:rPr>
            </w:pPr>
            <w:r>
              <w:rPr>
                <w:noProof/>
              </w:rPr>
              <w:t>Finalizarea lucrărilor de construcție</w:t>
            </w:r>
          </w:p>
          <w:p w14:paraId="0230FF46" w14:textId="6B7D17FB" w:rsidR="00A15990" w:rsidRDefault="00A15990">
            <w:pPr>
              <w:spacing w:after="0" w:line="240" w:lineRule="auto"/>
              <w:jc w:val="center"/>
              <w:rPr>
                <w:rFonts w:eastAsiaTheme="minorEastAsia"/>
                <w:noProof/>
                <w:sz w:val="16"/>
              </w:rPr>
            </w:pPr>
          </w:p>
        </w:tc>
        <w:tc>
          <w:tcPr>
            <w:tcW w:w="930" w:type="dxa"/>
            <w:shd w:val="clear" w:color="auto" w:fill="C4EFCE"/>
            <w:vAlign w:val="center"/>
          </w:tcPr>
          <w:p w14:paraId="2CBDC436" w14:textId="77777777" w:rsidR="00A15990" w:rsidRDefault="00A15990">
            <w:pPr>
              <w:spacing w:after="0" w:line="240" w:lineRule="auto"/>
              <w:jc w:val="center"/>
              <w:rPr>
                <w:rFonts w:eastAsiaTheme="minorEastAsia"/>
                <w:noProof/>
                <w:sz w:val="16"/>
              </w:rPr>
            </w:pPr>
          </w:p>
        </w:tc>
        <w:tc>
          <w:tcPr>
            <w:tcW w:w="1225" w:type="dxa"/>
            <w:shd w:val="clear" w:color="auto" w:fill="C4EFCE"/>
            <w:vAlign w:val="center"/>
          </w:tcPr>
          <w:p w14:paraId="071D080E" w14:textId="77777777" w:rsidR="00A15990" w:rsidRDefault="00A15990">
            <w:pPr>
              <w:spacing w:after="0" w:line="240" w:lineRule="auto"/>
              <w:jc w:val="center"/>
              <w:rPr>
                <w:rFonts w:eastAsiaTheme="minorEastAsia"/>
                <w:noProof/>
                <w:sz w:val="16"/>
              </w:rPr>
            </w:pPr>
          </w:p>
        </w:tc>
        <w:tc>
          <w:tcPr>
            <w:tcW w:w="671" w:type="dxa"/>
            <w:shd w:val="clear" w:color="auto" w:fill="C4EFCE"/>
            <w:vAlign w:val="center"/>
          </w:tcPr>
          <w:p w14:paraId="7FCAA4F0" w14:textId="77777777" w:rsidR="00A15990" w:rsidRDefault="00A15990">
            <w:pPr>
              <w:spacing w:after="0" w:line="240" w:lineRule="auto"/>
              <w:jc w:val="center"/>
              <w:rPr>
                <w:rFonts w:eastAsiaTheme="minorEastAsia"/>
                <w:noProof/>
                <w:sz w:val="16"/>
              </w:rPr>
            </w:pPr>
          </w:p>
        </w:tc>
        <w:tc>
          <w:tcPr>
            <w:tcW w:w="539" w:type="dxa"/>
            <w:shd w:val="clear" w:color="auto" w:fill="C4EFCE"/>
            <w:vAlign w:val="center"/>
          </w:tcPr>
          <w:p w14:paraId="1C2674F4" w14:textId="7A52A272" w:rsidR="00A15990" w:rsidRDefault="00686A62">
            <w:pPr>
              <w:pStyle w:val="P68B1DB1-Normal12"/>
              <w:spacing w:after="0" w:line="240" w:lineRule="auto"/>
              <w:jc w:val="center"/>
              <w:rPr>
                <w:rFonts w:eastAsiaTheme="minorEastAsia"/>
                <w:noProof/>
              </w:rPr>
            </w:pPr>
            <w:r>
              <w:rPr>
                <w:noProof/>
              </w:rPr>
              <w:t>TRIMESTRUL 1</w:t>
            </w:r>
          </w:p>
        </w:tc>
        <w:tc>
          <w:tcPr>
            <w:tcW w:w="672" w:type="dxa"/>
            <w:shd w:val="clear" w:color="auto" w:fill="C4EFCE"/>
            <w:vAlign w:val="center"/>
          </w:tcPr>
          <w:p w14:paraId="0A6163C6" w14:textId="6FB0E70F" w:rsidR="00A15990" w:rsidRDefault="00686A62">
            <w:pPr>
              <w:pStyle w:val="P68B1DB1-Normal12"/>
              <w:spacing w:after="0" w:line="240" w:lineRule="auto"/>
              <w:jc w:val="center"/>
              <w:rPr>
                <w:rFonts w:eastAsiaTheme="minorEastAsia"/>
                <w:noProof/>
              </w:rPr>
            </w:pPr>
            <w:r>
              <w:rPr>
                <w:noProof/>
              </w:rPr>
              <w:t>2026</w:t>
            </w:r>
          </w:p>
        </w:tc>
        <w:tc>
          <w:tcPr>
            <w:tcW w:w="3756" w:type="dxa"/>
            <w:shd w:val="clear" w:color="auto" w:fill="C4EFCE"/>
            <w:vAlign w:val="center"/>
          </w:tcPr>
          <w:p w14:paraId="553D6012" w14:textId="684A611B" w:rsidR="00A15990" w:rsidRDefault="00686A62">
            <w:pPr>
              <w:pStyle w:val="P68B1DB1-Normal12"/>
              <w:spacing w:line="240" w:lineRule="auto"/>
              <w:rPr>
                <w:rFonts w:ascii="Calibri" w:eastAsia="Times New Roman" w:hAnsi="Calibri" w:cs="Calibri"/>
                <w:noProof/>
              </w:rPr>
            </w:pPr>
            <w:r>
              <w:rPr>
                <w:noProof/>
              </w:rPr>
              <w:t xml:space="preserve">Finalizarea construcției clădirii Arhivei Naționale Sound. Clădirea trebuie să aibă o suprafață utilizabilă de cel puțin 1 100 m² și să fie echipată, printre altele, pentru a păstra documente sonore. </w:t>
            </w:r>
            <w:r>
              <w:rPr>
                <w:rFonts w:ascii="Calibri" w:hAnsi="Calibri"/>
                <w:noProof/>
              </w:rPr>
              <w:t>Clădirea n ew are o cerere de energie primară cu cel puțin 20 % sub cerințele pentru clădirile al căror consum de energie este aproape egal cu zero.</w:t>
            </w:r>
          </w:p>
        </w:tc>
      </w:tr>
    </w:tbl>
    <w:p w14:paraId="7A7D7EC6" w14:textId="25A02098" w:rsidR="00A15990" w:rsidRDefault="00A15990">
      <w:pPr>
        <w:rPr>
          <w:noProof/>
        </w:rPr>
      </w:pPr>
    </w:p>
    <w:p w14:paraId="796D791C" w14:textId="77777777" w:rsidR="00A15990" w:rsidRDefault="00A15990">
      <w:pPr>
        <w:rPr>
          <w:rFonts w:ascii="Times New Roman" w:eastAsiaTheme="minorEastAsia" w:hAnsi="Times New Roman" w:cs="Times New Roman"/>
          <w:noProof/>
          <w:sz w:val="24"/>
        </w:rPr>
      </w:pPr>
    </w:p>
    <w:p w14:paraId="77CC12FE" w14:textId="77777777" w:rsidR="00A15990" w:rsidRDefault="00A15990">
      <w:pPr>
        <w:rPr>
          <w:rFonts w:ascii="Times New Roman" w:eastAsiaTheme="minorEastAsia" w:hAnsi="Times New Roman" w:cs="Times New Roman"/>
          <w:noProof/>
          <w:sz w:val="24"/>
        </w:rPr>
      </w:pPr>
    </w:p>
    <w:p w14:paraId="62B18445" w14:textId="77777777" w:rsidR="00A15990" w:rsidRDefault="00A15990">
      <w:pPr>
        <w:rPr>
          <w:rFonts w:ascii="Times New Roman" w:eastAsiaTheme="minorEastAsia" w:hAnsi="Times New Roman" w:cs="Times New Roman"/>
          <w:b/>
          <w:noProof/>
          <w:sz w:val="24"/>
          <w:u w:val="single"/>
        </w:rPr>
        <w:sectPr w:rsidR="00A15990" w:rsidSect="00E00EDD">
          <w:headerReference w:type="even" r:id="rId90"/>
          <w:headerReference w:type="default" r:id="rId91"/>
          <w:footerReference w:type="even" r:id="rId92"/>
          <w:footerReference w:type="default" r:id="rId93"/>
          <w:headerReference w:type="first" r:id="rId94"/>
          <w:footerReference w:type="first" r:id="rId95"/>
          <w:pgSz w:w="16839" w:h="11907" w:orient="landscape"/>
          <w:pgMar w:top="1134" w:right="1134" w:bottom="1134" w:left="1134" w:header="567" w:footer="567" w:gutter="0"/>
          <w:cols w:space="720"/>
          <w:docGrid w:linePitch="360"/>
        </w:sectPr>
      </w:pPr>
    </w:p>
    <w:p w14:paraId="67852003" w14:textId="77777777" w:rsidR="00A15990" w:rsidRDefault="00686A62">
      <w:pPr>
        <w:pStyle w:val="P68B1DB1-Normal3"/>
        <w:rPr>
          <w:rFonts w:eastAsiaTheme="minorEastAsia" w:cs="Times New Roman"/>
          <w:noProof/>
        </w:rPr>
      </w:pPr>
      <w:r>
        <w:rPr>
          <w:noProof/>
        </w:rPr>
        <w:t>E. COMPONENTA 5: Investiții și inovare</w:t>
      </w:r>
    </w:p>
    <w:p w14:paraId="1531FA16" w14:textId="77777777" w:rsidR="00A15990" w:rsidRDefault="00686A62">
      <w:pPr>
        <w:pStyle w:val="P68B1DB1-Normal4"/>
        <w:jc w:val="both"/>
        <w:rPr>
          <w:rFonts w:eastAsiaTheme="minorEastAsia" w:cs="Times New Roman"/>
          <w:noProof/>
        </w:rPr>
      </w:pPr>
      <w:r>
        <w:rPr>
          <w:noProof/>
        </w:rPr>
        <w:t>Această componentă a planului portughez de redresare și reziliență abordează provocările legate de nivelul relativ modest de cercetare și inovare, în special prin promovarea legăturilor dintre mediul de afaceri și știință și cu un accent deosebit pe inovarea privind tranziția verde, precum și provocările legate de subcapitalizarea cronică a sectorului de afaceri portughez, care s-a deteriorat și mai mult ca urmare a pandemiei de COVID-19.</w:t>
      </w:r>
    </w:p>
    <w:p w14:paraId="44389BA8" w14:textId="77777777" w:rsidR="00A15990" w:rsidRDefault="00686A62">
      <w:pPr>
        <w:pStyle w:val="P68B1DB1-Normal4"/>
        <w:jc w:val="both"/>
        <w:rPr>
          <w:rFonts w:eastAsiaTheme="minorEastAsia" w:cs="Times New Roman"/>
          <w:noProof/>
        </w:rPr>
      </w:pPr>
      <w:r>
        <w:rPr>
          <w:noProof/>
        </w:rPr>
        <w:t xml:space="preserve">Obiectivul componentei este de a spori competitivitatea și reziliența economiei portugheze prin măsuri menite să consolideze cercetarea, prin încurajarea transferului rezultatelor sale către sectorul de afaceri, promovând astfel inovarea și investițiile. Componenta de cercetare și inovare a componentei are scopul de a îmbunătăți cooperarea dintre mediul academic și cel de afaceri, de a consolida potențialul științific și tehnologic al Portugaliei și de a sprijini punerea în aplicare a unor agende de cercetare și inovare ambițioase și cuprinzătoare, care să abordeze provocările socioeconomice și de mediu majore. Se preconizează că acest lucru va fi realizat prin investiții sporite și mai eficace în C &amp;Dși în inovare, prin sprijin specific pentru o mai bună transpunere a rezultatelor cercetării în investiții, diversificare și specializare a structurii de producție, prin exploatarea potențialului real de afirmare competitivă a sectoarelor industriale consacrate și a zonelor emergente și prin contribuția la dubla tranziție. În special, această componentă vizează creșterea exporturilor de bunuri și servicii cu valoare adăugată ridicată, creșterea investițiilor în C &amp;D(atât prin crearea de noi locuri de muncă cu înaltă calificare, cât și prin creșterea cheltuielilor întreprinderilor în domeniul C &amp;D) și contribuția la reducerea emisiilor de CO2. </w:t>
      </w:r>
    </w:p>
    <w:p w14:paraId="0D653E56" w14:textId="77777777" w:rsidR="00A15990" w:rsidRDefault="00686A62">
      <w:pPr>
        <w:pStyle w:val="P68B1DB1-Normal4"/>
        <w:jc w:val="both"/>
        <w:rPr>
          <w:rFonts w:eastAsiaTheme="minorEastAsia" w:cs="Times New Roman"/>
          <w:noProof/>
        </w:rPr>
      </w:pPr>
      <w:r>
        <w:rPr>
          <w:noProof/>
        </w:rPr>
        <w:t xml:space="preserve">În conformitate cu necesitatea de a sprijini solvabilitatea sistemului de producție și de a remedia disfuncționalitățile pieței în ceea ce privește accesul la finanțare, această componentă include o reformă și investiții care contribuie la îmbunătățirea pieței portugheze de finanțare a întreprinderilor, prin crearea și consolidarea capitalului Băncii Naționale de Promovare, </w:t>
      </w:r>
      <w:r>
        <w:rPr>
          <w:i/>
          <w:noProof/>
        </w:rPr>
        <w:t>Banco Português de Fomento</w:t>
      </w:r>
      <w:r>
        <w:rPr>
          <w:noProof/>
        </w:rPr>
        <w:t xml:space="preserve"> și dezvoltarea de noi instrumente financiare. Componenta introduce, de asemenea, reforme ale piețelor de capital pentru a consolida piețele de capital din Portugalia pe termen lung prin revizuirea cadrului juridic existent și adoptarea de noi legi, cu un accent deosebit pe societățile de investiții în valori mobiliare pentru dezvoltarea economiei (SIMFE), organismele de plasament colectiv și revizuirea codului valorilor mobiliare.</w:t>
      </w:r>
    </w:p>
    <w:p w14:paraId="0F7F4FD3" w14:textId="77777777" w:rsidR="00A15990" w:rsidRDefault="00686A62">
      <w:pPr>
        <w:pStyle w:val="P68B1DB1-Normal4"/>
        <w:jc w:val="both"/>
        <w:rPr>
          <w:rFonts w:eastAsiaTheme="minorEastAsia" w:cs="Times New Roman"/>
          <w:noProof/>
        </w:rPr>
      </w:pPr>
      <w:r>
        <w:rPr>
          <w:noProof/>
        </w:rPr>
        <w:t xml:space="preserve">Componenta sprijină abordarea recomandării specifice fiecărei țări privind investițiile în tranziția climatică (recomandarea specifică fiecărei țări din 3 2020), a recomandării specifice fiecărei țări privind concentrarea politicii economice legate de investițiile în inovare (recomandarea specifică fiecărei țări 3 2019) și a recomandării specifice fiecărei țări 3 2020 (investiții axate pe tranziția verde și pe cea digitală). Componenta contribuie la abordarea recomandării specifice fiecărei țări privind punerea în aplicare a măsurilor temporare menite să asigure accesul la lichidități al întreprinderilor, în special al întreprinderilor mici și mijlocii, și să promoveze investițiile private pentru a stimula redresarea economică (recomandarea specifică fiecărei țări 3 2020). </w:t>
      </w:r>
    </w:p>
    <w:p w14:paraId="664ADF2C" w14:textId="511AE2E5" w:rsidR="00A15990" w:rsidRDefault="00686A62">
      <w:pPr>
        <w:pStyle w:val="P68B1DB1-Normal4"/>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61608694"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4F17D5AC"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E.1. Descrierea reformelor și a investițiilor pentru sprijinul financiar nerambursabil</w:t>
      </w:r>
    </w:p>
    <w:p w14:paraId="606D15A1"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RE-r09: Promovarea C &amp;Dși a investițiilor inovatoare în întreprinderi</w:t>
      </w:r>
    </w:p>
    <w:p w14:paraId="53E39BC7" w14:textId="77777777" w:rsidR="00A15990" w:rsidRDefault="00686A62">
      <w:pPr>
        <w:pStyle w:val="P68B1DB1-Normal4"/>
        <w:keepNext/>
        <w:spacing w:before="40" w:after="0" w:line="259" w:lineRule="auto"/>
        <w:jc w:val="both"/>
        <w:rPr>
          <w:rFonts w:eastAsiaTheme="minorEastAsia" w:cs="Times New Roman"/>
          <w:noProof/>
        </w:rPr>
      </w:pPr>
      <w:r>
        <w:rPr>
          <w:noProof/>
        </w:rPr>
        <w:t>Obiectivul reformei este de a promova investițiile în C &amp;D, în special prin asigurarea unor condiții-cadru favorabile pentru creșterea eficienței și eficacității investițiilor publice și private în C &amp;D. Reforma face parte din actualizarea Strategiei pentru inovare tehnologică și întreprinderi 2018-2030. Această actualizare urmărește să faciliteze finanțarea și operaționalizarea parteneriatelor public-privat în sprijinul unor agende ambițioase de cercetare și inovare. Reforma urmărește să simplifice accesul la instrumentele de finanțare pentru activitățile de C &amp;Dși să contribuie la sporirea previzibilității și stabilității finanțării prin stabilirea unui cadru multianual de programare pentru investițiile publice în C &amp;D, cu sprijinul unui sistem independent de monitorizare a investițiilor în C &amp;D. Investițiile care urmează să fie puse în aplicare în legătură cu această reformă sunt RE-C05-i01.01 și RE-C05-i01.02.</w:t>
      </w:r>
    </w:p>
    <w:p w14:paraId="5DDBF669"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31 decembrie 2021.</w:t>
      </w:r>
    </w:p>
    <w:p w14:paraId="5A89012B"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RE-r11: Extinderea și consolidarea rețelei instituțiilor de interfață.</w:t>
      </w:r>
    </w:p>
    <w:p w14:paraId="54FEC575"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 Obiectivul reformei este de a îmbunătăți legăturile dintre mediul academic și cel de afaceri în vederea îmbunătățirii fluxurilor de cunoștințe și a transferului de tehnologie.</w:t>
      </w:r>
    </w:p>
    <w:p w14:paraId="4CE9F67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Reforma constă într-o revizuire și standardizare a cadrului legislativ și de reglementare al sistemului de interfață tehnologică, în special a centrelor tehnologice și a centrelor INTERFACE create în cadrul programului INTERFACE. Centrele tehnologice și centrele INTERFACE stabilesc legături între organizații de cercetare (inclusiv instituții de învățământ superior) și întreprinderi, pentru a sprijini transferul de cunoștințe și de tehnologie. Reforma stabilește procesul de instituire a acestor entități și modelul lor de guvernanță și de finanțare. </w:t>
      </w:r>
    </w:p>
    <w:p w14:paraId="46A20335"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Grupul de lucru privind facilitarea infrastructurilor tehnologice instituit de guvern este însărcinat cu pregătirea propunerii legislative. </w:t>
      </w:r>
    </w:p>
    <w:p w14:paraId="5061F460"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Investițiile care urmează să fie puse în aplicare în legătură cu această reformă sunt RE-C05-i01.01 și RE-C05-i01.02. </w:t>
      </w:r>
    </w:p>
    <w:p w14:paraId="58E8E4D5" w14:textId="77777777" w:rsidR="00A15990" w:rsidRDefault="00686A62">
      <w:pPr>
        <w:pStyle w:val="P68B1DB1-Normal4"/>
        <w:keepNext/>
        <w:spacing w:before="40" w:after="0" w:line="259" w:lineRule="auto"/>
        <w:jc w:val="both"/>
        <w:rPr>
          <w:rFonts w:eastAsiaTheme="minorEastAsia"/>
          <w:noProof/>
        </w:rPr>
      </w:pPr>
      <w:r>
        <w:rPr>
          <w:noProof/>
        </w:rPr>
        <w:t xml:space="preserve">Punerea în aplicare a reformei se finalizează până la 31 decembrie 2021. </w:t>
      </w:r>
    </w:p>
    <w:p w14:paraId="799FB709"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RE-r12: Agenda de cercetare și inovare pentru o agricultură, o alimentație și o industrie agroalimentară durabile.</w:t>
      </w:r>
    </w:p>
    <w:p w14:paraId="7F3DD78A"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reformei este de a consolida sectorul agricol din Portugalia și de a asigura securitatea alimentară și nutrițională, de a contribui la sănătate și bunăstare, de a îmbunătăți gestionarea zonelor rurale, de a continua conservarea biodiversității, de a combate efectele schimbărilor climatice, cu adaptările și contribuțiile necesare pentru a atenua efectele acestora și pentru a stimula alte activități economice, cum ar fi, printre altele, serviciile agricole și chiar serviciile de catering și turismul. </w:t>
      </w:r>
    </w:p>
    <w:p w14:paraId="0282D255" w14:textId="77777777" w:rsidR="00A15990" w:rsidRDefault="00686A62">
      <w:pPr>
        <w:pStyle w:val="P68B1DB1-Normal4"/>
        <w:keepNext/>
        <w:spacing w:before="40" w:after="0" w:line="259" w:lineRule="auto"/>
        <w:jc w:val="both"/>
        <w:rPr>
          <w:rFonts w:eastAsiaTheme="minorEastAsia" w:cs="Times New Roman"/>
          <w:noProof/>
        </w:rPr>
      </w:pPr>
      <w:r>
        <w:rPr>
          <w:noProof/>
        </w:rPr>
        <w:t>Reforma sprijină punerea în aplicare a Agendei de inovare pentru agricultură 20 | 30. Aceasta constă în furnizarea mijloacelor necesare pentru actualizarea și pregătirea infrastructurii existente, precum și în promovarea alianțelor funcționale de-a lungul lanțului agroalimentar, a întreprinderilor și a cercetării, pentru a promova dezvoltarea și integrarea C &amp;Icare vizează nevoile sectorului agricol în vederea tranziției verzi și a celei digitale.</w:t>
      </w:r>
    </w:p>
    <w:p w14:paraId="6FCBAA78" w14:textId="72B74A7B"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reformei urma să fie finalizată până la 31 decembrie 2020. </w:t>
      </w:r>
    </w:p>
    <w:p w14:paraId="7CB132E9" w14:textId="34FB19F1" w:rsidR="00A15990" w:rsidRDefault="00A15990">
      <w:pPr>
        <w:keepNext/>
        <w:spacing w:before="40" w:after="0" w:line="259" w:lineRule="auto"/>
        <w:jc w:val="both"/>
        <w:rPr>
          <w:rFonts w:ascii="Times New Roman" w:eastAsiaTheme="minorEastAsia" w:hAnsi="Times New Roman" w:cs="Times New Roman"/>
          <w:noProof/>
          <w:sz w:val="24"/>
        </w:rPr>
      </w:pPr>
    </w:p>
    <w:p w14:paraId="201F11C9" w14:textId="62FA20B0" w:rsidR="00A15990" w:rsidRDefault="00A15990">
      <w:pPr>
        <w:keepNext/>
        <w:spacing w:before="40" w:after="0" w:line="259" w:lineRule="auto"/>
        <w:jc w:val="both"/>
        <w:rPr>
          <w:rFonts w:ascii="Times New Roman" w:eastAsiaTheme="minorEastAsia" w:hAnsi="Times New Roman" w:cs="Times New Roman"/>
          <w:noProof/>
          <w:sz w:val="24"/>
        </w:rPr>
      </w:pPr>
    </w:p>
    <w:p w14:paraId="30C4E385" w14:textId="77777777" w:rsidR="00A15990" w:rsidRDefault="00A15990">
      <w:pPr>
        <w:keepNext/>
        <w:spacing w:before="40" w:after="0" w:line="259" w:lineRule="auto"/>
        <w:jc w:val="both"/>
        <w:rPr>
          <w:rFonts w:ascii="Times New Roman" w:eastAsiaTheme="minorEastAsia" w:hAnsi="Times New Roman"/>
          <w:noProof/>
          <w:sz w:val="24"/>
        </w:rPr>
      </w:pPr>
    </w:p>
    <w:p w14:paraId="7357A226"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RE-C05-i01.01: Mobilizarea agendelor/alianțelor pentru inovarea în afaceri.</w:t>
      </w:r>
    </w:p>
    <w:p w14:paraId="03F47396"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investiții este de a mobiliza și de a consolida capacitățile științifice și tehnologice ale Portugaliei prin implementarea unor agende ambițioase de cercetare și inovare bazate pe consorții între întreprinderi și mediul academic.</w:t>
      </w:r>
    </w:p>
    <w:p w14:paraId="5402E4A2" w14:textId="39C43DF0"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principal în granturi pentru punerea în aplicare a agendelor de mobilizare/alianțelor pentru inovarea în afaceri prin intermediul a două instrumente complementare: I) pacte de inovare care promovează cooperarea și conduc la dezvoltarea de proiecte de inovare și ii) mobilizarea proiectelor care vizează C &amp;Dși transformarea acesteia în bunuri și servicii noi prin investiții. Programele de mobilizare sunt selectate prin intermediul unor cereri deschise și competitive de planuri strategice care să fie propuse de consorții între întreprinderi și instituții academice, științifice și/sau tehnologice. Această investiție se bazează pe cadrul strategic care urmează să fie pus în aplicare în cadrul RE-r09 și consolidează rolul instituțiilor de interfață și consolidarea acestei rețele. </w:t>
      </w:r>
    </w:p>
    <w:p w14:paraId="0E09FBF6" w14:textId="77777777" w:rsidR="00A15990" w:rsidRDefault="00686A62">
      <w:pPr>
        <w:pStyle w:val="P68B1DB1-Normal4"/>
        <w:keepNext/>
        <w:spacing w:before="40" w:after="0" w:line="259" w:lineRule="auto"/>
        <w:jc w:val="both"/>
        <w:rPr>
          <w:rFonts w:eastAsiaTheme="minorEastAsia" w:cs="Times New Roman"/>
          <w:noProof/>
          <w:highlight w:val="green"/>
        </w:rPr>
      </w:pPr>
      <w:r>
        <w:rPr>
          <w:noProof/>
        </w:rPr>
        <w:t>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11"/>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12"/>
      </w:r>
      <w:r>
        <w:rPr>
          <w:noProof/>
        </w:rPr>
        <w:t>; activități legate de depozitele de deșeuri, incineratoarele</w:t>
      </w:r>
      <w:r>
        <w:rPr>
          <w:noProof/>
        </w:rPr>
        <w:footnoteReference w:id="13"/>
      </w:r>
      <w:r>
        <w:rPr>
          <w:noProof/>
        </w:rPr>
        <w:t xml:space="preserve"> și stațiile de tratare mecano-biologică</w:t>
      </w:r>
      <w:r>
        <w:rPr>
          <w:noProof/>
        </w:rPr>
        <w:footnoteReference w:id="14"/>
      </w:r>
      <w:r>
        <w:rPr>
          <w:noProof/>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5C52E9CB"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73E004CF"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RE-C05-i01.02: Agende verzi/Alianțe pentru inovarea în afaceri</w:t>
      </w:r>
    </w:p>
    <w:p w14:paraId="742560E6" w14:textId="52E527EF"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investiții este de a pune în aplicare aceleași instrumente ca în RE-C05-i01.01, dar specializate pe un set limitat de agende verzi prin intermediul unor consorții între întreprinderi și instituții academice, științifice și/sau tehnologice pentru a sprijini inovarea (cu accent pe tranziția verde, domeniul 022 din anexa la Regulamentul privind Mecanismul de redresare și reziliență). </w:t>
      </w:r>
    </w:p>
    <w:p w14:paraId="59034061" w14:textId="2902A5C2" w:rsidR="00A15990" w:rsidRDefault="00686A62">
      <w:pPr>
        <w:pStyle w:val="P68B1DB1-Normal4"/>
        <w:keepNext/>
        <w:spacing w:before="40" w:after="0" w:line="259" w:lineRule="auto"/>
        <w:jc w:val="both"/>
        <w:rPr>
          <w:rFonts w:eastAsiaTheme="minorEastAsia" w:cs="Times New Roman"/>
          <w:noProof/>
          <w:highlight w:val="green"/>
        </w:rPr>
      </w:pPr>
      <w:r>
        <w:rPr>
          <w:noProof/>
        </w:rPr>
        <w:t>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15"/>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16"/>
      </w:r>
      <w:r>
        <w:rPr>
          <w:noProof/>
        </w:rPr>
        <w:t>; activități legate de depozitele de deșeuri, incineratoarele</w:t>
      </w:r>
      <w:r>
        <w:rPr>
          <w:noProof/>
        </w:rPr>
        <w:footnoteReference w:id="17"/>
      </w:r>
      <w:r>
        <w:rPr>
          <w:noProof/>
        </w:rPr>
        <w:t xml:space="preserve"> și stațiile de tratare mecano-biologică</w:t>
      </w:r>
      <w:r>
        <w:rPr>
          <w:noProof/>
        </w:rPr>
        <w:footnoteReference w:id="18"/>
      </w:r>
      <w:r>
        <w:rPr>
          <w:noProof/>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484ECBF2" w14:textId="77777777" w:rsidR="00A15990" w:rsidRDefault="00686A62">
      <w:pPr>
        <w:pStyle w:val="P68B1DB1-Normal4"/>
        <w:keepNext/>
        <w:spacing w:before="40" w:after="0" w:line="259" w:lineRule="auto"/>
        <w:jc w:val="both"/>
        <w:rPr>
          <w:rFonts w:eastAsiaTheme="minorEastAsia"/>
          <w:noProof/>
        </w:rPr>
      </w:pPr>
      <w:r>
        <w:rPr>
          <w:noProof/>
        </w:rPr>
        <w:t xml:space="preserve">Punerea în aplicare a investiției se va finaliza până la 31 decembrie 2025. </w:t>
      </w:r>
    </w:p>
    <w:p w14:paraId="11F2ED51"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RE-C05-i02: Misiunea de interfață – reînnoirea rețelei de sprijin științific și tehnologic și orientări pentru structura de producție</w:t>
      </w:r>
    </w:p>
    <w:p w14:paraId="2F86ED35" w14:textId="34E07F85" w:rsidR="00A15990" w:rsidRDefault="00686A62">
      <w:pPr>
        <w:pStyle w:val="P68B1DB1-Normal4"/>
        <w:keepNext/>
        <w:spacing w:before="40" w:after="0" w:line="259" w:lineRule="auto"/>
        <w:jc w:val="both"/>
        <w:rPr>
          <w:rFonts w:eastAsiaTheme="minorEastAsia" w:cs="Times New Roman"/>
          <w:noProof/>
        </w:rPr>
      </w:pPr>
      <w:r>
        <w:rPr>
          <w:noProof/>
        </w:rPr>
        <w:t>Obiectivul investiției este de a consolida și de a capacita sistemul științific și tehnologic național și de a îmbunătăți legăturile dintre mediul academic de afaceri pentru a asigura un transfer de tehnologie eficient și transpunerea rezultatelor cercetării în inovare. Investiția constă în consolidarea noului model de finanțare a centrelor de sisteme de interfață tehnologică și a laboratoarelor de colaborare CoLAB private non-profit sau a firmelor care vizează crearea de locuri de muncă calificate, direct sau indirect, prin punerea în aplicare a programului de cercetare și inovare bazat pe structura 1/3 a finanțării de bază, 1/3 a finanțării competitive și 1/3 a finanțării de piață, prin asigurarea unei finanțări de bază în valoare de 186 milioane EUR pentru</w:t>
      </w:r>
      <w:r>
        <w:rPr>
          <w:i/>
          <w:noProof/>
        </w:rPr>
        <w:t xml:space="preserve"> misiunea Interface</w:t>
      </w:r>
      <w:r>
        <w:rPr>
          <w:noProof/>
        </w:rPr>
        <w:t xml:space="preserve">. Investiția constă în a ajunge la 500 de firme care beneficiază de acest sistem și de serviciile furnizate de entitățile INTERFACE. Se preconizează că acțiunea combinată a reformei RE-r11 și a investițiilor RE-C05-i02 va atinge obiectivele menționate mai sus. </w:t>
      </w:r>
    </w:p>
    <w:p w14:paraId="6646C73E" w14:textId="77777777" w:rsidR="00A15990" w:rsidRDefault="00686A62">
      <w:pPr>
        <w:pStyle w:val="P68B1DB1-Normal4"/>
        <w:keepNext/>
        <w:spacing w:before="40" w:after="0" w:line="259" w:lineRule="auto"/>
        <w:jc w:val="both"/>
        <w:rPr>
          <w:rFonts w:eastAsiaTheme="minorEastAsia" w:cs="Times New Roman"/>
          <w:noProof/>
          <w:highlight w:val="green"/>
        </w:rPr>
      </w:pPr>
      <w:r>
        <w:rPr>
          <w:noProof/>
        </w:rPr>
        <w:t>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19"/>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20"/>
      </w:r>
      <w:r>
        <w:rPr>
          <w:noProof/>
        </w:rPr>
        <w:t>; activități legate de depozitele de deșeuri, incineratoarele</w:t>
      </w:r>
      <w:r>
        <w:rPr>
          <w:noProof/>
        </w:rPr>
        <w:footnoteReference w:id="21"/>
      </w:r>
      <w:r>
        <w:rPr>
          <w:noProof/>
        </w:rPr>
        <w:t xml:space="preserve"> și stațiile de tratare mecano-biologică</w:t>
      </w:r>
      <w:r>
        <w:rPr>
          <w:noProof/>
        </w:rPr>
        <w:footnoteReference w:id="22"/>
      </w:r>
      <w:r>
        <w:rPr>
          <w:noProof/>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5B04203E"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4855D333"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RE-C05-i03: Agenda de cercetare și inovare pentru o agricultură, o alimentație și o agroindustrie durabile [Agenda de inovare pentru agricultură 20 30].</w:t>
      </w:r>
    </w:p>
    <w:p w14:paraId="1F941BDA"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investiții este de a stimula cercetarea și inovarea pentru a realiza o agricultură mai durabilă. </w:t>
      </w:r>
    </w:p>
    <w:p w14:paraId="0FFD493F" w14:textId="49252C87" w:rsidR="00A15990" w:rsidRDefault="00686A62">
      <w:pPr>
        <w:pStyle w:val="P68B1DB1-Normal4"/>
        <w:keepNext/>
        <w:spacing w:before="40" w:after="0" w:line="259" w:lineRule="auto"/>
        <w:jc w:val="both"/>
        <w:rPr>
          <w:rFonts w:eastAsiaTheme="minorEastAsia" w:cs="Times New Roman"/>
          <w:noProof/>
        </w:rPr>
      </w:pPr>
      <w:r>
        <w:rPr>
          <w:noProof/>
        </w:rPr>
        <w:t xml:space="preserve">Investițiile constau în subvenții acordate entităților publice și private pentru a sprijini Agenda de inovare pentru agricultură 20 | 30. Agenda este structurată în 15 inițiative emblematice care sprijină C &amp;Dși proiecte de inovare și 5 proiecte de structurare a inovării axate pe digitalizare. Aceste proiecte de cercetare și inovare răspund nevoilor identificate în Planul strategic portughez pentru politica agricolă comună. Diferitele inițiative includ acțiuni privind bioeconomia circulară și agricultura de precizie. La selectarea proiectelor se iau în considerare diferite sisteme și sectoare de producție. Se preconizează că vor fi sprijinite 100 de proiecte de cercetare și inovare. În plus, investițiile includ recuperarea și modernizarea instalațiilor și echipamentelor științifice a 24 de ferme și laboratoare experimentale (centre de inovare). </w:t>
      </w:r>
    </w:p>
    <w:p w14:paraId="02EFC191" w14:textId="727A1287" w:rsidR="00A15990" w:rsidRDefault="00686A62">
      <w:pPr>
        <w:pStyle w:val="P68B1DB1-Normal4"/>
        <w:keepNext/>
        <w:spacing w:before="40" w:after="0" w:line="259" w:lineRule="auto"/>
        <w:jc w:val="both"/>
        <w:rPr>
          <w:rFonts w:eastAsiaTheme="minorEastAsia" w:cs="Times New Roman"/>
          <w:noProof/>
          <w:highlight w:val="green"/>
        </w:rPr>
      </w:pPr>
      <w:r>
        <w:rPr>
          <w:noProof/>
        </w:rPr>
        <w:t>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23"/>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24"/>
      </w:r>
      <w:r>
        <w:rPr>
          <w:noProof/>
        </w:rPr>
        <w:t>; activități legate de depozitele de deșeuri, incineratoarele</w:t>
      </w:r>
      <w:r>
        <w:rPr>
          <w:noProof/>
        </w:rPr>
        <w:footnoteReference w:id="25"/>
      </w:r>
      <w:r>
        <w:rPr>
          <w:noProof/>
        </w:rPr>
        <w:t xml:space="preserve"> și stațiile de tratare mecano-biologică</w:t>
      </w:r>
      <w:r>
        <w:rPr>
          <w:noProof/>
        </w:rPr>
        <w:footnoteReference w:id="26"/>
      </w:r>
      <w:r>
        <w:rPr>
          <w:noProof/>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67497350"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07D9C278"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Investiția RE-C05-i04-RAA: Recapitalizarea sistemului întreprinderilor din Azore</w:t>
      </w:r>
    </w:p>
    <w:p w14:paraId="4806397B" w14:textId="77777777" w:rsidR="00A15990" w:rsidRDefault="00686A62">
      <w:pPr>
        <w:pStyle w:val="P68B1DB1-Normal4"/>
        <w:spacing w:before="40" w:after="0" w:line="259" w:lineRule="auto"/>
        <w:jc w:val="both"/>
        <w:rPr>
          <w:rFonts w:eastAsiaTheme="minorEastAsia" w:cs="Times New Roman"/>
          <w:noProof/>
        </w:rPr>
      </w:pPr>
      <w:r>
        <w:rPr>
          <w:noProof/>
        </w:rPr>
        <w:t>Obiectivul măsurii este de a aborda problema structurală a subcapitalizării întreprinderilor din Regiunea Autonomă Azore.</w:t>
      </w:r>
    </w:p>
    <w:p w14:paraId="31D7ECE4" w14:textId="0CCCA1E9" w:rsidR="00A15990" w:rsidRDefault="00686A62">
      <w:pPr>
        <w:pStyle w:val="P68B1DB1-Normal4"/>
        <w:spacing w:before="40" w:after="0" w:line="259" w:lineRule="auto"/>
        <w:jc w:val="both"/>
        <w:rPr>
          <w:rFonts w:eastAsiaTheme="minorEastAsia" w:cs="Times New Roman"/>
          <w:noProof/>
        </w:rPr>
      </w:pPr>
      <w:r>
        <w:rPr>
          <w:noProof/>
        </w:rPr>
        <w:t xml:space="preserve">Această investiție constă în crearea vehiculului investițional, care va investi ulterior 125 000 000 EUR în societăți viabile din Azore, în principal sub formă de capitaluri proprii. Investițiile completează investițiile naționale care vizează capitalizarea întreprinderilor cu un pachet regional și cu instrumente specifice care răspund particularităților structurii de afaceri a regiunii autonome. </w:t>
      </w:r>
    </w:p>
    <w:p w14:paraId="43A7AC10" w14:textId="77777777" w:rsidR="00A15990" w:rsidRDefault="00686A62">
      <w:pPr>
        <w:pStyle w:val="P68B1DB1-Normal4"/>
        <w:spacing w:before="40" w:after="0" w:line="259" w:lineRule="auto"/>
        <w:jc w:val="both"/>
        <w:rPr>
          <w:rFonts w:eastAsiaTheme="minorEastAsia" w:cs="Times New Roman"/>
          <w:noProof/>
        </w:rPr>
      </w:pPr>
      <w:r>
        <w:rPr>
          <w:noProof/>
        </w:rPr>
        <w:t xml:space="preserve">Toate proiectele se desfășoară în deplină conformitate cu Orientările tehnice privind principiul de „a nu aduce prejudicii semnificative” (2021/C58/01). În plus, Portugalia s-a angajat ca documentul privind politica de investiții referitor la instrumentul în valoare de 125 000 000 EUR, care va fi adoptat de </w:t>
      </w:r>
      <w:r>
        <w:rPr>
          <w:i/>
          <w:noProof/>
        </w:rPr>
        <w:t>Banco Português de Fomento în calitate de organism</w:t>
      </w:r>
      <w:r>
        <w:rPr>
          <w:noProof/>
        </w:rPr>
        <w:t xml:space="preserve"> de administrare a vehiculului investițional, să detalieze criteriile de selecție/eligibilitate pentru întreprinderile care beneficiază de sprijin, asigurând respectarea cerințelor climatice și de mediu ale Mecanismului de redresare și reziliență, inclusiv respectarea Orientărilor tehnice de tip DNSH (2021/C58/01) ale activelor/activităților sprijinite și/sau ale întreprinderilor și specificând obiectivele de investiții și randamentele vizate. Pentru conformitatea societăților care beneficiază de sprijin cu Orientările tehnice privind principiul de „a nu aduce prejudicii semnificative” (2021/C58/01), politica de investiții impune: </w:t>
      </w:r>
    </w:p>
    <w:p w14:paraId="1280B55C" w14:textId="77777777" w:rsidR="00A15990" w:rsidRDefault="00686A62">
      <w:pPr>
        <w:pStyle w:val="P68B1DB1-Normal4"/>
        <w:numPr>
          <w:ilvl w:val="0"/>
          <w:numId w:val="57"/>
        </w:numPr>
        <w:spacing w:before="40" w:after="160" w:line="259" w:lineRule="auto"/>
        <w:contextualSpacing/>
        <w:jc w:val="both"/>
        <w:rPr>
          <w:rFonts w:eastAsiaTheme="minorEastAsia" w:cs="Times New Roman"/>
          <w:noProof/>
        </w:rPr>
      </w:pPr>
      <w:r>
        <w:rPr>
          <w:noProof/>
        </w:rPr>
        <w:t xml:space="preserve">utilizarea evaluării durabilității; </w:t>
      </w:r>
    </w:p>
    <w:p w14:paraId="6EBA5233" w14:textId="77777777" w:rsidR="00A15990" w:rsidRDefault="00686A62">
      <w:pPr>
        <w:pStyle w:val="P68B1DB1-Normal4"/>
        <w:numPr>
          <w:ilvl w:val="0"/>
          <w:numId w:val="57"/>
        </w:numPr>
        <w:spacing w:before="40" w:after="160" w:line="259" w:lineRule="auto"/>
        <w:contextualSpacing/>
        <w:jc w:val="both"/>
        <w:rPr>
          <w:rFonts w:eastAsiaTheme="minorEastAsia" w:cs="Times New Roman"/>
          <w:noProof/>
        </w:rPr>
      </w:pPr>
      <w:r>
        <w:rPr>
          <w:noProof/>
        </w:rPr>
        <w:t>o listă de excludere care cuprinde următoarele elemente:</w:t>
      </w:r>
    </w:p>
    <w:p w14:paraId="7CF06F2D" w14:textId="77777777" w:rsidR="00A15990" w:rsidRDefault="00686A62">
      <w:pPr>
        <w:pStyle w:val="P68B1DB1-Normal4"/>
        <w:numPr>
          <w:ilvl w:val="1"/>
          <w:numId w:val="64"/>
        </w:numPr>
        <w:spacing w:before="40" w:after="160" w:line="259" w:lineRule="auto"/>
        <w:contextualSpacing/>
        <w:jc w:val="both"/>
        <w:rPr>
          <w:rFonts w:eastAsiaTheme="minorEastAsia" w:cs="Times New Roman"/>
          <w:noProof/>
        </w:rPr>
      </w:pPr>
      <w:r>
        <w:rPr>
          <w:noProof/>
        </w:rPr>
        <w:t>Activități legate de combustibilii fosili, inclusiv utilizarea în aval</w:t>
      </w:r>
      <w:r>
        <w:rPr>
          <w:noProof/>
        </w:rPr>
        <w:footnoteReference w:id="27"/>
      </w:r>
      <w:r>
        <w:rPr>
          <w:noProof/>
        </w:rPr>
        <w:t xml:space="preserve">; </w:t>
      </w:r>
    </w:p>
    <w:p w14:paraId="4A89E7FD" w14:textId="77777777" w:rsidR="00A15990" w:rsidRDefault="00686A62">
      <w:pPr>
        <w:pStyle w:val="P68B1DB1-Normal4"/>
        <w:numPr>
          <w:ilvl w:val="1"/>
          <w:numId w:val="64"/>
        </w:numPr>
        <w:spacing w:before="40" w:after="160" w:line="259" w:lineRule="auto"/>
        <w:contextualSpacing/>
        <w:jc w:val="both"/>
        <w:rPr>
          <w:rFonts w:eastAsiaTheme="minorEastAsia" w:cs="Times New Roman"/>
          <w:noProof/>
        </w:rPr>
      </w:pPr>
      <w:r>
        <w:rPr>
          <w:noProof/>
        </w:rPr>
        <w:t>Activitățile din cadrul schemei UE de comercializare a certificatelor de emisii (ETS) prin care se obțin emisii de gaze cu efect de seră preconizate care nu sunt mai mici decât valorile de referință relevante</w:t>
      </w:r>
      <w:r>
        <w:rPr>
          <w:noProof/>
        </w:rPr>
        <w:footnoteReference w:id="28"/>
      </w:r>
      <w:r>
        <w:rPr>
          <w:noProof/>
        </w:rPr>
        <w:t xml:space="preserve">; </w:t>
      </w:r>
    </w:p>
    <w:p w14:paraId="3363B8AD" w14:textId="77777777" w:rsidR="00A15990" w:rsidRDefault="00686A62">
      <w:pPr>
        <w:pStyle w:val="P68B1DB1-Normal4"/>
        <w:numPr>
          <w:ilvl w:val="1"/>
          <w:numId w:val="64"/>
        </w:numPr>
        <w:spacing w:before="40" w:after="160" w:line="259" w:lineRule="auto"/>
        <w:contextualSpacing/>
        <w:jc w:val="both"/>
        <w:rPr>
          <w:rFonts w:eastAsiaTheme="minorEastAsia" w:cs="Times New Roman"/>
          <w:noProof/>
        </w:rPr>
      </w:pPr>
      <w:r>
        <w:rPr>
          <w:noProof/>
        </w:rPr>
        <w:t>Activități legate de depozitele de deșeuri, incineratoare</w:t>
      </w:r>
      <w:r>
        <w:rPr>
          <w:noProof/>
        </w:rPr>
        <w:footnoteReference w:id="29"/>
      </w:r>
      <w:r>
        <w:rPr>
          <w:noProof/>
        </w:rPr>
        <w:t xml:space="preserve"> și stații de tratare mecano-biologică</w:t>
      </w:r>
      <w:r>
        <w:rPr>
          <w:noProof/>
        </w:rPr>
        <w:footnoteReference w:id="30"/>
      </w:r>
      <w:r>
        <w:rPr>
          <w:noProof/>
        </w:rPr>
        <w:t xml:space="preserve">; </w:t>
      </w:r>
    </w:p>
    <w:p w14:paraId="222E0859" w14:textId="77777777" w:rsidR="00A15990" w:rsidRDefault="00686A62">
      <w:pPr>
        <w:pStyle w:val="P68B1DB1-Normal4"/>
        <w:numPr>
          <w:ilvl w:val="1"/>
          <w:numId w:val="64"/>
        </w:numPr>
        <w:spacing w:before="40" w:after="160" w:line="259" w:lineRule="auto"/>
        <w:contextualSpacing/>
        <w:jc w:val="both"/>
        <w:rPr>
          <w:rFonts w:eastAsiaTheme="minorEastAsia" w:cs="Times New Roman"/>
          <w:noProof/>
        </w:rPr>
      </w:pPr>
      <w:r>
        <w:rPr>
          <w:noProof/>
        </w:rPr>
        <w:t>Activități în cazul cărora eliminarea pe termen lung a deșeurilor poate cauza daune pe termen lung mediului, cum ar fi deșeurile nucleare; și</w:t>
      </w:r>
    </w:p>
    <w:p w14:paraId="5B02FFE5" w14:textId="77777777" w:rsidR="00A15990" w:rsidRDefault="00686A62">
      <w:pPr>
        <w:pStyle w:val="P68B1DB1-Normal4"/>
        <w:numPr>
          <w:ilvl w:val="1"/>
          <w:numId w:val="64"/>
        </w:numPr>
        <w:spacing w:before="40" w:after="160" w:line="259" w:lineRule="auto"/>
        <w:contextualSpacing/>
        <w:jc w:val="both"/>
        <w:rPr>
          <w:rFonts w:eastAsiaTheme="minorEastAsia" w:cs="Times New Roman"/>
          <w:noProof/>
        </w:rPr>
      </w:pPr>
      <w:r>
        <w:rPr>
          <w:noProof/>
        </w:rPr>
        <w:t xml:space="preserve">C &amp;D&amp;Idedicată activelor și activităților de mai sus. </w:t>
      </w:r>
    </w:p>
    <w:p w14:paraId="1D1FCB8F" w14:textId="77777777" w:rsidR="00A15990" w:rsidRDefault="00686A62">
      <w:pPr>
        <w:pStyle w:val="P68B1DB1-Normal4"/>
        <w:numPr>
          <w:ilvl w:val="0"/>
          <w:numId w:val="57"/>
        </w:numPr>
        <w:spacing w:before="40" w:after="160" w:line="259" w:lineRule="auto"/>
        <w:contextualSpacing/>
        <w:jc w:val="both"/>
        <w:rPr>
          <w:rFonts w:eastAsiaTheme="minorEastAsia" w:cs="Times New Roman"/>
          <w:noProof/>
        </w:rPr>
      </w:pPr>
      <w:r>
        <w:rPr>
          <w:noProof/>
        </w:rPr>
        <w:t xml:space="preserve">verificări obligatorii ale conformității juridice prin intermediul </w:t>
      </w:r>
      <w:r>
        <w:rPr>
          <w:i/>
          <w:noProof/>
        </w:rPr>
        <w:t>Banco Português de Fomento</w:t>
      </w:r>
      <w:r>
        <w:rPr>
          <w:noProof/>
        </w:rPr>
        <w:t xml:space="preserve"> și/sau al intermediarilor financiari selectați de aceasta pentru tranzacțiile exceptate de la evaluarea durabilității și </w:t>
      </w:r>
    </w:p>
    <w:p w14:paraId="67D0FED8" w14:textId="77777777" w:rsidR="00A15990" w:rsidRDefault="00686A62">
      <w:pPr>
        <w:pStyle w:val="P68B1DB1-Normal4"/>
        <w:numPr>
          <w:ilvl w:val="0"/>
          <w:numId w:val="57"/>
        </w:numPr>
        <w:spacing w:before="40" w:after="160" w:line="259" w:lineRule="auto"/>
        <w:contextualSpacing/>
        <w:jc w:val="both"/>
        <w:rPr>
          <w:rFonts w:eastAsiaTheme="minorEastAsia" w:cs="Times New Roman"/>
          <w:noProof/>
        </w:rPr>
      </w:pPr>
      <w:r>
        <w:rPr>
          <w:noProof/>
        </w:rPr>
        <w:t>beneficiarii sprijinului sub formă de capitaluri proprii care obțin cel puțin 50 % din veniturile lor din activitățile enumerate în lista de excludere pentru a adopta și a publica planuri pentru tranziția verde.</w:t>
      </w:r>
    </w:p>
    <w:p w14:paraId="57CD92C3" w14:textId="77777777" w:rsidR="00A15990" w:rsidRDefault="00686A62">
      <w:pPr>
        <w:pStyle w:val="P68B1DB1-Normal4"/>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04842B12"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RE-C05-i05-RAA: Redresarea economică a agriculturii din Azore</w:t>
      </w:r>
    </w:p>
    <w:p w14:paraId="5D74F80D"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investițiilor este de a stimula agricultura în Azore, cu un accent puternic pe durabilitate, precum și pe promovarea producției locale. Agricultura din Azore are o mare importanță economică, socială și teritorială pentru coeziunea regională, având în vedere fragmentarea teritoriului regional caracterizat de insule cu caracteristici specifice. Aceste investiții vizează i) să contribuie la reziliența și la creșterea durabilă a potențialului productiv regional, ii) să atenueze impactul economic și social al crizei asupra sectorului agricol și agroalimentar din Azore și iii) să contribuie la dubla tranziție climatică și digitală în sectorul agricol și agroalimentar din Insulele Azore. </w:t>
      </w:r>
    </w:p>
    <w:p w14:paraId="6B5CF27F" w14:textId="216C1C52" w:rsidR="00A15990" w:rsidRDefault="00686A62">
      <w:pPr>
        <w:pStyle w:val="P68B1DB1-Normal4"/>
        <w:spacing w:before="40" w:after="0" w:line="259" w:lineRule="auto"/>
        <w:jc w:val="both"/>
        <w:rPr>
          <w:rFonts w:eastAsiaTheme="minorEastAsia" w:cs="Times New Roman"/>
          <w:noProof/>
        </w:rPr>
      </w:pPr>
      <w:r>
        <w:rPr>
          <w:noProof/>
        </w:rPr>
        <w:t xml:space="preserve">Investițiile constau în i) sprijinirea proiectelor de investiții în inovarea produselor și a proceselor de producție pentru întreprinderile agricole regionale, ii) investiții publice în inovare și în dubla tranziție (inclusiv un program de îmbunătățire a competențelor fermierilor pentru dubla tranziție și consum durabil, inclusiv certificări) și iii) investiții publice în restructurare, inclusiv investiții în inovarea proceselor de producție și în tranziția verde a rețelei regionale de sacrificare și certificarea calității laptelui. </w:t>
      </w:r>
    </w:p>
    <w:p w14:paraId="67CFE1ED" w14:textId="77777777"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decembrie 2025.</w:t>
      </w:r>
    </w:p>
    <w:p w14:paraId="0FE3436B" w14:textId="1CD87910" w:rsidR="00A15990" w:rsidRDefault="00686A62">
      <w:pPr>
        <w:pStyle w:val="P68B1DB1-Normal5"/>
        <w:keepNext/>
        <w:spacing w:before="240" w:after="0" w:line="259" w:lineRule="auto"/>
        <w:ind w:left="851"/>
        <w:jc w:val="both"/>
        <w:outlineLvl w:val="3"/>
        <w:rPr>
          <w:rFonts w:eastAsiaTheme="minorEastAsia" w:cs="Times New Roman"/>
          <w:noProof/>
        </w:rPr>
      </w:pPr>
      <w:bookmarkStart w:id="9" w:name="_Toc137472448"/>
      <w:bookmarkStart w:id="10" w:name="_Hlk144129521"/>
      <w:r>
        <w:rPr>
          <w:noProof/>
        </w:rPr>
        <w:t xml:space="preserve">Investiția RE-C05-i07-RAM: Instrumente de capitalizare pentru societățile </w:t>
      </w:r>
      <w:bookmarkEnd w:id="9"/>
      <w:r>
        <w:rPr>
          <w:noProof/>
        </w:rPr>
        <w:t xml:space="preserve">din Madeira </w:t>
      </w:r>
    </w:p>
    <w:p w14:paraId="1C9E1081" w14:textId="77777777" w:rsidR="00A15990" w:rsidRDefault="00686A62">
      <w:pPr>
        <w:pStyle w:val="P68B1DB1-Normal4"/>
        <w:spacing w:before="40" w:after="0" w:line="259" w:lineRule="auto"/>
        <w:jc w:val="both"/>
        <w:rPr>
          <w:rFonts w:cs="Times New Roman"/>
          <w:noProof/>
        </w:rPr>
      </w:pPr>
      <w:r>
        <w:rPr>
          <w:noProof/>
        </w:rPr>
        <w:t xml:space="preserve">Obiectivul acestei măsuri este de a sprijini investițiile în Regiunea Autonomă Madeira, cu scopul de a aborda problemele structurale de lichiditate ale întreprinderilor locale, precum și de a consolida competitivitatea economiei regionale. </w:t>
      </w:r>
    </w:p>
    <w:p w14:paraId="76EBD3EA" w14:textId="19DDA592" w:rsidR="00A15990" w:rsidRDefault="00686A62">
      <w:pPr>
        <w:pStyle w:val="P68B1DB1-Normal4"/>
        <w:spacing w:before="40" w:after="0" w:line="259" w:lineRule="auto"/>
        <w:jc w:val="both"/>
        <w:rPr>
          <w:rFonts w:cs="Times New Roman"/>
          <w:noProof/>
        </w:rPr>
      </w:pPr>
      <w:r>
        <w:rPr>
          <w:noProof/>
        </w:rPr>
        <w:t>Această investiție constă în consolidarea sprijinului financiar acordat printr-o linie de credit (</w:t>
      </w:r>
      <w:r>
        <w:rPr>
          <w:i/>
          <w:noProof/>
        </w:rPr>
        <w:t>Investe RAM 2020)</w:t>
      </w:r>
      <w:r>
        <w:rPr>
          <w:noProof/>
        </w:rPr>
        <w:t xml:space="preserve">. Instrumentul oferă întreprinderilor garanții de credit, garantând împrumuturi în valoare totală de 15 900 000 EUR. Instrumentul subvenționează, de asemenea, cheltuielile cu dobânzile aferente împrumuturilor [pentru 100 % din rata fără risc (Euribor), plus cel puțin 60 % dintr-o marjă de risc de până la 3,4 %]. Investiția va deveni operațională printr-un protocol între </w:t>
      </w:r>
      <w:r>
        <w:rPr>
          <w:i/>
          <w:noProof/>
        </w:rPr>
        <w:t>Banco Português de Fomento, Instituto de Desenvolvimento Empresarial</w:t>
      </w:r>
      <w:r>
        <w:rPr>
          <w:noProof/>
        </w:rPr>
        <w:t xml:space="preserve"> și intermediarii financiari selectați de aceștia.</w:t>
      </w:r>
    </w:p>
    <w:p w14:paraId="502DBAE8" w14:textId="3F70318A" w:rsidR="00A15990" w:rsidRDefault="00686A62">
      <w:pPr>
        <w:pStyle w:val="P68B1DB1-Normal4"/>
        <w:spacing w:before="40" w:after="0" w:line="259" w:lineRule="auto"/>
        <w:jc w:val="both"/>
        <w:rPr>
          <w:rFonts w:cs="Times New Roman"/>
          <w:noProof/>
        </w:rPr>
      </w:pPr>
      <w:r>
        <w:rPr>
          <w:noProof/>
        </w:rPr>
        <w:t xml:space="preserve">Pentru a se asigura că măsura respectă principiul de „a nu prejudicia în mod semnificativ” în temeiul Mecanismului de redresare și reziliență, astfel cum este prevăzut în Orientările tehnice de „a nu prejudicia în mod semnificativ” (2021/C58/01), acordul (acordurile) juridic (e) dintre </w:t>
      </w:r>
      <w:r>
        <w:rPr>
          <w:i/>
          <w:noProof/>
        </w:rPr>
        <w:t>Banco Português de Fomento</w:t>
      </w:r>
      <w:r>
        <w:rPr>
          <w:noProof/>
        </w:rPr>
        <w:t xml:space="preserve">, </w:t>
      </w:r>
      <w:r>
        <w:rPr>
          <w:i/>
          <w:noProof/>
        </w:rPr>
        <w:t>Instituto de Desenvolvimento Empresarial</w:t>
      </w:r>
      <w:r>
        <w:rPr>
          <w:noProof/>
        </w:rPr>
        <w:t xml:space="preserve"> și intermediarii financiari selectați de aceștia, precum și acordul (protocolul) de punere în aplicare ulterior al instrumentului financiar:</w:t>
      </w:r>
    </w:p>
    <w:p w14:paraId="05683CB6" w14:textId="2E756E4E" w:rsidR="00A15990" w:rsidRDefault="00686A62">
      <w:pPr>
        <w:pStyle w:val="ListParagraph"/>
        <w:keepNext w:val="0"/>
        <w:numPr>
          <w:ilvl w:val="0"/>
          <w:numId w:val="74"/>
        </w:numPr>
        <w:spacing w:before="120" w:after="120" w:line="22" w:lineRule="atLeast"/>
        <w:rPr>
          <w:noProof/>
        </w:rPr>
      </w:pPr>
      <w:r>
        <w:rPr>
          <w:noProof/>
        </w:rPr>
        <w:t>Excluderea de la eligibilitate a următoarei liste de activități și active: (I) activități și active legate de combustibilii fosili, inclusiv utilizarea în aval</w:t>
      </w:r>
      <w:r>
        <w:rPr>
          <w:rStyle w:val="FootnoteReference"/>
          <w:noProof/>
        </w:rPr>
        <w:footnoteReference w:id="31"/>
      </w:r>
      <w:r>
        <w:rPr>
          <w:noProof/>
        </w:rPr>
        <w:t>; (II) activitățile și activele din cadrul schemei UE de comercializare a certificatelor de emisii (ETS) care realizează emisii de gaze cu efect de seră preconizate care nu sunt mai mici decât valorile de referință relevante</w:t>
      </w:r>
      <w:r>
        <w:rPr>
          <w:rStyle w:val="FootnoteReference"/>
          <w:noProof/>
        </w:rPr>
        <w:footnoteReference w:id="32"/>
      </w:r>
      <w:r>
        <w:rPr>
          <w:noProof/>
        </w:rPr>
        <w:t>; (III) activități și active legate de depozitele de deșeuri, incineratoarele</w:t>
      </w:r>
      <w:r>
        <w:rPr>
          <w:rStyle w:val="FootnoteReference"/>
          <w:noProof/>
        </w:rPr>
        <w:footnoteReference w:id="33"/>
      </w:r>
      <w:r>
        <w:rPr>
          <w:noProof/>
        </w:rPr>
        <w:t xml:space="preserve"> și stațiile de tratare mecano-biologică</w:t>
      </w:r>
      <w:r>
        <w:rPr>
          <w:rStyle w:val="FootnoteReference"/>
          <w:noProof/>
        </w:rPr>
        <w:footnoteReference w:id="34"/>
      </w:r>
      <w:r>
        <w:rPr>
          <w:noProof/>
        </w:rPr>
        <w:t>; și</w:t>
      </w:r>
    </w:p>
    <w:p w14:paraId="0AEDD136" w14:textId="78BAD798" w:rsidR="00A15990" w:rsidRDefault="00686A62">
      <w:pPr>
        <w:pStyle w:val="ListParagraph"/>
        <w:keepNext w:val="0"/>
        <w:numPr>
          <w:ilvl w:val="0"/>
          <w:numId w:val="74"/>
        </w:numPr>
        <w:spacing w:before="120" w:after="120" w:line="22" w:lineRule="atLeast"/>
        <w:rPr>
          <w:noProof/>
        </w:rPr>
      </w:pPr>
      <w:r>
        <w:rPr>
          <w:noProof/>
        </w:rPr>
        <w:t>Să solicite respectarea legislației UE și naționale relevante a destinatarului în materie de mediu.</w:t>
      </w:r>
    </w:p>
    <w:p w14:paraId="0AB91DA2" w14:textId="6E00CAC3" w:rsidR="00A15990" w:rsidRDefault="00686A62">
      <w:pPr>
        <w:pStyle w:val="P68B1DB1-Normal4"/>
        <w:spacing w:line="22" w:lineRule="atLeast"/>
        <w:jc w:val="both"/>
        <w:rPr>
          <w:rFonts w:cs="Times New Roman"/>
          <w:noProof/>
        </w:rPr>
      </w:pPr>
      <w:r>
        <w:rPr>
          <w:noProof/>
        </w:rPr>
        <w:t>Punerea în aplicare a investiției se va finaliza până la 31 decembrie 2025.</w:t>
      </w:r>
    </w:p>
    <w:p w14:paraId="3868A1A9" w14:textId="37A914CF" w:rsidR="00A15990" w:rsidRDefault="00686A62">
      <w:pPr>
        <w:pStyle w:val="P68B1DB1-Heading214"/>
        <w:rPr>
          <w:noProof/>
        </w:rPr>
      </w:pPr>
      <w:bookmarkStart w:id="11" w:name="_Toc137472449"/>
      <w:bookmarkEnd w:id="10"/>
      <w:r>
        <w:rPr>
          <w:noProof/>
        </w:rPr>
        <w:t>Investiția RE-C05-i08: Mai multă știință digitală</w:t>
      </w:r>
      <w:bookmarkEnd w:id="11"/>
    </w:p>
    <w:p w14:paraId="210E9435" w14:textId="77777777" w:rsidR="00A15990" w:rsidRDefault="00686A62">
      <w:pPr>
        <w:pStyle w:val="P68B1DB1-Normal4"/>
        <w:rPr>
          <w:rFonts w:cs="Times New Roman"/>
          <w:noProof/>
        </w:rPr>
      </w:pPr>
      <w:r>
        <w:rPr>
          <w:noProof/>
        </w:rPr>
        <w:t>Obiectivul acestei măsuri este de a accelera procesul de transformare digitală și de digitalizare a științei și a serviciilor care sprijină sistemul național de știință și tehnologie.</w:t>
      </w:r>
    </w:p>
    <w:p w14:paraId="27ECE621" w14:textId="77777777" w:rsidR="00A15990" w:rsidRDefault="00686A62">
      <w:pPr>
        <w:pStyle w:val="P68B1DB1-Normal4"/>
        <w:rPr>
          <w:rFonts w:cs="Times New Roman"/>
          <w:noProof/>
        </w:rPr>
      </w:pPr>
      <w:r>
        <w:rPr>
          <w:noProof/>
        </w:rPr>
        <w:t>În acest scop, investiția:</w:t>
      </w:r>
    </w:p>
    <w:p w14:paraId="46455329" w14:textId="5256B8E3" w:rsidR="00A15990" w:rsidRDefault="00686A62">
      <w:pPr>
        <w:pStyle w:val="ListParagraph"/>
        <w:keepNext w:val="0"/>
        <w:numPr>
          <w:ilvl w:val="0"/>
          <w:numId w:val="75"/>
        </w:numPr>
        <w:spacing w:before="120" w:after="120" w:line="240" w:lineRule="auto"/>
        <w:rPr>
          <w:noProof/>
        </w:rPr>
      </w:pPr>
      <w:r>
        <w:rPr>
          <w:noProof/>
        </w:rPr>
        <w:t>Să finalizeze „Campusul Science XXI” și „Science Desk” (fizic și online), unde urmează să fie puse la dispoziție într-un singur loc servicii și mecanisme de finanțare pentru cercetători, entități de C &amp;Dși instituții de învățământ superior;</w:t>
      </w:r>
    </w:p>
    <w:p w14:paraId="6C941732" w14:textId="2B79750A" w:rsidR="00A15990" w:rsidRDefault="00686A62">
      <w:pPr>
        <w:pStyle w:val="ListParagraph"/>
        <w:keepNext w:val="0"/>
        <w:numPr>
          <w:ilvl w:val="0"/>
          <w:numId w:val="75"/>
        </w:numPr>
        <w:spacing w:before="120" w:after="120" w:line="240" w:lineRule="auto"/>
        <w:rPr>
          <w:noProof/>
        </w:rPr>
      </w:pPr>
      <w:r>
        <w:rPr>
          <w:noProof/>
        </w:rPr>
        <w:t>Să înființeze Centrul național de calcul avansat (CNCA), care să acopere contribuția națională portugheză la noul supercalculator „Deucalion” și să completeze centrul de date/infrastructura de sprijin pentru exploatarea celor două supercalculatoare „Deucalion” și „Mare Nostrum 5”;</w:t>
      </w:r>
    </w:p>
    <w:p w14:paraId="084AC810" w14:textId="77777777" w:rsidR="00A15990" w:rsidRDefault="00686A62">
      <w:pPr>
        <w:pStyle w:val="ListParagraph"/>
        <w:keepNext w:val="0"/>
        <w:numPr>
          <w:ilvl w:val="0"/>
          <w:numId w:val="75"/>
        </w:numPr>
        <w:spacing w:before="120" w:after="120" w:line="240" w:lineRule="auto"/>
        <w:rPr>
          <w:noProof/>
        </w:rPr>
      </w:pPr>
      <w:r>
        <w:rPr>
          <w:noProof/>
        </w:rPr>
        <w:t>Să sprijine lansarea unui program de proiect de C &amp;Dcu accent pe dezvoltarea și punerea în aplicare a unor sisteme avansate de securitate cibernetică, de inteligență artificială și de știință a datelor în administrația publică, precum și a unui program de capacitare științifică;</w:t>
      </w:r>
    </w:p>
    <w:p w14:paraId="37E9BAB2" w14:textId="659E6A48" w:rsidR="00A15990" w:rsidRDefault="00686A62">
      <w:pPr>
        <w:pStyle w:val="ListParagraph"/>
        <w:keepNext w:val="0"/>
        <w:numPr>
          <w:ilvl w:val="0"/>
          <w:numId w:val="75"/>
        </w:numPr>
        <w:spacing w:before="120" w:after="120" w:line="240" w:lineRule="auto"/>
        <w:rPr>
          <w:noProof/>
        </w:rPr>
      </w:pPr>
      <w:r>
        <w:rPr>
          <w:noProof/>
        </w:rPr>
        <w:t>Creșterea numărului de cursuri oferite prin intermediul Platformei naționale pentru cursuri online în masă (NAU);</w:t>
      </w:r>
    </w:p>
    <w:p w14:paraId="1CAC10F0" w14:textId="77777777" w:rsidR="00A15990" w:rsidRDefault="00686A62">
      <w:pPr>
        <w:pStyle w:val="ListParagraph"/>
        <w:keepNext w:val="0"/>
        <w:numPr>
          <w:ilvl w:val="0"/>
          <w:numId w:val="75"/>
        </w:numPr>
        <w:spacing w:before="120" w:after="120" w:line="240" w:lineRule="auto"/>
        <w:rPr>
          <w:noProof/>
        </w:rPr>
      </w:pPr>
      <w:r>
        <w:rPr>
          <w:noProof/>
        </w:rPr>
        <w:t>Punerea în aplicare a Programului național privind știința deschisă și datele de cercetare (PNCADAI).</w:t>
      </w:r>
    </w:p>
    <w:p w14:paraId="32824034" w14:textId="77777777" w:rsidR="00A15990" w:rsidRDefault="00686A62">
      <w:pPr>
        <w:pStyle w:val="P68B1DB1-Normal4"/>
        <w:rPr>
          <w:rFonts w:cs="Times New Roman"/>
          <w:noProof/>
        </w:rPr>
      </w:pPr>
      <w:r>
        <w:rPr>
          <w:noProof/>
        </w:rPr>
        <w:t>Punerea în aplicare a investiției se va finaliza până la 31 martie 2026.</w:t>
      </w:r>
    </w:p>
    <w:p w14:paraId="37E57FD8" w14:textId="6C90134D" w:rsidR="00A15990" w:rsidRDefault="00686A62">
      <w:pPr>
        <w:pStyle w:val="P68B1DB1-Heading214"/>
        <w:rPr>
          <w:noProof/>
        </w:rPr>
      </w:pPr>
      <w:bookmarkStart w:id="12" w:name="_Toc209238830"/>
      <w:bookmarkStart w:id="13" w:name="_Toc137472447"/>
      <w:r>
        <w:rPr>
          <w:noProof/>
        </w:rPr>
        <w:t>Investiția RE-C05-i09 – - Extindere: Mobilizarea agendelor/alianțelor pentru inovarea în afaceri</w:t>
      </w:r>
      <w:bookmarkEnd w:id="12"/>
      <w:bookmarkEnd w:id="13"/>
    </w:p>
    <w:p w14:paraId="2416536F" w14:textId="77777777" w:rsidR="00A15990" w:rsidRDefault="00686A62">
      <w:pPr>
        <w:pStyle w:val="P68B1DB1-Normal4"/>
        <w:jc w:val="both"/>
        <w:rPr>
          <w:rFonts w:cs="Times New Roman"/>
          <w:noProof/>
        </w:rPr>
      </w:pPr>
      <w:r>
        <w:rPr>
          <w:noProof/>
        </w:rPr>
        <w:t xml:space="preserve">Obiectivul acestei investiții este de a extinde investițiile RE-C05-i01.01, în cadrul componentei 5. Partea extinsă a măsurii va crește numărul de produse, procese sau servicii finalizate din programele de mobilizare/alianțele pentru inovarea în afaceri. </w:t>
      </w:r>
    </w:p>
    <w:p w14:paraId="71CB417C" w14:textId="39E86924" w:rsidR="00A15990" w:rsidRDefault="00686A62">
      <w:pPr>
        <w:pStyle w:val="P68B1DB1-Normal4"/>
        <w:jc w:val="both"/>
        <w:rPr>
          <w:rFonts w:eastAsiaTheme="minorEastAsia" w:cs="Times New Roman"/>
          <w:noProof/>
        </w:rPr>
      </w:pPr>
      <w:r>
        <w:rPr>
          <w:noProof/>
        </w:rPr>
        <w:t>Punerea în aplicare a investiției se va finaliza până la 31 decembrie 2025.</w:t>
      </w:r>
    </w:p>
    <w:p w14:paraId="0EE30DD3" w14:textId="6E416376" w:rsidR="00A15990" w:rsidRDefault="00686A62">
      <w:pPr>
        <w:pStyle w:val="P68B1DB1-Heading214"/>
        <w:rPr>
          <w:noProof/>
        </w:rPr>
      </w:pPr>
      <w:bookmarkStart w:id="14" w:name="_Toc137472485"/>
      <w:r>
        <w:rPr>
          <w:noProof/>
        </w:rPr>
        <w:t>Investiția RE-C05-i10 – - Extindere: Agende verzi/Alianțe pentru inovarea în afaceri</w:t>
      </w:r>
      <w:bookmarkEnd w:id="14"/>
    </w:p>
    <w:p w14:paraId="150A2213" w14:textId="5D8DC0D8" w:rsidR="00A15990" w:rsidRDefault="00686A62">
      <w:pPr>
        <w:pStyle w:val="P68B1DB1-Normal4"/>
        <w:jc w:val="both"/>
        <w:rPr>
          <w:rFonts w:cs="Times New Roman"/>
          <w:noProof/>
        </w:rPr>
      </w:pPr>
      <w:r>
        <w:rPr>
          <w:noProof/>
        </w:rPr>
        <w:t>Obiectivul acestei investiții este de a extinde investițiile RE-C05-i01.02 în cadrul componentei 5. Partea extinsă a măsurii mărește numărul de produse, procese sau servicii din agendele verzi suplimentare.</w:t>
      </w:r>
    </w:p>
    <w:p w14:paraId="40C9E33B" w14:textId="77777777" w:rsidR="00A15990" w:rsidRDefault="00686A62">
      <w:pPr>
        <w:pStyle w:val="P68B1DB1-Normal4"/>
        <w:jc w:val="both"/>
        <w:rPr>
          <w:rFonts w:eastAsiaTheme="minorEastAsia" w:cs="Times New Roman"/>
          <w:noProof/>
        </w:rPr>
      </w:pPr>
      <w:r>
        <w:rPr>
          <w:noProof/>
        </w:rPr>
        <w:t xml:space="preserve">Punerea în aplicare a investiției se va finaliza până la 31 decembrie 2025. </w:t>
      </w:r>
    </w:p>
    <w:p w14:paraId="2DD7051F" w14:textId="77777777" w:rsidR="00A15990" w:rsidRDefault="00A15990">
      <w:pPr>
        <w:rPr>
          <w:rFonts w:ascii="Times New Roman" w:hAnsi="Times New Roman" w:cs="Times New Roman"/>
          <w:noProof/>
          <w:sz w:val="24"/>
        </w:rPr>
      </w:pPr>
    </w:p>
    <w:p w14:paraId="528A2C1C" w14:textId="77777777" w:rsidR="00A15990" w:rsidRDefault="00A15990">
      <w:pPr>
        <w:spacing w:line="22" w:lineRule="atLeast"/>
        <w:jc w:val="both"/>
        <w:rPr>
          <w:rFonts w:ascii="Times New Roman" w:hAnsi="Times New Roman" w:cs="Times New Roman"/>
          <w:noProof/>
          <w:sz w:val="24"/>
        </w:rPr>
      </w:pPr>
    </w:p>
    <w:p w14:paraId="040D9F53" w14:textId="77777777" w:rsidR="00A15990" w:rsidRDefault="00A15990">
      <w:pPr>
        <w:spacing w:before="40" w:after="0" w:line="259" w:lineRule="auto"/>
        <w:jc w:val="both"/>
        <w:rPr>
          <w:rFonts w:ascii="Times New Roman" w:eastAsiaTheme="minorEastAsia" w:hAnsi="Times New Roman" w:cs="Times New Roman"/>
          <w:noProof/>
          <w:sz w:val="24"/>
        </w:rPr>
        <w:sectPr w:rsidR="00A15990" w:rsidSect="00E00EDD">
          <w:headerReference w:type="even" r:id="rId96"/>
          <w:headerReference w:type="default" r:id="rId97"/>
          <w:footerReference w:type="even" r:id="rId98"/>
          <w:footerReference w:type="default" r:id="rId99"/>
          <w:headerReference w:type="first" r:id="rId100"/>
          <w:footerReference w:type="first" r:id="rId101"/>
          <w:pgSz w:w="11907" w:h="16839"/>
          <w:pgMar w:top="1134" w:right="1134" w:bottom="1134" w:left="1134" w:header="567" w:footer="567" w:gutter="0"/>
          <w:cols w:space="720"/>
          <w:docGrid w:linePitch="360"/>
        </w:sectPr>
      </w:pPr>
    </w:p>
    <w:p w14:paraId="19A5F577" w14:textId="77777777" w:rsidR="00A15990" w:rsidRDefault="00A15990">
      <w:pPr>
        <w:spacing w:before="40" w:after="0" w:line="259" w:lineRule="auto"/>
        <w:jc w:val="both"/>
        <w:rPr>
          <w:rFonts w:ascii="Times New Roman" w:eastAsiaTheme="minorEastAsia" w:hAnsi="Times New Roman" w:cs="Times New Roman"/>
          <w:noProof/>
          <w:sz w:val="24"/>
        </w:rPr>
      </w:pPr>
    </w:p>
    <w:p w14:paraId="0EC6A68F" w14:textId="77777777" w:rsidR="00A15990" w:rsidRDefault="00686A62">
      <w:pPr>
        <w:pStyle w:val="P68B1DB1-Normal3"/>
        <w:spacing w:before="40" w:after="0" w:line="259" w:lineRule="auto"/>
        <w:ind w:left="130" w:firstLine="720"/>
        <w:jc w:val="both"/>
        <w:outlineLvl w:val="2"/>
        <w:rPr>
          <w:rFonts w:eastAsiaTheme="minorEastAsia" w:cs="Times New Roman"/>
          <w:noProof/>
        </w:rPr>
      </w:pPr>
      <w:r>
        <w:rPr>
          <w:noProof/>
        </w:rPr>
        <w:t>E.2. Obiective de etapă, ținte, indicatori și calendar pentru monitorizarea și punerea în aplicare a sprijinului financiar nerambursabil</w:t>
      </w:r>
    </w:p>
    <w:p w14:paraId="75F064A2" w14:textId="77777777" w:rsidR="00A15990" w:rsidRDefault="00A15990">
      <w:pPr>
        <w:spacing w:before="40" w:after="0" w:line="259" w:lineRule="auto"/>
        <w:jc w:val="both"/>
        <w:rPr>
          <w:rFonts w:ascii="Times New Roman" w:eastAsiaTheme="minorEastAsia" w:hAnsi="Times New Roman" w:cs="Times New Roman"/>
          <w:noProof/>
          <w:sz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65"/>
        <w:gridCol w:w="976"/>
        <w:gridCol w:w="1668"/>
        <w:gridCol w:w="2029"/>
        <w:gridCol w:w="982"/>
        <w:gridCol w:w="982"/>
        <w:gridCol w:w="626"/>
        <w:gridCol w:w="514"/>
        <w:gridCol w:w="747"/>
        <w:gridCol w:w="3919"/>
      </w:tblGrid>
      <w:tr w:rsidR="00A15990" w14:paraId="1198CA4A" w14:textId="77777777">
        <w:trPr>
          <w:trHeight w:val="300"/>
          <w:tblHeader/>
        </w:trPr>
        <w:tc>
          <w:tcPr>
            <w:tcW w:w="1134" w:type="dxa"/>
            <w:vMerge w:val="restart"/>
            <w:shd w:val="clear" w:color="auto" w:fill="BDD6EE"/>
            <w:vAlign w:val="center"/>
            <w:hideMark/>
          </w:tcPr>
          <w:p w14:paraId="22518CE5"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165" w:type="dxa"/>
            <w:vMerge w:val="restart"/>
            <w:shd w:val="clear" w:color="auto" w:fill="BDD6EE"/>
            <w:noWrap/>
            <w:vAlign w:val="center"/>
            <w:hideMark/>
          </w:tcPr>
          <w:p w14:paraId="2D96F25A"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976" w:type="dxa"/>
            <w:vMerge w:val="restart"/>
            <w:shd w:val="clear" w:color="auto" w:fill="BDD6EE"/>
            <w:noWrap/>
            <w:vAlign w:val="center"/>
            <w:hideMark/>
          </w:tcPr>
          <w:p w14:paraId="441A5184" w14:textId="4D1516FC" w:rsidR="00A15990" w:rsidRDefault="00F32597">
            <w:pPr>
              <w:pStyle w:val="P68B1DB1-Normal6"/>
              <w:spacing w:after="0" w:line="240" w:lineRule="auto"/>
              <w:jc w:val="center"/>
              <w:rPr>
                <w:rFonts w:eastAsia="Times New Roman" w:cs="Times New Roman"/>
                <w:noProof/>
              </w:rPr>
            </w:pPr>
            <w:r>
              <w:rPr>
                <w:noProof/>
              </w:rPr>
              <w:t>Jalon</w:t>
            </w:r>
            <w:r w:rsidR="00686A62">
              <w:rPr>
                <w:noProof/>
              </w:rPr>
              <w:t>/</w:t>
            </w:r>
            <w:r>
              <w:rPr>
                <w:noProof/>
              </w:rPr>
              <w:br/>
              <w:t>Țintă</w:t>
            </w:r>
            <w:r w:rsidR="00686A62">
              <w:rPr>
                <w:noProof/>
              </w:rPr>
              <w:t xml:space="preserve"> </w:t>
            </w:r>
          </w:p>
          <w:p w14:paraId="12DC3346" w14:textId="13EEAED9" w:rsidR="00A15990" w:rsidRDefault="00A15990">
            <w:pPr>
              <w:spacing w:after="0" w:line="240" w:lineRule="auto"/>
              <w:rPr>
                <w:rFonts w:ascii="Times New Roman" w:eastAsia="Times New Roman" w:hAnsi="Times New Roman" w:cs="Times New Roman"/>
                <w:b/>
                <w:noProof/>
                <w:sz w:val="18"/>
              </w:rPr>
            </w:pPr>
          </w:p>
        </w:tc>
        <w:tc>
          <w:tcPr>
            <w:tcW w:w="1668" w:type="dxa"/>
            <w:vMerge w:val="restart"/>
            <w:shd w:val="clear" w:color="auto" w:fill="BDD6EE"/>
            <w:noWrap/>
            <w:vAlign w:val="center"/>
            <w:hideMark/>
          </w:tcPr>
          <w:p w14:paraId="24A7D056" w14:textId="77777777" w:rsidR="00A15990" w:rsidRDefault="00686A62">
            <w:pPr>
              <w:pStyle w:val="P68B1DB1-Normal6"/>
              <w:spacing w:after="0" w:line="240" w:lineRule="auto"/>
              <w:jc w:val="center"/>
              <w:rPr>
                <w:rFonts w:eastAsia="Times New Roman" w:cs="Times New Roman"/>
                <w:noProof/>
              </w:rPr>
            </w:pPr>
            <w:r>
              <w:rPr>
                <w:noProof/>
              </w:rPr>
              <w:t>Nume</w:t>
            </w:r>
          </w:p>
        </w:tc>
        <w:tc>
          <w:tcPr>
            <w:tcW w:w="2029" w:type="dxa"/>
            <w:vMerge w:val="restart"/>
            <w:shd w:val="clear" w:color="auto" w:fill="BDD6EE"/>
            <w:noWrap/>
            <w:vAlign w:val="center"/>
            <w:hideMark/>
          </w:tcPr>
          <w:p w14:paraId="54F026CB"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590" w:type="dxa"/>
            <w:gridSpan w:val="3"/>
            <w:shd w:val="clear" w:color="auto" w:fill="BDD6EE"/>
            <w:noWrap/>
            <w:vAlign w:val="center"/>
            <w:hideMark/>
          </w:tcPr>
          <w:p w14:paraId="1C0D1264"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61" w:type="dxa"/>
            <w:gridSpan w:val="2"/>
            <w:shd w:val="clear" w:color="auto" w:fill="BDD6EE"/>
            <w:noWrap/>
            <w:vAlign w:val="center"/>
            <w:hideMark/>
          </w:tcPr>
          <w:p w14:paraId="3C87353C"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19" w:type="dxa"/>
            <w:vMerge w:val="restart"/>
            <w:shd w:val="clear" w:color="auto" w:fill="BDD6EE"/>
            <w:noWrap/>
            <w:vAlign w:val="center"/>
            <w:hideMark/>
          </w:tcPr>
          <w:p w14:paraId="2A120D66"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328E94F7" w14:textId="77777777">
        <w:trPr>
          <w:trHeight w:val="414"/>
          <w:tblHeader/>
        </w:trPr>
        <w:tc>
          <w:tcPr>
            <w:tcW w:w="1134" w:type="dxa"/>
            <w:vMerge/>
            <w:vAlign w:val="center"/>
            <w:hideMark/>
          </w:tcPr>
          <w:p w14:paraId="2D953042" w14:textId="77777777" w:rsidR="00A15990" w:rsidRDefault="00A15990">
            <w:pPr>
              <w:spacing w:after="0" w:line="240" w:lineRule="auto"/>
              <w:rPr>
                <w:rFonts w:ascii="Times New Roman" w:eastAsia="Times New Roman" w:hAnsi="Times New Roman" w:cs="Times New Roman"/>
                <w:b/>
                <w:noProof/>
                <w:sz w:val="18"/>
              </w:rPr>
            </w:pPr>
          </w:p>
        </w:tc>
        <w:tc>
          <w:tcPr>
            <w:tcW w:w="1165" w:type="dxa"/>
            <w:vMerge/>
            <w:vAlign w:val="center"/>
            <w:hideMark/>
          </w:tcPr>
          <w:p w14:paraId="4F69105E" w14:textId="77777777" w:rsidR="00A15990" w:rsidRDefault="00A15990">
            <w:pPr>
              <w:spacing w:after="0" w:line="240" w:lineRule="auto"/>
              <w:rPr>
                <w:rFonts w:ascii="Times New Roman" w:eastAsia="Times New Roman" w:hAnsi="Times New Roman" w:cs="Times New Roman"/>
                <w:b/>
                <w:noProof/>
                <w:sz w:val="18"/>
              </w:rPr>
            </w:pPr>
          </w:p>
        </w:tc>
        <w:tc>
          <w:tcPr>
            <w:tcW w:w="976" w:type="dxa"/>
            <w:vMerge/>
            <w:noWrap/>
            <w:vAlign w:val="center"/>
            <w:hideMark/>
          </w:tcPr>
          <w:p w14:paraId="0CA5CF6D" w14:textId="53822D8D" w:rsidR="00A15990" w:rsidRDefault="00A15990">
            <w:pPr>
              <w:spacing w:after="0" w:line="240" w:lineRule="auto"/>
              <w:rPr>
                <w:rFonts w:ascii="Times New Roman" w:eastAsia="Times New Roman" w:hAnsi="Times New Roman" w:cs="Times New Roman"/>
                <w:b/>
                <w:noProof/>
                <w:sz w:val="18"/>
              </w:rPr>
            </w:pPr>
          </w:p>
        </w:tc>
        <w:tc>
          <w:tcPr>
            <w:tcW w:w="1668" w:type="dxa"/>
            <w:vMerge/>
            <w:vAlign w:val="center"/>
            <w:hideMark/>
          </w:tcPr>
          <w:p w14:paraId="501343F1" w14:textId="77777777" w:rsidR="00A15990" w:rsidRDefault="00A15990">
            <w:pPr>
              <w:spacing w:after="0" w:line="240" w:lineRule="auto"/>
              <w:rPr>
                <w:rFonts w:ascii="Times New Roman" w:eastAsia="Times New Roman" w:hAnsi="Times New Roman" w:cs="Times New Roman"/>
                <w:b/>
                <w:noProof/>
                <w:sz w:val="18"/>
              </w:rPr>
            </w:pPr>
          </w:p>
        </w:tc>
        <w:tc>
          <w:tcPr>
            <w:tcW w:w="2029" w:type="dxa"/>
            <w:vMerge/>
            <w:vAlign w:val="center"/>
            <w:hideMark/>
          </w:tcPr>
          <w:p w14:paraId="0E224900" w14:textId="77777777" w:rsidR="00A15990" w:rsidRDefault="00A15990">
            <w:pPr>
              <w:spacing w:after="0" w:line="240" w:lineRule="auto"/>
              <w:rPr>
                <w:rFonts w:ascii="Times New Roman" w:eastAsia="Times New Roman" w:hAnsi="Times New Roman" w:cs="Times New Roman"/>
                <w:b/>
                <w:noProof/>
                <w:sz w:val="18"/>
              </w:rPr>
            </w:pPr>
          </w:p>
        </w:tc>
        <w:tc>
          <w:tcPr>
            <w:tcW w:w="982" w:type="dxa"/>
            <w:tcBorders>
              <w:bottom w:val="single" w:sz="4" w:space="0" w:color="auto"/>
            </w:tcBorders>
            <w:shd w:val="clear" w:color="auto" w:fill="BDD6EE"/>
            <w:noWrap/>
            <w:vAlign w:val="center"/>
            <w:hideMark/>
          </w:tcPr>
          <w:p w14:paraId="54572D4F"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82" w:type="dxa"/>
            <w:tcBorders>
              <w:bottom w:val="single" w:sz="4" w:space="0" w:color="auto"/>
            </w:tcBorders>
            <w:shd w:val="clear" w:color="auto" w:fill="BDD6EE"/>
            <w:noWrap/>
            <w:vAlign w:val="center"/>
            <w:hideMark/>
          </w:tcPr>
          <w:p w14:paraId="2F722543"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626" w:type="dxa"/>
            <w:tcBorders>
              <w:bottom w:val="single" w:sz="4" w:space="0" w:color="auto"/>
            </w:tcBorders>
            <w:shd w:val="clear" w:color="auto" w:fill="BDD6EE"/>
            <w:noWrap/>
            <w:vAlign w:val="center"/>
            <w:hideMark/>
          </w:tcPr>
          <w:p w14:paraId="490C54F4"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14" w:type="dxa"/>
            <w:tcBorders>
              <w:bottom w:val="single" w:sz="4" w:space="0" w:color="auto"/>
            </w:tcBorders>
            <w:shd w:val="clear" w:color="auto" w:fill="BDD6EE"/>
            <w:noWrap/>
            <w:vAlign w:val="center"/>
            <w:hideMark/>
          </w:tcPr>
          <w:p w14:paraId="7923F7C5" w14:textId="77777777" w:rsidR="00A15990" w:rsidRDefault="00686A62">
            <w:pPr>
              <w:pStyle w:val="P68B1DB1-Normal6"/>
              <w:spacing w:after="0" w:line="240" w:lineRule="auto"/>
              <w:jc w:val="center"/>
              <w:rPr>
                <w:rFonts w:eastAsia="Times New Roman" w:cs="Times New Roman"/>
                <w:noProof/>
              </w:rPr>
            </w:pPr>
            <w:r>
              <w:rPr>
                <w:noProof/>
              </w:rPr>
              <w:t>Q</w:t>
            </w:r>
          </w:p>
        </w:tc>
        <w:tc>
          <w:tcPr>
            <w:tcW w:w="747" w:type="dxa"/>
            <w:tcBorders>
              <w:bottom w:val="single" w:sz="4" w:space="0" w:color="auto"/>
            </w:tcBorders>
            <w:shd w:val="clear" w:color="auto" w:fill="BDD6EE"/>
            <w:noWrap/>
            <w:vAlign w:val="center"/>
            <w:hideMark/>
          </w:tcPr>
          <w:p w14:paraId="73E52651"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19" w:type="dxa"/>
            <w:vMerge/>
            <w:vAlign w:val="center"/>
            <w:hideMark/>
          </w:tcPr>
          <w:p w14:paraId="38FBE50A" w14:textId="77777777" w:rsidR="00A15990" w:rsidRDefault="00A15990">
            <w:pPr>
              <w:spacing w:after="0" w:line="240" w:lineRule="auto"/>
              <w:rPr>
                <w:rFonts w:ascii="Times New Roman" w:eastAsia="Times New Roman" w:hAnsi="Times New Roman" w:cs="Times New Roman"/>
                <w:b/>
                <w:noProof/>
                <w:sz w:val="18"/>
              </w:rPr>
            </w:pPr>
          </w:p>
        </w:tc>
      </w:tr>
      <w:tr w:rsidR="00A15990" w14:paraId="110D1462" w14:textId="77777777">
        <w:trPr>
          <w:trHeight w:val="1328"/>
        </w:trPr>
        <w:tc>
          <w:tcPr>
            <w:tcW w:w="1134" w:type="dxa"/>
            <w:shd w:val="clear" w:color="auto" w:fill="C4EFCE"/>
            <w:vAlign w:val="center"/>
            <w:hideMark/>
          </w:tcPr>
          <w:p w14:paraId="6746EC53" w14:textId="77777777" w:rsidR="00A15990" w:rsidRDefault="00686A62">
            <w:pPr>
              <w:pStyle w:val="P68B1DB1-Normal7"/>
              <w:spacing w:after="0" w:line="240" w:lineRule="auto"/>
              <w:jc w:val="center"/>
              <w:rPr>
                <w:rFonts w:eastAsia="Times New Roman" w:cs="Calibri"/>
                <w:noProof/>
              </w:rPr>
            </w:pPr>
            <w:r>
              <w:rPr>
                <w:noProof/>
              </w:rPr>
              <w:t>5.1</w:t>
            </w:r>
          </w:p>
        </w:tc>
        <w:tc>
          <w:tcPr>
            <w:tcW w:w="1165" w:type="dxa"/>
            <w:shd w:val="clear" w:color="auto" w:fill="C4EFCE"/>
            <w:vAlign w:val="center"/>
            <w:hideMark/>
          </w:tcPr>
          <w:p w14:paraId="26E5077E" w14:textId="77777777" w:rsidR="00A15990" w:rsidRDefault="00686A62">
            <w:pPr>
              <w:pStyle w:val="P68B1DB1-Normal8"/>
              <w:spacing w:after="0" w:line="240" w:lineRule="auto"/>
              <w:jc w:val="center"/>
              <w:rPr>
                <w:rFonts w:eastAsia="Times New Roman" w:cs="Calibri"/>
                <w:noProof/>
              </w:rPr>
            </w:pPr>
            <w:r>
              <w:rPr>
                <w:noProof/>
              </w:rPr>
              <w:t>RE-C05-r09</w:t>
            </w:r>
          </w:p>
        </w:tc>
        <w:tc>
          <w:tcPr>
            <w:tcW w:w="976" w:type="dxa"/>
            <w:shd w:val="clear" w:color="auto" w:fill="C4EFCE"/>
            <w:vAlign w:val="center"/>
            <w:hideMark/>
          </w:tcPr>
          <w:p w14:paraId="3B5D305C" w14:textId="77777777" w:rsidR="00A15990" w:rsidRDefault="00686A62">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1150D1F" w14:textId="77777777" w:rsidR="00A15990" w:rsidRDefault="00686A62">
            <w:pPr>
              <w:pStyle w:val="P68B1DB1-Normal8"/>
              <w:spacing w:after="0" w:line="240" w:lineRule="auto"/>
              <w:jc w:val="center"/>
              <w:rPr>
                <w:rFonts w:eastAsia="Times New Roman" w:cs="Calibri"/>
                <w:noProof/>
              </w:rPr>
            </w:pPr>
            <w:r>
              <w:rPr>
                <w:noProof/>
              </w:rPr>
              <w:t>Actualizarea orientărilor privind strategia de inovare tehnologică și de afaceri pentru Portugalia 2030</w:t>
            </w:r>
          </w:p>
        </w:tc>
        <w:tc>
          <w:tcPr>
            <w:tcW w:w="2029" w:type="dxa"/>
            <w:shd w:val="clear" w:color="auto" w:fill="C4EFCE"/>
            <w:vAlign w:val="center"/>
            <w:hideMark/>
          </w:tcPr>
          <w:p w14:paraId="1FA50D9E" w14:textId="77777777" w:rsidR="00A15990" w:rsidRDefault="00686A62">
            <w:pPr>
              <w:pStyle w:val="P68B1DB1-Normal8"/>
              <w:spacing w:after="0" w:line="240" w:lineRule="auto"/>
              <w:jc w:val="center"/>
              <w:rPr>
                <w:rFonts w:eastAsia="Times New Roman" w:cs="Calibri"/>
                <w:noProof/>
              </w:rPr>
            </w:pPr>
            <w:r>
              <w:rPr>
                <w:noProof/>
              </w:rPr>
              <w:t>Publicarea orientărilor actualizate privind strategia de inovare tehnologică și de afaceri pentru Portugalia 2030</w:t>
            </w:r>
          </w:p>
        </w:tc>
        <w:tc>
          <w:tcPr>
            <w:tcW w:w="982" w:type="dxa"/>
            <w:shd w:val="clear" w:color="auto" w:fill="C4EFCE"/>
            <w:vAlign w:val="center"/>
            <w:hideMark/>
          </w:tcPr>
          <w:p w14:paraId="1A083873"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86A4EC8" w14:textId="77777777" w:rsidR="00A15990" w:rsidRDefault="00686A62">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315D3D4A" w14:textId="77777777" w:rsidR="00A15990" w:rsidRDefault="00686A62">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1050DF5"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19F55430" w14:textId="77777777" w:rsidR="00A15990" w:rsidRDefault="00686A62">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73AB634A" w14:textId="77777777" w:rsidR="00A15990" w:rsidRDefault="00686A62">
            <w:pPr>
              <w:pStyle w:val="P68B1DB1-Normal8"/>
              <w:spacing w:after="0" w:line="240" w:lineRule="auto"/>
              <w:jc w:val="both"/>
              <w:rPr>
                <w:rFonts w:eastAsia="Times New Roman" w:cs="Calibri"/>
                <w:noProof/>
              </w:rPr>
            </w:pPr>
            <w:r>
              <w:rPr>
                <w:noProof/>
              </w:rPr>
              <w:t xml:space="preserve">Actualizarea Deciziei Consiliului de Miniștri de aprobare a orientărilor pentru o strategie de inovare tehnologică și de afaceri pentru Portugalia, 2018-2030, ținând seama de recent adoptata Strategie a Portugaliei 2030 și de noile provocări în materie de redresare economică.  </w:t>
            </w:r>
          </w:p>
        </w:tc>
      </w:tr>
      <w:tr w:rsidR="00A15990" w14:paraId="5E5E0ADB" w14:textId="77777777">
        <w:trPr>
          <w:trHeight w:val="1134"/>
        </w:trPr>
        <w:tc>
          <w:tcPr>
            <w:tcW w:w="1134" w:type="dxa"/>
            <w:shd w:val="clear" w:color="auto" w:fill="C4EFCE"/>
            <w:vAlign w:val="center"/>
            <w:hideMark/>
          </w:tcPr>
          <w:p w14:paraId="3DD3A8E0" w14:textId="77777777" w:rsidR="00A15990" w:rsidRDefault="00686A62">
            <w:pPr>
              <w:pStyle w:val="P68B1DB1-Normal7"/>
              <w:spacing w:after="0" w:line="240" w:lineRule="auto"/>
              <w:jc w:val="center"/>
              <w:rPr>
                <w:rFonts w:eastAsia="Times New Roman" w:cs="Calibri"/>
                <w:noProof/>
              </w:rPr>
            </w:pPr>
            <w:r>
              <w:rPr>
                <w:noProof/>
              </w:rPr>
              <w:t>5.2</w:t>
            </w:r>
          </w:p>
        </w:tc>
        <w:tc>
          <w:tcPr>
            <w:tcW w:w="1165" w:type="dxa"/>
            <w:shd w:val="clear" w:color="auto" w:fill="C4EFCE"/>
            <w:vAlign w:val="center"/>
            <w:hideMark/>
          </w:tcPr>
          <w:p w14:paraId="7C0278D5" w14:textId="77777777" w:rsidR="00A15990" w:rsidRDefault="00686A62">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05E26CF5"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A7AA3EE" w14:textId="77777777" w:rsidR="00A15990" w:rsidRDefault="00686A62">
            <w:pPr>
              <w:pStyle w:val="P68B1DB1-Normal8"/>
              <w:spacing w:after="0" w:line="240" w:lineRule="auto"/>
              <w:jc w:val="center"/>
              <w:rPr>
                <w:rFonts w:eastAsia="Times New Roman" w:cs="Calibri"/>
                <w:noProof/>
              </w:rPr>
            </w:pPr>
            <w:r>
              <w:rPr>
                <w:noProof/>
              </w:rPr>
              <w:t>Extinderea rețelei laboratoarelor de colaborare recunoscute</w:t>
            </w:r>
          </w:p>
        </w:tc>
        <w:tc>
          <w:tcPr>
            <w:tcW w:w="2029" w:type="dxa"/>
            <w:shd w:val="clear" w:color="auto" w:fill="C4EFCE"/>
            <w:vAlign w:val="center"/>
            <w:hideMark/>
          </w:tcPr>
          <w:p w14:paraId="2DEFD2C1"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475022A"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77E0ED1B" w14:textId="77777777" w:rsidR="00A15990" w:rsidRDefault="00686A62">
            <w:pPr>
              <w:pStyle w:val="P68B1DB1-Normal8"/>
              <w:spacing w:after="0" w:line="240" w:lineRule="auto"/>
              <w:jc w:val="center"/>
              <w:rPr>
                <w:rFonts w:eastAsia="Times New Roman" w:cs="Calibri"/>
                <w:noProof/>
              </w:rPr>
            </w:pPr>
            <w:r>
              <w:rPr>
                <w:noProof/>
              </w:rPr>
              <w:t>26</w:t>
            </w:r>
          </w:p>
        </w:tc>
        <w:tc>
          <w:tcPr>
            <w:tcW w:w="626" w:type="dxa"/>
            <w:shd w:val="clear" w:color="auto" w:fill="C4EFCE"/>
            <w:vAlign w:val="center"/>
            <w:hideMark/>
          </w:tcPr>
          <w:p w14:paraId="0AF51B93" w14:textId="77777777" w:rsidR="00A15990" w:rsidRDefault="00686A62">
            <w:pPr>
              <w:pStyle w:val="P68B1DB1-Normal8"/>
              <w:spacing w:after="0" w:line="240" w:lineRule="auto"/>
              <w:jc w:val="center"/>
              <w:rPr>
                <w:rFonts w:eastAsia="Times New Roman" w:cs="Calibri"/>
                <w:noProof/>
              </w:rPr>
            </w:pPr>
            <w:r>
              <w:rPr>
                <w:noProof/>
              </w:rPr>
              <w:t>35</w:t>
            </w:r>
          </w:p>
        </w:tc>
        <w:tc>
          <w:tcPr>
            <w:tcW w:w="514" w:type="dxa"/>
            <w:shd w:val="clear" w:color="auto" w:fill="C4EFCE"/>
            <w:vAlign w:val="center"/>
            <w:hideMark/>
          </w:tcPr>
          <w:p w14:paraId="782F8621" w14:textId="77777777" w:rsidR="00A15990" w:rsidRDefault="00686A62">
            <w:pPr>
              <w:pStyle w:val="P68B1DB1-Normal8"/>
              <w:spacing w:after="0" w:line="240" w:lineRule="auto"/>
              <w:jc w:val="center"/>
              <w:rPr>
                <w:rFonts w:eastAsia="Times New Roman" w:cs="Calibri"/>
                <w:noProof/>
              </w:rPr>
            </w:pPr>
            <w:r>
              <w:rPr>
                <w:noProof/>
              </w:rPr>
              <w:t>TRIMESTRUL 1</w:t>
            </w:r>
          </w:p>
        </w:tc>
        <w:tc>
          <w:tcPr>
            <w:tcW w:w="747" w:type="dxa"/>
            <w:shd w:val="clear" w:color="auto" w:fill="C4EFCE"/>
            <w:vAlign w:val="center"/>
            <w:hideMark/>
          </w:tcPr>
          <w:p w14:paraId="523994E0" w14:textId="77777777" w:rsidR="00A15990" w:rsidRDefault="00686A62">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6113D01" w14:textId="77777777" w:rsidR="00A15990" w:rsidRDefault="00686A62">
            <w:pPr>
              <w:pStyle w:val="P68B1DB1-Normal8"/>
              <w:spacing w:after="0" w:line="240" w:lineRule="auto"/>
              <w:jc w:val="both"/>
              <w:rPr>
                <w:rFonts w:eastAsia="Times New Roman" w:cs="Calibri"/>
                <w:noProof/>
              </w:rPr>
            </w:pPr>
            <w:r>
              <w:rPr>
                <w:noProof/>
              </w:rPr>
              <w:t>Recunoașterea și acordarea calificărilor pentru noile laboratoare colaborative – Extinderea rețelei de laboratoare colaborative prin recunoașterea și acordarea titlului unor noi entități, rezultate din procesul de depunere a candidaturii și de evaluare desfășurat de un grup de evaluare independent format din experți de merit internațional recunoscuți, numiți de Consiliul de conducere al FCT, I.P (Fundația pentru știință și tehnologie)</w:t>
            </w:r>
          </w:p>
        </w:tc>
      </w:tr>
      <w:tr w:rsidR="00A15990" w14:paraId="35A3451C" w14:textId="77777777">
        <w:trPr>
          <w:trHeight w:val="832"/>
        </w:trPr>
        <w:tc>
          <w:tcPr>
            <w:tcW w:w="1134" w:type="dxa"/>
            <w:shd w:val="clear" w:color="auto" w:fill="C4EFCE"/>
            <w:vAlign w:val="center"/>
            <w:hideMark/>
          </w:tcPr>
          <w:p w14:paraId="58D355F0" w14:textId="77777777" w:rsidR="00A15990" w:rsidRDefault="00686A62">
            <w:pPr>
              <w:pStyle w:val="P68B1DB1-Normal7"/>
              <w:spacing w:after="0" w:line="240" w:lineRule="auto"/>
              <w:jc w:val="center"/>
              <w:rPr>
                <w:rFonts w:eastAsia="Times New Roman" w:cs="Calibri"/>
                <w:noProof/>
              </w:rPr>
            </w:pPr>
            <w:r>
              <w:rPr>
                <w:noProof/>
              </w:rPr>
              <w:t>5.3</w:t>
            </w:r>
          </w:p>
        </w:tc>
        <w:tc>
          <w:tcPr>
            <w:tcW w:w="1165" w:type="dxa"/>
            <w:shd w:val="clear" w:color="auto" w:fill="C4EFCE"/>
            <w:vAlign w:val="center"/>
            <w:hideMark/>
          </w:tcPr>
          <w:p w14:paraId="3E94C4FC" w14:textId="77777777" w:rsidR="00A15990" w:rsidRDefault="00686A62">
            <w:pPr>
              <w:pStyle w:val="P68B1DB1-Normal8"/>
              <w:spacing w:after="0" w:line="240" w:lineRule="auto"/>
              <w:jc w:val="center"/>
              <w:rPr>
                <w:rFonts w:eastAsia="Times New Roman" w:cs="Calibri"/>
                <w:noProof/>
              </w:rPr>
            </w:pPr>
            <w:r>
              <w:rPr>
                <w:noProof/>
              </w:rPr>
              <w:t>RE-C05-r11</w:t>
            </w:r>
          </w:p>
        </w:tc>
        <w:tc>
          <w:tcPr>
            <w:tcW w:w="976" w:type="dxa"/>
            <w:shd w:val="clear" w:color="auto" w:fill="C4EFCE"/>
            <w:vAlign w:val="center"/>
            <w:hideMark/>
          </w:tcPr>
          <w:p w14:paraId="6C55C77E" w14:textId="77777777" w:rsidR="00A15990" w:rsidRDefault="00686A62">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31D325B5" w14:textId="77777777" w:rsidR="00A15990" w:rsidRDefault="00686A62">
            <w:pPr>
              <w:pStyle w:val="P68B1DB1-Normal8"/>
              <w:spacing w:after="0" w:line="240" w:lineRule="auto"/>
              <w:jc w:val="center"/>
              <w:rPr>
                <w:rFonts w:eastAsia="Times New Roman" w:cs="Calibri"/>
                <w:noProof/>
              </w:rPr>
            </w:pPr>
            <w:r>
              <w:rPr>
                <w:noProof/>
              </w:rPr>
              <w:t>Intrarea în vigoare a noului regim juridic pentru centrele tehnologice și de inovare</w:t>
            </w:r>
          </w:p>
        </w:tc>
        <w:tc>
          <w:tcPr>
            <w:tcW w:w="2029" w:type="dxa"/>
            <w:shd w:val="clear" w:color="auto" w:fill="C4EFCE"/>
            <w:vAlign w:val="center"/>
            <w:hideMark/>
          </w:tcPr>
          <w:p w14:paraId="0C5A7131" w14:textId="77777777" w:rsidR="00A15990" w:rsidRDefault="00686A62">
            <w:pPr>
              <w:pStyle w:val="P68B1DB1-Normal8"/>
              <w:spacing w:after="0" w:line="240" w:lineRule="auto"/>
              <w:jc w:val="center"/>
              <w:rPr>
                <w:rFonts w:eastAsia="Times New Roman" w:cs="Calibri"/>
                <w:noProof/>
              </w:rPr>
            </w:pPr>
            <w:r>
              <w:rPr>
                <w:noProof/>
              </w:rPr>
              <w:t xml:space="preserve">Intrarea în vigoare a noului regim juridic pentru centrele tehnologice și de inovare </w:t>
            </w:r>
          </w:p>
        </w:tc>
        <w:tc>
          <w:tcPr>
            <w:tcW w:w="982" w:type="dxa"/>
            <w:shd w:val="clear" w:color="auto" w:fill="C4EFCE"/>
            <w:vAlign w:val="center"/>
            <w:hideMark/>
          </w:tcPr>
          <w:p w14:paraId="04B50F84"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3120DC99" w14:textId="77777777" w:rsidR="00A15990" w:rsidRDefault="00686A62">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54BBA269" w14:textId="77777777" w:rsidR="00A15990" w:rsidRDefault="00686A62">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D52854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21CF437E" w14:textId="77777777" w:rsidR="00A15990" w:rsidRDefault="00686A62">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75CFEAF" w14:textId="77777777" w:rsidR="00A15990" w:rsidRDefault="00686A62">
            <w:pPr>
              <w:pStyle w:val="P68B1DB1-Normal8"/>
              <w:spacing w:after="0" w:line="240" w:lineRule="auto"/>
              <w:jc w:val="both"/>
              <w:rPr>
                <w:rFonts w:eastAsia="Times New Roman" w:cs="Calibri"/>
                <w:noProof/>
              </w:rPr>
            </w:pPr>
            <w:r>
              <w:rPr>
                <w:noProof/>
              </w:rPr>
              <w:t>Legislația revizuiește și standardizează cadrul legislativ și de reglementare al entităților care fac parte din sistemul științific și tehnologic, definind modelul său de finanțare și de evaluare.</w:t>
            </w:r>
          </w:p>
        </w:tc>
      </w:tr>
      <w:tr w:rsidR="00A15990" w14:paraId="0A1CA6E0" w14:textId="77777777">
        <w:trPr>
          <w:trHeight w:val="882"/>
        </w:trPr>
        <w:tc>
          <w:tcPr>
            <w:tcW w:w="1134" w:type="dxa"/>
            <w:shd w:val="clear" w:color="auto" w:fill="C4EFCE"/>
            <w:vAlign w:val="center"/>
            <w:hideMark/>
          </w:tcPr>
          <w:p w14:paraId="539F0C3A" w14:textId="77777777" w:rsidR="00A15990" w:rsidRDefault="00686A62">
            <w:pPr>
              <w:pStyle w:val="P68B1DB1-Normal7"/>
              <w:spacing w:after="0" w:line="240" w:lineRule="auto"/>
              <w:jc w:val="center"/>
              <w:rPr>
                <w:rFonts w:eastAsia="Times New Roman" w:cs="Calibri"/>
                <w:noProof/>
              </w:rPr>
            </w:pPr>
            <w:r>
              <w:rPr>
                <w:noProof/>
              </w:rPr>
              <w:t>5.4</w:t>
            </w:r>
          </w:p>
        </w:tc>
        <w:tc>
          <w:tcPr>
            <w:tcW w:w="1165" w:type="dxa"/>
            <w:shd w:val="clear" w:color="auto" w:fill="C4EFCE"/>
            <w:vAlign w:val="center"/>
            <w:hideMark/>
          </w:tcPr>
          <w:p w14:paraId="17A4EABC" w14:textId="77777777" w:rsidR="00A15990" w:rsidRDefault="00686A62">
            <w:pPr>
              <w:pStyle w:val="P68B1DB1-Normal8"/>
              <w:spacing w:after="0" w:line="240" w:lineRule="auto"/>
              <w:jc w:val="center"/>
              <w:rPr>
                <w:rFonts w:eastAsia="Times New Roman" w:cs="Calibri"/>
                <w:noProof/>
              </w:rPr>
            </w:pPr>
            <w:r>
              <w:rPr>
                <w:noProof/>
              </w:rPr>
              <w:t>RE-C05-r12</w:t>
            </w:r>
          </w:p>
        </w:tc>
        <w:tc>
          <w:tcPr>
            <w:tcW w:w="976" w:type="dxa"/>
            <w:shd w:val="clear" w:color="auto" w:fill="C4EFCE"/>
            <w:vAlign w:val="center"/>
            <w:hideMark/>
          </w:tcPr>
          <w:p w14:paraId="2CCDE3B9" w14:textId="77777777" w:rsidR="00A15990" w:rsidRDefault="00686A62">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71A5F73D" w14:textId="77777777" w:rsidR="00A15990" w:rsidRDefault="00686A62">
            <w:pPr>
              <w:pStyle w:val="P68B1DB1-Normal8"/>
              <w:spacing w:after="0" w:line="240" w:lineRule="auto"/>
              <w:jc w:val="center"/>
              <w:rPr>
                <w:rFonts w:eastAsia="Times New Roman" w:cs="Calibri"/>
                <w:noProof/>
              </w:rPr>
            </w:pPr>
            <w:r>
              <w:rPr>
                <w:noProof/>
              </w:rPr>
              <w:t>Aprobarea Agendei de inovare pentru agricultură</w:t>
            </w:r>
          </w:p>
        </w:tc>
        <w:tc>
          <w:tcPr>
            <w:tcW w:w="2029" w:type="dxa"/>
            <w:shd w:val="clear" w:color="auto" w:fill="C4EFCE"/>
            <w:vAlign w:val="center"/>
            <w:hideMark/>
          </w:tcPr>
          <w:p w14:paraId="070AC07F" w14:textId="77777777" w:rsidR="00A15990" w:rsidRDefault="00686A62">
            <w:pPr>
              <w:pStyle w:val="P68B1DB1-Normal8"/>
              <w:spacing w:after="0" w:line="240" w:lineRule="auto"/>
              <w:jc w:val="center"/>
              <w:rPr>
                <w:rFonts w:eastAsia="Times New Roman" w:cs="Calibri"/>
                <w:noProof/>
              </w:rPr>
            </w:pPr>
            <w:r>
              <w:rPr>
                <w:noProof/>
              </w:rPr>
              <w:t>Aprobarea Agendei de inovare pentru agricultură</w:t>
            </w:r>
          </w:p>
        </w:tc>
        <w:tc>
          <w:tcPr>
            <w:tcW w:w="982" w:type="dxa"/>
            <w:shd w:val="clear" w:color="auto" w:fill="C4EFCE"/>
            <w:vAlign w:val="center"/>
            <w:hideMark/>
          </w:tcPr>
          <w:p w14:paraId="428779D0"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2590ACF" w14:textId="77777777" w:rsidR="00A15990" w:rsidRDefault="00686A62">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0D0096C5" w14:textId="77777777" w:rsidR="00A15990" w:rsidRDefault="00686A62">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6AA4C8CC"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4EB83404" w14:textId="77777777" w:rsidR="00A15990" w:rsidRDefault="00686A62">
            <w:pPr>
              <w:pStyle w:val="P68B1DB1-Normal8"/>
              <w:spacing w:after="0" w:line="240" w:lineRule="auto"/>
              <w:jc w:val="center"/>
              <w:rPr>
                <w:rFonts w:eastAsia="Times New Roman" w:cs="Calibri"/>
                <w:noProof/>
              </w:rPr>
            </w:pPr>
            <w:r>
              <w:rPr>
                <w:noProof/>
              </w:rPr>
              <w:t>2020</w:t>
            </w:r>
          </w:p>
        </w:tc>
        <w:tc>
          <w:tcPr>
            <w:tcW w:w="3919" w:type="dxa"/>
            <w:shd w:val="clear" w:color="auto" w:fill="C4EFCE"/>
            <w:vAlign w:val="center"/>
            <w:hideMark/>
          </w:tcPr>
          <w:p w14:paraId="0BB06B9A" w14:textId="77777777" w:rsidR="00A15990" w:rsidRDefault="00686A62">
            <w:pPr>
              <w:pStyle w:val="P68B1DB1-Normal8"/>
              <w:spacing w:after="0" w:line="240" w:lineRule="auto"/>
              <w:jc w:val="both"/>
              <w:rPr>
                <w:rFonts w:eastAsia="Times New Roman" w:cs="Calibri"/>
                <w:noProof/>
              </w:rPr>
            </w:pPr>
            <w:r>
              <w:rPr>
                <w:noProof/>
              </w:rPr>
              <w:t>Publicarea deciziei Consiliului de Miniștri de aprobare a Agendei de inovare pentru agricultură. Decizia Consiliului de Miniștri publicată la 15/10/2020</w:t>
            </w:r>
          </w:p>
        </w:tc>
      </w:tr>
      <w:tr w:rsidR="00A15990" w14:paraId="32426B30" w14:textId="77777777">
        <w:trPr>
          <w:trHeight w:val="290"/>
        </w:trPr>
        <w:tc>
          <w:tcPr>
            <w:tcW w:w="1134" w:type="dxa"/>
            <w:shd w:val="clear" w:color="auto" w:fill="C4EFCE"/>
            <w:vAlign w:val="center"/>
            <w:hideMark/>
          </w:tcPr>
          <w:p w14:paraId="496B6F04" w14:textId="11995258" w:rsidR="00A15990" w:rsidRDefault="00686A62">
            <w:pPr>
              <w:pStyle w:val="P68B1DB1-Normal7"/>
              <w:spacing w:after="0" w:line="240" w:lineRule="auto"/>
              <w:jc w:val="center"/>
              <w:rPr>
                <w:rFonts w:eastAsia="Times New Roman" w:cs="Calibri"/>
                <w:noProof/>
              </w:rPr>
            </w:pPr>
            <w:r>
              <w:rPr>
                <w:noProof/>
              </w:rPr>
              <w:t>5.5</w:t>
            </w:r>
          </w:p>
        </w:tc>
        <w:tc>
          <w:tcPr>
            <w:tcW w:w="1165" w:type="dxa"/>
            <w:shd w:val="clear" w:color="auto" w:fill="C4EFCE"/>
            <w:vAlign w:val="center"/>
            <w:hideMark/>
          </w:tcPr>
          <w:p w14:paraId="398EBCED" w14:textId="77777777" w:rsidR="00A15990" w:rsidRDefault="00686A62">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33F2AD16"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FE6E86D" w14:textId="1BD699C7" w:rsidR="00A15990" w:rsidRDefault="00686A62">
            <w:pPr>
              <w:pStyle w:val="P68B1DB1-Normal8"/>
              <w:spacing w:after="0" w:line="240" w:lineRule="auto"/>
              <w:jc w:val="center"/>
              <w:rPr>
                <w:rFonts w:eastAsia="Times New Roman" w:cs="Calibri"/>
                <w:noProof/>
              </w:rPr>
            </w:pPr>
            <w:r>
              <w:rPr>
                <w:noProof/>
              </w:rPr>
              <w:t>Încheierea de contracte pentru dezvoltarea de noi produse, procese sau servicii în domenii strategice relevante (agende de inovare).</w:t>
            </w:r>
          </w:p>
        </w:tc>
        <w:tc>
          <w:tcPr>
            <w:tcW w:w="2029" w:type="dxa"/>
            <w:shd w:val="clear" w:color="auto" w:fill="C4EFCE"/>
            <w:vAlign w:val="center"/>
            <w:hideMark/>
          </w:tcPr>
          <w:p w14:paraId="586F89B8"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0335E1"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7836D100"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9FCEC27" w14:textId="77777777" w:rsidR="00A15990" w:rsidRDefault="00686A62">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26FC7773"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3E7F441B" w14:textId="77777777" w:rsidR="00A15990" w:rsidRDefault="00686A62">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B6D042" w14:textId="77777777" w:rsidR="00A15990" w:rsidRDefault="00686A62">
            <w:pPr>
              <w:pStyle w:val="P68B1DB1-Normal8"/>
              <w:spacing w:after="0" w:line="240" w:lineRule="auto"/>
              <w:jc w:val="both"/>
              <w:rPr>
                <w:rFonts w:eastAsia="Times New Roman" w:cs="Calibri"/>
                <w:noProof/>
              </w:rPr>
            </w:pPr>
            <w:r>
              <w:rPr>
                <w:noProof/>
              </w:rPr>
              <w:t xml:space="preserve">Încheierea a șase contracte (pacte de inovare sau mobilizare de proiecte) cu consorții, care includ: Identificarea entităților constitutive ale consorțiului; </w:t>
            </w:r>
          </w:p>
          <w:p w14:paraId="4551FC29" w14:textId="213B120F" w:rsidR="00A15990" w:rsidRDefault="00686A62">
            <w:pPr>
              <w:pStyle w:val="P68B1DB1-Normal8"/>
              <w:spacing w:after="0" w:line="240" w:lineRule="auto"/>
              <w:jc w:val="both"/>
              <w:rPr>
                <w:rFonts w:eastAsia="Times New Roman" w:cs="Calibri"/>
                <w:noProof/>
              </w:rPr>
            </w:pPr>
            <w:r>
              <w:rPr>
                <w:noProof/>
              </w:rPr>
              <w:t>Planul de afaceri/investiția;</w:t>
            </w:r>
          </w:p>
          <w:p w14:paraId="74966FD9" w14:textId="77777777" w:rsidR="00A15990" w:rsidRDefault="00686A62">
            <w:pPr>
              <w:pStyle w:val="P68B1DB1-Normal8"/>
              <w:spacing w:after="0" w:line="240" w:lineRule="auto"/>
              <w:jc w:val="both"/>
              <w:rPr>
                <w:rFonts w:eastAsia="Times New Roman" w:cs="Calibri"/>
                <w:noProof/>
              </w:rPr>
            </w:pPr>
            <w:r>
              <w:rPr>
                <w:noProof/>
              </w:rPr>
              <w:t xml:space="preserve">cuantumul finanțării; </w:t>
            </w:r>
          </w:p>
          <w:p w14:paraId="3EC5A194" w14:textId="77777777" w:rsidR="00A15990" w:rsidRDefault="00686A62">
            <w:pPr>
              <w:pStyle w:val="P68B1DB1-Normal8"/>
              <w:spacing w:after="0" w:line="240" w:lineRule="auto"/>
              <w:jc w:val="both"/>
              <w:rPr>
                <w:rFonts w:eastAsia="Times New Roman" w:cs="Calibri"/>
                <w:noProof/>
              </w:rPr>
            </w:pPr>
            <w:r>
              <w:rPr>
                <w:noProof/>
              </w:rPr>
              <w:t xml:space="preserve">Obiectivele pe care beneficiarul trebuie să le îndeplinească; </w:t>
            </w:r>
          </w:p>
          <w:p w14:paraId="6A5827B9" w14:textId="77777777" w:rsidR="00A15990" w:rsidRDefault="00686A62">
            <w:pPr>
              <w:pStyle w:val="P68B1DB1-Normal8"/>
              <w:spacing w:after="0" w:line="240" w:lineRule="auto"/>
              <w:jc w:val="both"/>
              <w:rPr>
                <w:rFonts w:eastAsia="Times New Roman" w:cs="Calibri"/>
                <w:noProof/>
              </w:rPr>
            </w:pPr>
            <w:r>
              <w:rPr>
                <w:noProof/>
              </w:rPr>
              <w:t xml:space="preserve">Forma monitorizării. </w:t>
            </w:r>
          </w:p>
          <w:p w14:paraId="336484AB" w14:textId="12D62436" w:rsidR="00A15990" w:rsidRDefault="00686A62">
            <w:pPr>
              <w:pStyle w:val="P68B1DB1-Normal8"/>
              <w:spacing w:after="0" w:line="240" w:lineRule="auto"/>
              <w:jc w:val="both"/>
              <w:rPr>
                <w:rFonts w:eastAsia="Times New Roman" w:cs="Calibri"/>
                <w:noProof/>
              </w:rPr>
            </w:pPr>
            <w:r>
              <w:rPr>
                <w:noProof/>
              </w:rPr>
              <w:t>Contractele sprijină în total cel puțin 60 de produse, procese sau servicii. Termenii de referință includ criterii de eligibilitate care asigură faptul că proiectele selectate respectă Orientările tehnice de „a nu prejudicia în mod semnificativ” (2021/C58/01) prin utilizarea unei liste de excludere și a cerinței de conformitate cu legislația UE și națională relevantă în materie de mediu.</w:t>
            </w:r>
          </w:p>
        </w:tc>
      </w:tr>
      <w:tr w:rsidR="00A15990" w14:paraId="2A70DAF8" w14:textId="77777777">
        <w:trPr>
          <w:trHeight w:val="1177"/>
        </w:trPr>
        <w:tc>
          <w:tcPr>
            <w:tcW w:w="1134" w:type="dxa"/>
            <w:shd w:val="clear" w:color="auto" w:fill="C4EFCE"/>
            <w:vAlign w:val="center"/>
            <w:hideMark/>
          </w:tcPr>
          <w:p w14:paraId="509D06FA" w14:textId="77777777" w:rsidR="00A15990" w:rsidRDefault="00686A62">
            <w:pPr>
              <w:pStyle w:val="P68B1DB1-Normal7"/>
              <w:spacing w:after="0" w:line="240" w:lineRule="auto"/>
              <w:jc w:val="center"/>
              <w:rPr>
                <w:rFonts w:eastAsia="Times New Roman" w:cs="Calibri"/>
                <w:noProof/>
              </w:rPr>
            </w:pPr>
            <w:r>
              <w:rPr>
                <w:noProof/>
              </w:rPr>
              <w:t>5.6</w:t>
            </w:r>
          </w:p>
        </w:tc>
        <w:tc>
          <w:tcPr>
            <w:tcW w:w="1165" w:type="dxa"/>
            <w:shd w:val="clear" w:color="auto" w:fill="C4EFCE"/>
            <w:vAlign w:val="center"/>
            <w:hideMark/>
          </w:tcPr>
          <w:p w14:paraId="33218AE0" w14:textId="77777777" w:rsidR="00A15990" w:rsidRDefault="00686A62">
            <w:pPr>
              <w:pStyle w:val="P68B1DB1-Normal8"/>
              <w:spacing w:after="0" w:line="240" w:lineRule="auto"/>
              <w:jc w:val="center"/>
              <w:rPr>
                <w:rFonts w:eastAsia="Times New Roman" w:cs="Calibri"/>
                <w:noProof/>
              </w:rPr>
            </w:pPr>
            <w:r>
              <w:rPr>
                <w:noProof/>
              </w:rPr>
              <w:t>RE-C05-i01.01</w:t>
            </w:r>
          </w:p>
        </w:tc>
        <w:tc>
          <w:tcPr>
            <w:tcW w:w="976" w:type="dxa"/>
            <w:shd w:val="clear" w:color="auto" w:fill="C4EFCE"/>
            <w:vAlign w:val="center"/>
            <w:hideMark/>
          </w:tcPr>
          <w:p w14:paraId="28D975FD"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99030BE" w14:textId="77777777" w:rsidR="00A15990" w:rsidRDefault="00686A62">
            <w:pPr>
              <w:pStyle w:val="P68B1DB1-Normal8"/>
              <w:spacing w:after="0" w:line="240" w:lineRule="auto"/>
              <w:jc w:val="center"/>
              <w:rPr>
                <w:rFonts w:eastAsia="Times New Roman" w:cs="Calibri"/>
                <w:noProof/>
              </w:rPr>
            </w:pPr>
            <w:r>
              <w:rPr>
                <w:noProof/>
              </w:rPr>
              <w:t xml:space="preserve">Finalizarea punerii în aplicare a contractelor din 6 (pacte de inovare sau proiecte de mobilizare)  </w:t>
            </w:r>
          </w:p>
        </w:tc>
        <w:tc>
          <w:tcPr>
            <w:tcW w:w="2029" w:type="dxa"/>
            <w:shd w:val="clear" w:color="auto" w:fill="C4EFCE"/>
            <w:vAlign w:val="center"/>
            <w:hideMark/>
          </w:tcPr>
          <w:p w14:paraId="6BAACDF3"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12ABD6D2"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655CED5C"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90ACFAB" w14:textId="77777777" w:rsidR="00A15990" w:rsidRDefault="00686A62">
            <w:pPr>
              <w:pStyle w:val="P68B1DB1-Normal8"/>
              <w:spacing w:after="0" w:line="240" w:lineRule="auto"/>
              <w:jc w:val="center"/>
              <w:rPr>
                <w:rFonts w:eastAsia="Times New Roman" w:cs="Calibri"/>
                <w:noProof/>
              </w:rPr>
            </w:pPr>
            <w:r>
              <w:rPr>
                <w:noProof/>
              </w:rPr>
              <w:t>6</w:t>
            </w:r>
          </w:p>
        </w:tc>
        <w:tc>
          <w:tcPr>
            <w:tcW w:w="514" w:type="dxa"/>
            <w:shd w:val="clear" w:color="auto" w:fill="C4EFCE"/>
            <w:vAlign w:val="center"/>
            <w:hideMark/>
          </w:tcPr>
          <w:p w14:paraId="6ECDA68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6279F629"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BE5656C" w14:textId="77777777" w:rsidR="00A15990" w:rsidRDefault="00686A62">
            <w:pPr>
              <w:pStyle w:val="P68B1DB1-Normal8"/>
              <w:spacing w:after="0" w:line="240" w:lineRule="auto"/>
              <w:jc w:val="both"/>
              <w:rPr>
                <w:rFonts w:eastAsia="Times New Roman" w:cs="Calibri"/>
                <w:noProof/>
              </w:rPr>
            </w:pPr>
            <w:r>
              <w:rPr>
                <w:noProof/>
              </w:rPr>
              <w:t xml:space="preserve">Finalizarea produselor, proceselor sau serviciilor în domeniile strategice relevante, care rezultă din punerea în aplicare a celor șase contracte (pacte de inovare sau de mobilizare a proiectelor) încheiate cu consorții. </w:t>
            </w:r>
          </w:p>
        </w:tc>
      </w:tr>
      <w:tr w:rsidR="00A15990" w14:paraId="6643E212" w14:textId="77777777">
        <w:trPr>
          <w:trHeight w:val="3677"/>
        </w:trPr>
        <w:tc>
          <w:tcPr>
            <w:tcW w:w="1134" w:type="dxa"/>
            <w:shd w:val="clear" w:color="auto" w:fill="C4EFCE"/>
            <w:vAlign w:val="center"/>
            <w:hideMark/>
          </w:tcPr>
          <w:p w14:paraId="468D23F3" w14:textId="77777777" w:rsidR="00A15990" w:rsidRDefault="00686A62">
            <w:pPr>
              <w:pStyle w:val="P68B1DB1-Normal7"/>
              <w:spacing w:after="0" w:line="240" w:lineRule="auto"/>
              <w:jc w:val="center"/>
              <w:rPr>
                <w:rFonts w:eastAsia="Times New Roman" w:cs="Calibri"/>
                <w:noProof/>
              </w:rPr>
            </w:pPr>
            <w:r>
              <w:rPr>
                <w:noProof/>
              </w:rPr>
              <w:t>5.7 </w:t>
            </w:r>
          </w:p>
        </w:tc>
        <w:tc>
          <w:tcPr>
            <w:tcW w:w="1165" w:type="dxa"/>
            <w:shd w:val="clear" w:color="auto" w:fill="C4EFCE"/>
            <w:vAlign w:val="center"/>
            <w:hideMark/>
          </w:tcPr>
          <w:p w14:paraId="2FA90289" w14:textId="77777777" w:rsidR="00A15990" w:rsidRDefault="00686A62">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01D312C5"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983D09B" w14:textId="4A5620C6" w:rsidR="00A15990" w:rsidRDefault="00686A62">
            <w:pPr>
              <w:pStyle w:val="P68B1DB1-Normal8"/>
              <w:spacing w:after="0" w:line="240" w:lineRule="auto"/>
              <w:jc w:val="center"/>
              <w:rPr>
                <w:rFonts w:eastAsia="Times New Roman" w:cs="Calibri"/>
                <w:noProof/>
              </w:rPr>
            </w:pPr>
            <w:r>
              <w:rPr>
                <w:noProof/>
              </w:rPr>
              <w:t xml:space="preserve">Încheierea de contracte pentru dezvoltarea de noi produse, procese sau servicii în domenii strategice relevante pentru economia cu emisii scăzute de dioxid de carbon, reziliența și adaptarea la schimbările climatice. </w:t>
            </w:r>
          </w:p>
        </w:tc>
        <w:tc>
          <w:tcPr>
            <w:tcW w:w="2029" w:type="dxa"/>
            <w:shd w:val="clear" w:color="auto" w:fill="C4EFCE"/>
            <w:vAlign w:val="center"/>
            <w:hideMark/>
          </w:tcPr>
          <w:p w14:paraId="70E69742"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945C4B9"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6498CFE3"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56C19C5" w14:textId="77777777" w:rsidR="00A15990" w:rsidRDefault="00686A62">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2F258065"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4CBB76C3" w14:textId="77777777" w:rsidR="00A15990" w:rsidRDefault="00686A62">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60F200E4" w14:textId="77777777" w:rsidR="00A15990" w:rsidRDefault="00686A62">
            <w:pPr>
              <w:pStyle w:val="P68B1DB1-Normal8"/>
              <w:spacing w:after="0" w:line="240" w:lineRule="auto"/>
              <w:jc w:val="both"/>
              <w:rPr>
                <w:rFonts w:eastAsia="Times New Roman" w:cs="Calibri"/>
                <w:noProof/>
              </w:rPr>
            </w:pPr>
            <w:r>
              <w:rPr>
                <w:noProof/>
              </w:rPr>
              <w:t>Încheierea a patru contracte (pacte de inovare sau mobilizare de proiecte) cu consorții, care includ: Identificarea entităților constitutive ale consorțiului;</w:t>
            </w:r>
          </w:p>
          <w:p w14:paraId="270B450D" w14:textId="4F7D3223" w:rsidR="00A15990" w:rsidRDefault="00686A62">
            <w:pPr>
              <w:pStyle w:val="P68B1DB1-Normal8"/>
              <w:spacing w:after="0" w:line="240" w:lineRule="auto"/>
              <w:jc w:val="both"/>
              <w:rPr>
                <w:rFonts w:eastAsia="Times New Roman" w:cs="Calibri"/>
                <w:noProof/>
              </w:rPr>
            </w:pPr>
            <w:r>
              <w:rPr>
                <w:noProof/>
              </w:rPr>
              <w:t xml:space="preserve">Planul de afaceri/investiția; </w:t>
            </w:r>
          </w:p>
          <w:p w14:paraId="026E6977" w14:textId="77777777" w:rsidR="00A15990" w:rsidRDefault="00686A62">
            <w:pPr>
              <w:pStyle w:val="P68B1DB1-Normal8"/>
              <w:spacing w:after="0" w:line="240" w:lineRule="auto"/>
              <w:jc w:val="both"/>
              <w:rPr>
                <w:rFonts w:eastAsia="Times New Roman" w:cs="Calibri"/>
                <w:noProof/>
              </w:rPr>
            </w:pPr>
            <w:r>
              <w:rPr>
                <w:noProof/>
              </w:rPr>
              <w:t xml:space="preserve">cuantumul finanțării; </w:t>
            </w:r>
          </w:p>
          <w:p w14:paraId="3DAD31FF" w14:textId="77777777" w:rsidR="00A15990" w:rsidRDefault="00686A62">
            <w:pPr>
              <w:pStyle w:val="P68B1DB1-Normal8"/>
              <w:spacing w:after="0" w:line="240" w:lineRule="auto"/>
              <w:jc w:val="both"/>
              <w:rPr>
                <w:rFonts w:eastAsia="Times New Roman" w:cs="Calibri"/>
                <w:noProof/>
              </w:rPr>
            </w:pPr>
            <w:r>
              <w:rPr>
                <w:noProof/>
              </w:rPr>
              <w:t xml:space="preserve">Obiectivele pe care beneficiarul trebuie să le îndeplinească; </w:t>
            </w:r>
          </w:p>
          <w:p w14:paraId="7918E159" w14:textId="77777777" w:rsidR="00A15990" w:rsidRDefault="00686A62">
            <w:pPr>
              <w:pStyle w:val="P68B1DB1-Normal8"/>
              <w:spacing w:after="0" w:line="240" w:lineRule="auto"/>
              <w:jc w:val="both"/>
              <w:rPr>
                <w:rFonts w:eastAsia="Times New Roman" w:cs="Calibri"/>
                <w:noProof/>
              </w:rPr>
            </w:pPr>
            <w:r>
              <w:rPr>
                <w:noProof/>
              </w:rPr>
              <w:t>Forma monitorizării.</w:t>
            </w:r>
          </w:p>
          <w:p w14:paraId="663B5E0B" w14:textId="77777777" w:rsidR="00A15990" w:rsidRDefault="00A15990">
            <w:pPr>
              <w:spacing w:after="0" w:line="240" w:lineRule="auto"/>
              <w:jc w:val="both"/>
              <w:rPr>
                <w:rFonts w:ascii="Calibri" w:eastAsia="Times New Roman" w:hAnsi="Calibri" w:cs="Calibri"/>
                <w:noProof/>
                <w:sz w:val="16"/>
              </w:rPr>
            </w:pPr>
          </w:p>
          <w:p w14:paraId="4EC7E909" w14:textId="1C2F6D07" w:rsidR="00A15990" w:rsidRDefault="00686A62">
            <w:pPr>
              <w:pStyle w:val="P68B1DB1-Normal9"/>
              <w:spacing w:after="0" w:line="240" w:lineRule="auto"/>
              <w:jc w:val="both"/>
              <w:rPr>
                <w:rFonts w:eastAsia="Times New Roman" w:cs="Calibri"/>
                <w:noProof/>
                <w:sz w:val="16"/>
              </w:rPr>
            </w:pPr>
            <w:r>
              <w:rPr>
                <w:noProof/>
                <w:sz w:val="16"/>
              </w:rPr>
              <w:t>Contractele sprijină în total cel puțin 40 de produse, procese sau servicii și reflectă alinierea la domeniul de intervenție 022 (Proceduri de cercetare și inovare, transfer de tehnologie și cooperare între întreprinderi, cu accent pe economia cu emisii scăzute de dioxid de carbon și pe reziliența și adaptarea la schimbările climatice).</w:t>
            </w:r>
            <w:r>
              <w:rPr>
                <w:noProof/>
              </w:rPr>
              <w:t xml:space="preserve"> </w:t>
            </w:r>
            <w:r>
              <w:rPr>
                <w:noProof/>
                <w:sz w:val="16"/>
              </w:rPr>
              <w:t>Termenii de referință includ criterii de eligibilitate care asigură faptul că proiectele selectate respectă Orientările tehnice de „a nu prejudicia în mod semnificativ” (2021/C58/01) prin utilizarea unei liste de excludere și a cerinței de conformitate cu legislația UE și națională relevantă în materie de mediu.</w:t>
            </w:r>
          </w:p>
        </w:tc>
      </w:tr>
      <w:tr w:rsidR="00A15990" w14:paraId="7CCE9FC2" w14:textId="77777777">
        <w:trPr>
          <w:trHeight w:val="1405"/>
        </w:trPr>
        <w:tc>
          <w:tcPr>
            <w:tcW w:w="1134" w:type="dxa"/>
            <w:shd w:val="clear" w:color="auto" w:fill="C4EFCE"/>
            <w:vAlign w:val="center"/>
            <w:hideMark/>
          </w:tcPr>
          <w:p w14:paraId="42B4F12E" w14:textId="77777777" w:rsidR="00A15990" w:rsidRDefault="00686A62">
            <w:pPr>
              <w:pStyle w:val="P68B1DB1-Normal7"/>
              <w:spacing w:after="0" w:line="240" w:lineRule="auto"/>
              <w:jc w:val="center"/>
              <w:rPr>
                <w:rFonts w:eastAsia="Times New Roman" w:cs="Calibri"/>
                <w:noProof/>
              </w:rPr>
            </w:pPr>
            <w:r>
              <w:rPr>
                <w:noProof/>
              </w:rPr>
              <w:t>5.8</w:t>
            </w:r>
          </w:p>
        </w:tc>
        <w:tc>
          <w:tcPr>
            <w:tcW w:w="1165" w:type="dxa"/>
            <w:shd w:val="clear" w:color="auto" w:fill="C4EFCE"/>
            <w:vAlign w:val="center"/>
            <w:hideMark/>
          </w:tcPr>
          <w:p w14:paraId="32953778" w14:textId="77777777" w:rsidR="00A15990" w:rsidRDefault="00686A62">
            <w:pPr>
              <w:pStyle w:val="P68B1DB1-Normal8"/>
              <w:spacing w:after="0" w:line="240" w:lineRule="auto"/>
              <w:jc w:val="center"/>
              <w:rPr>
                <w:rFonts w:eastAsia="Times New Roman" w:cs="Calibri"/>
                <w:noProof/>
              </w:rPr>
            </w:pPr>
            <w:r>
              <w:rPr>
                <w:noProof/>
              </w:rPr>
              <w:t>RE-C05-i01.02</w:t>
            </w:r>
          </w:p>
        </w:tc>
        <w:tc>
          <w:tcPr>
            <w:tcW w:w="976" w:type="dxa"/>
            <w:shd w:val="clear" w:color="auto" w:fill="C4EFCE"/>
            <w:vAlign w:val="center"/>
            <w:hideMark/>
          </w:tcPr>
          <w:p w14:paraId="217DD48E"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73501CE1" w14:textId="77777777" w:rsidR="00A15990" w:rsidRDefault="00686A62">
            <w:pPr>
              <w:pStyle w:val="P68B1DB1-Normal8"/>
              <w:spacing w:after="0" w:line="240" w:lineRule="auto"/>
              <w:jc w:val="center"/>
              <w:rPr>
                <w:rFonts w:eastAsia="Times New Roman" w:cs="Calibri"/>
                <w:noProof/>
              </w:rPr>
            </w:pPr>
            <w:r>
              <w:rPr>
                <w:noProof/>
              </w:rPr>
              <w:t xml:space="preserve">Produse, procese sau servicii (SPC) finalizate relevante pentru economia cu emisii scăzute de dioxid de carbon, reziliența și adaptarea la schimbările climatice </w:t>
            </w:r>
          </w:p>
        </w:tc>
        <w:tc>
          <w:tcPr>
            <w:tcW w:w="2029" w:type="dxa"/>
            <w:shd w:val="clear" w:color="auto" w:fill="C4EFCE"/>
            <w:vAlign w:val="center"/>
            <w:hideMark/>
          </w:tcPr>
          <w:p w14:paraId="6370E703"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D5B40EB"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30D6679D"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C51CFC6" w14:textId="77777777" w:rsidR="00A15990" w:rsidRDefault="00686A62">
            <w:pPr>
              <w:pStyle w:val="P68B1DB1-Normal8"/>
              <w:spacing w:after="0" w:line="240" w:lineRule="auto"/>
              <w:jc w:val="center"/>
              <w:rPr>
                <w:rFonts w:eastAsia="Times New Roman" w:cs="Calibri"/>
                <w:noProof/>
              </w:rPr>
            </w:pPr>
            <w:r>
              <w:rPr>
                <w:noProof/>
              </w:rPr>
              <w:t>4</w:t>
            </w:r>
          </w:p>
        </w:tc>
        <w:tc>
          <w:tcPr>
            <w:tcW w:w="514" w:type="dxa"/>
            <w:shd w:val="clear" w:color="auto" w:fill="C4EFCE"/>
            <w:vAlign w:val="center"/>
            <w:hideMark/>
          </w:tcPr>
          <w:p w14:paraId="599C9B52"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67FF8210"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502D8185" w14:textId="77777777" w:rsidR="00A15990" w:rsidRDefault="00686A62">
            <w:pPr>
              <w:pStyle w:val="P68B1DB1-Normal8"/>
              <w:spacing w:after="0" w:line="240" w:lineRule="auto"/>
              <w:jc w:val="both"/>
              <w:rPr>
                <w:rFonts w:eastAsia="Times New Roman" w:cs="Calibri"/>
                <w:noProof/>
              </w:rPr>
            </w:pPr>
            <w:r>
              <w:rPr>
                <w:noProof/>
              </w:rPr>
              <w:t>Finalizarea produselor, proceselor sau serviciilor care rezultă din punerea în aplicare a celor patru contracte (pacte de inovare sau de mobilizare a proiectelor) încheiate cu consorții, reflectând alinierea cu domeniul de intervenție 022 (procese de cercetare și inovare, transfer de tehnologie și cooperare între întreprinderi, cu accent pe economia cu emisii scăzute de dioxid de carbon și pe reziliența la schimbările climatice și adaptarea la acestea).</w:t>
            </w:r>
          </w:p>
        </w:tc>
      </w:tr>
      <w:tr w:rsidR="00A15990" w14:paraId="7306DD3C" w14:textId="77777777">
        <w:trPr>
          <w:trHeight w:val="420"/>
        </w:trPr>
        <w:tc>
          <w:tcPr>
            <w:tcW w:w="1134" w:type="dxa"/>
            <w:shd w:val="clear" w:color="auto" w:fill="C4EFCE"/>
            <w:vAlign w:val="center"/>
            <w:hideMark/>
          </w:tcPr>
          <w:p w14:paraId="1DD3CA84" w14:textId="77777777" w:rsidR="00A15990" w:rsidRDefault="00686A62">
            <w:pPr>
              <w:pStyle w:val="P68B1DB1-Normal7"/>
              <w:spacing w:after="0" w:line="240" w:lineRule="auto"/>
              <w:jc w:val="center"/>
              <w:rPr>
                <w:rFonts w:eastAsia="Times New Roman" w:cs="Calibri"/>
                <w:noProof/>
              </w:rPr>
            </w:pPr>
            <w:r>
              <w:rPr>
                <w:noProof/>
              </w:rPr>
              <w:t>5.9</w:t>
            </w:r>
          </w:p>
        </w:tc>
        <w:tc>
          <w:tcPr>
            <w:tcW w:w="1165" w:type="dxa"/>
            <w:shd w:val="clear" w:color="auto" w:fill="C4EFCE"/>
            <w:vAlign w:val="center"/>
            <w:hideMark/>
          </w:tcPr>
          <w:p w14:paraId="610CF94D" w14:textId="77777777" w:rsidR="00A15990" w:rsidRDefault="00686A62">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49C4E686"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21CC7D92" w14:textId="62765798" w:rsidR="00A15990" w:rsidRDefault="00686A62">
            <w:pPr>
              <w:pStyle w:val="P68B1DB1-Normal8"/>
              <w:spacing w:after="0" w:line="240" w:lineRule="auto"/>
              <w:jc w:val="center"/>
              <w:rPr>
                <w:rFonts w:eastAsia="Times New Roman" w:cs="Calibri"/>
                <w:noProof/>
              </w:rPr>
            </w:pPr>
            <w:r>
              <w:rPr>
                <w:noProof/>
              </w:rPr>
              <w:t xml:space="preserve">Contracte cu entitățile de interfață, inclusiv laboratoarele colaborative – Colabs, încheiate </w:t>
            </w:r>
          </w:p>
        </w:tc>
        <w:tc>
          <w:tcPr>
            <w:tcW w:w="2029" w:type="dxa"/>
            <w:shd w:val="clear" w:color="auto" w:fill="C4EFCE"/>
            <w:vAlign w:val="center"/>
            <w:hideMark/>
          </w:tcPr>
          <w:p w14:paraId="3CFA0A2E"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F654CC4"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4C3EF509"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64B4173" w14:textId="77777777" w:rsidR="00A15990" w:rsidRDefault="00686A62">
            <w:pPr>
              <w:pStyle w:val="P68B1DB1-Normal8"/>
              <w:spacing w:after="0" w:line="240" w:lineRule="auto"/>
              <w:jc w:val="center"/>
              <w:rPr>
                <w:rFonts w:eastAsia="Times New Roman" w:cs="Calibri"/>
                <w:noProof/>
              </w:rPr>
            </w:pPr>
            <w:r>
              <w:rPr>
                <w:noProof/>
              </w:rPr>
              <w:t>20</w:t>
            </w:r>
          </w:p>
        </w:tc>
        <w:tc>
          <w:tcPr>
            <w:tcW w:w="514" w:type="dxa"/>
            <w:shd w:val="clear" w:color="auto" w:fill="C4EFCE"/>
            <w:vAlign w:val="center"/>
            <w:hideMark/>
          </w:tcPr>
          <w:p w14:paraId="301A90D3"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0632C366" w14:textId="77777777" w:rsidR="00A15990" w:rsidRDefault="00686A62">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41D8E0A7" w14:textId="77777777" w:rsidR="00A15990" w:rsidRDefault="00686A62">
            <w:pPr>
              <w:pStyle w:val="P68B1DB1-Normal8"/>
              <w:spacing w:after="0" w:line="240" w:lineRule="auto"/>
              <w:jc w:val="both"/>
              <w:rPr>
                <w:rFonts w:eastAsia="Times New Roman" w:cs="Calibri"/>
                <w:noProof/>
              </w:rPr>
            </w:pPr>
            <w:r>
              <w:rPr>
                <w:noProof/>
              </w:rPr>
              <w:t xml:space="preserve">În urma unei cereri de oferte, selectarea entităților care urmează să fie sprijinite. Prezenta cerere de propuneri este limitată la susținătorii recunoscuți ca entități de „interfață” sau ca laboratoare de colaborare. </w:t>
            </w:r>
          </w:p>
          <w:p w14:paraId="7F724A76" w14:textId="77777777" w:rsidR="00A15990" w:rsidRDefault="00A15990">
            <w:pPr>
              <w:spacing w:after="0" w:line="240" w:lineRule="auto"/>
              <w:jc w:val="both"/>
              <w:rPr>
                <w:rFonts w:ascii="Calibri" w:eastAsia="Times New Roman" w:hAnsi="Calibri" w:cs="Calibri"/>
                <w:noProof/>
                <w:sz w:val="16"/>
              </w:rPr>
            </w:pPr>
          </w:p>
          <w:p w14:paraId="647EE43D" w14:textId="710B48F1" w:rsidR="00A15990" w:rsidRDefault="00686A62">
            <w:pPr>
              <w:pStyle w:val="P68B1DB1-Normal9"/>
              <w:spacing w:after="0" w:line="240" w:lineRule="auto"/>
              <w:jc w:val="both"/>
              <w:rPr>
                <w:rFonts w:eastAsia="Times New Roman" w:cs="Calibri"/>
                <w:noProof/>
                <w:sz w:val="16"/>
              </w:rPr>
            </w:pPr>
            <w:r>
              <w:rPr>
                <w:noProof/>
                <w:sz w:val="16"/>
              </w:rPr>
              <w:t>Contractele reflectă alinierea la domeniile de intervenție 021 (Transferul de tehnologie și cooperarea între întreprinderi, centre de cercetare și sectorul educației) și/sau 022 (Proceduri de cercetare și inovare, transfer de tehnologie și cooperare între întreprinderi, cu accent pe economia cu emisii scăzute de dioxid de carbon și pe reziliența și adaptarea la schimbările climatice).</w:t>
            </w:r>
            <w:r>
              <w:rPr>
                <w:noProof/>
              </w:rPr>
              <w:t xml:space="preserve"> </w:t>
            </w:r>
            <w:r>
              <w:rPr>
                <w:noProof/>
                <w:sz w:val="16"/>
              </w:rPr>
              <w:t>Termenii de referință includ criterii de eligibilitate care asigură faptul că proiectele selectate respectă Orientările tehnice de „a nu prejudicia în mod semnificativ” (2021/C58/01) prin utilizarea unei liste de excludere și a cerinței de conformitate cu legislația UE și națională relevantă în materie de mediu.</w:t>
            </w:r>
          </w:p>
        </w:tc>
      </w:tr>
      <w:tr w:rsidR="00A15990" w14:paraId="5DDFFD35" w14:textId="77777777">
        <w:trPr>
          <w:trHeight w:val="1366"/>
        </w:trPr>
        <w:tc>
          <w:tcPr>
            <w:tcW w:w="1134" w:type="dxa"/>
            <w:shd w:val="clear" w:color="auto" w:fill="C4EFCE"/>
            <w:vAlign w:val="center"/>
            <w:hideMark/>
          </w:tcPr>
          <w:p w14:paraId="4A7C31C4" w14:textId="77777777" w:rsidR="00A15990" w:rsidRDefault="00686A62">
            <w:pPr>
              <w:pStyle w:val="P68B1DB1-Normal7"/>
              <w:spacing w:after="0" w:line="240" w:lineRule="auto"/>
              <w:jc w:val="center"/>
              <w:rPr>
                <w:rFonts w:eastAsia="Times New Roman" w:cs="Calibri"/>
                <w:noProof/>
              </w:rPr>
            </w:pPr>
            <w:r>
              <w:rPr>
                <w:noProof/>
              </w:rPr>
              <w:t>5.10</w:t>
            </w:r>
          </w:p>
        </w:tc>
        <w:tc>
          <w:tcPr>
            <w:tcW w:w="1165" w:type="dxa"/>
            <w:shd w:val="clear" w:color="auto" w:fill="C4EFCE"/>
            <w:vAlign w:val="center"/>
            <w:hideMark/>
          </w:tcPr>
          <w:p w14:paraId="198E11A9" w14:textId="77777777" w:rsidR="00A15990" w:rsidRDefault="00686A62">
            <w:pPr>
              <w:pStyle w:val="P68B1DB1-Normal8"/>
              <w:spacing w:after="0" w:line="240" w:lineRule="auto"/>
              <w:jc w:val="center"/>
              <w:rPr>
                <w:rFonts w:eastAsia="Times New Roman" w:cs="Calibri"/>
                <w:noProof/>
              </w:rPr>
            </w:pPr>
            <w:r>
              <w:rPr>
                <w:noProof/>
              </w:rPr>
              <w:t>RE-C05-i02</w:t>
            </w:r>
          </w:p>
        </w:tc>
        <w:tc>
          <w:tcPr>
            <w:tcW w:w="976" w:type="dxa"/>
            <w:shd w:val="clear" w:color="auto" w:fill="C4EFCE"/>
            <w:vAlign w:val="center"/>
            <w:hideMark/>
          </w:tcPr>
          <w:p w14:paraId="7A48319F"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EA48790" w14:textId="77777777" w:rsidR="00A15990" w:rsidRDefault="00686A62">
            <w:pPr>
              <w:pStyle w:val="P68B1DB1-Normal8"/>
              <w:spacing w:after="0" w:line="240" w:lineRule="auto"/>
              <w:jc w:val="center"/>
              <w:rPr>
                <w:rFonts w:eastAsia="Times New Roman" w:cs="Calibri"/>
                <w:noProof/>
              </w:rPr>
            </w:pPr>
            <w:r>
              <w:rPr>
                <w:noProof/>
              </w:rPr>
              <w:t>Societăți care beneficiază de serviciile furnizate de entitățile de interfață, inclusiv laboratoarele de colaborare – Colabs</w:t>
            </w:r>
          </w:p>
        </w:tc>
        <w:tc>
          <w:tcPr>
            <w:tcW w:w="2029" w:type="dxa"/>
            <w:shd w:val="clear" w:color="auto" w:fill="C4EFCE"/>
            <w:vAlign w:val="center"/>
            <w:hideMark/>
          </w:tcPr>
          <w:p w14:paraId="48F1813E"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3F810DF"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0EAC23B1"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CE1E755" w14:textId="77777777" w:rsidR="00A15990" w:rsidRDefault="00686A62">
            <w:pPr>
              <w:pStyle w:val="P68B1DB1-Normal8"/>
              <w:spacing w:after="0" w:line="240" w:lineRule="auto"/>
              <w:jc w:val="center"/>
              <w:rPr>
                <w:rFonts w:eastAsia="Times New Roman" w:cs="Calibri"/>
                <w:noProof/>
              </w:rPr>
            </w:pPr>
            <w:r>
              <w:rPr>
                <w:noProof/>
              </w:rPr>
              <w:t>500</w:t>
            </w:r>
          </w:p>
        </w:tc>
        <w:tc>
          <w:tcPr>
            <w:tcW w:w="514" w:type="dxa"/>
            <w:shd w:val="clear" w:color="auto" w:fill="C4EFCE"/>
            <w:vAlign w:val="center"/>
            <w:hideMark/>
          </w:tcPr>
          <w:p w14:paraId="0174A44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72CE65E5"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327EDF0" w14:textId="77777777" w:rsidR="00A15990" w:rsidRDefault="00686A62">
            <w:pPr>
              <w:pStyle w:val="P68B1DB1-Normal8"/>
              <w:spacing w:after="0" w:line="240" w:lineRule="auto"/>
              <w:jc w:val="both"/>
              <w:rPr>
                <w:rFonts w:eastAsia="Times New Roman" w:cs="Calibri"/>
                <w:noProof/>
              </w:rPr>
            </w:pPr>
            <w:r>
              <w:rPr>
                <w:noProof/>
              </w:rPr>
              <w:t>Rapoartele de punere în aplicare care trebuie prezentate anual de entitățile de interfață permit măsurarea progreselor cantitative în raport cu obiectivele specifice luate la alocarea finanțării de bază, în special numărul de întreprinderi care beneficiază de serviciile furnizate.</w:t>
            </w:r>
          </w:p>
        </w:tc>
      </w:tr>
      <w:tr w:rsidR="00A15990" w14:paraId="296A7EE2" w14:textId="77777777">
        <w:trPr>
          <w:trHeight w:val="420"/>
        </w:trPr>
        <w:tc>
          <w:tcPr>
            <w:tcW w:w="1134" w:type="dxa"/>
            <w:shd w:val="clear" w:color="auto" w:fill="C4EFCE"/>
            <w:vAlign w:val="center"/>
            <w:hideMark/>
          </w:tcPr>
          <w:p w14:paraId="7501BF2E" w14:textId="0A9B9B12" w:rsidR="00A15990" w:rsidRDefault="00686A62">
            <w:pPr>
              <w:pStyle w:val="P68B1DB1-Normal7"/>
              <w:spacing w:after="0" w:line="240" w:lineRule="auto"/>
              <w:jc w:val="center"/>
              <w:rPr>
                <w:rFonts w:eastAsia="Times New Roman" w:cs="Calibri"/>
                <w:noProof/>
              </w:rPr>
            </w:pPr>
            <w:r>
              <w:rPr>
                <w:noProof/>
              </w:rPr>
              <w:t>5.11</w:t>
            </w:r>
          </w:p>
        </w:tc>
        <w:tc>
          <w:tcPr>
            <w:tcW w:w="1165" w:type="dxa"/>
            <w:shd w:val="clear" w:color="auto" w:fill="C4EFCE"/>
            <w:vAlign w:val="center"/>
            <w:hideMark/>
          </w:tcPr>
          <w:p w14:paraId="5F103B40" w14:textId="77777777" w:rsidR="00A15990" w:rsidRDefault="00686A62">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BDE3B0" w14:textId="77777777" w:rsidR="00A15990" w:rsidRDefault="00686A62">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BD49DD1" w14:textId="77777777" w:rsidR="00A15990" w:rsidRDefault="00686A62">
            <w:pPr>
              <w:pStyle w:val="P68B1DB1-Normal8"/>
              <w:spacing w:after="0" w:line="240" w:lineRule="auto"/>
              <w:jc w:val="center"/>
              <w:rPr>
                <w:rFonts w:eastAsia="Times New Roman" w:cs="Calibri"/>
                <w:noProof/>
              </w:rPr>
            </w:pPr>
            <w:r>
              <w:rPr>
                <w:noProof/>
              </w:rPr>
              <w:t xml:space="preserve">Procedura de licitație pentru proiecte de cercetare și inovare </w:t>
            </w:r>
          </w:p>
        </w:tc>
        <w:tc>
          <w:tcPr>
            <w:tcW w:w="2029" w:type="dxa"/>
            <w:shd w:val="clear" w:color="auto" w:fill="C4EFCE"/>
            <w:vAlign w:val="center"/>
            <w:hideMark/>
          </w:tcPr>
          <w:p w14:paraId="56B754AF" w14:textId="77777777" w:rsidR="00A15990" w:rsidRDefault="00686A62">
            <w:pPr>
              <w:pStyle w:val="P68B1DB1-Normal8"/>
              <w:spacing w:after="0" w:line="240" w:lineRule="auto"/>
              <w:jc w:val="center"/>
              <w:rPr>
                <w:rFonts w:eastAsia="Times New Roman" w:cs="Calibri"/>
                <w:noProof/>
              </w:rPr>
            </w:pPr>
            <w:r>
              <w:rPr>
                <w:noProof/>
              </w:rPr>
              <w:t xml:space="preserve">Publicarea anunțului de deschidere a unei proceduri de licitație pentru proiecte de cercetare și inovare </w:t>
            </w:r>
          </w:p>
        </w:tc>
        <w:tc>
          <w:tcPr>
            <w:tcW w:w="982" w:type="dxa"/>
            <w:shd w:val="clear" w:color="auto" w:fill="C4EFCE"/>
            <w:vAlign w:val="center"/>
            <w:hideMark/>
          </w:tcPr>
          <w:p w14:paraId="52389DDB"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10CC40E" w14:textId="77777777" w:rsidR="00A15990" w:rsidRDefault="00686A62">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1CA43B3" w14:textId="77777777" w:rsidR="00A15990" w:rsidRDefault="00686A62">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793F21D" w14:textId="77777777" w:rsidR="00A15990" w:rsidRDefault="00686A62">
            <w:pPr>
              <w:pStyle w:val="P68B1DB1-Normal8"/>
              <w:spacing w:after="0" w:line="240" w:lineRule="auto"/>
              <w:jc w:val="center"/>
              <w:rPr>
                <w:rFonts w:eastAsia="Times New Roman" w:cs="Calibri"/>
                <w:noProof/>
              </w:rPr>
            </w:pPr>
            <w:r>
              <w:rPr>
                <w:noProof/>
              </w:rPr>
              <w:t>TRIMESTRUL 3</w:t>
            </w:r>
          </w:p>
        </w:tc>
        <w:tc>
          <w:tcPr>
            <w:tcW w:w="747" w:type="dxa"/>
            <w:shd w:val="clear" w:color="auto" w:fill="C4EFCE"/>
            <w:vAlign w:val="center"/>
            <w:hideMark/>
          </w:tcPr>
          <w:p w14:paraId="51BBEBF8" w14:textId="77777777" w:rsidR="00A15990" w:rsidRDefault="00686A62">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09C4175C" w14:textId="77777777" w:rsidR="00A15990" w:rsidRDefault="00686A62">
            <w:pPr>
              <w:pStyle w:val="P68B1DB1-Normal8"/>
              <w:spacing w:after="0" w:line="240" w:lineRule="auto"/>
              <w:jc w:val="both"/>
              <w:rPr>
                <w:rFonts w:eastAsia="Times New Roman" w:cs="Calibri"/>
                <w:noProof/>
              </w:rPr>
            </w:pPr>
            <w:r>
              <w:rPr>
                <w:noProof/>
              </w:rPr>
              <w:t xml:space="preserve">Lansarea de licitații pentru programe/proiecte de cercetare și inovare care urmează să fie finanțate în cadrul inițiativelor Agendei de inovare pentru agricultură 2030. </w:t>
            </w:r>
          </w:p>
          <w:p w14:paraId="424377D2" w14:textId="77777777" w:rsidR="00A15990" w:rsidRDefault="00A15990">
            <w:pPr>
              <w:spacing w:after="0" w:line="240" w:lineRule="auto"/>
              <w:jc w:val="both"/>
              <w:rPr>
                <w:rFonts w:ascii="Calibri" w:eastAsia="Times New Roman" w:hAnsi="Calibri" w:cs="Calibri"/>
                <w:noProof/>
                <w:sz w:val="16"/>
              </w:rPr>
            </w:pPr>
          </w:p>
          <w:p w14:paraId="4EAA924A" w14:textId="77777777" w:rsidR="00A15990" w:rsidRDefault="00686A62">
            <w:pPr>
              <w:pStyle w:val="P68B1DB1-Normal8"/>
              <w:spacing w:after="0" w:line="240" w:lineRule="auto"/>
              <w:jc w:val="both"/>
              <w:rPr>
                <w:rFonts w:eastAsia="Times New Roman" w:cs="Calibri"/>
                <w:noProof/>
              </w:rPr>
            </w:pPr>
            <w:r>
              <w:rPr>
                <w:noProof/>
              </w:rPr>
              <w:t xml:space="preserve">Termenii de referință includ criterii de eligibilitate care garantează că proiectele selectate respectă Orientările tehnice de „a nu prejudicia în mod semnificativ” (2021/C58/01) prin utilizarea unei liste de excludere și a cerinței de conformitate cu legislația UE și națională relevantă în materie de mediu. Criteriile de selecție asigură faptul că proiectele se axează pe: </w:t>
            </w:r>
          </w:p>
          <w:p w14:paraId="6AB443B7" w14:textId="3523683F" w:rsidR="00A15990" w:rsidRDefault="00686A62">
            <w:pPr>
              <w:pStyle w:val="P68B1DB1-Normal8"/>
              <w:spacing w:after="0" w:line="240" w:lineRule="auto"/>
              <w:rPr>
                <w:rFonts w:eastAsia="Times New Roman" w:cs="Calibri"/>
                <w:noProof/>
              </w:rPr>
            </w:pPr>
            <w:r>
              <w:rPr>
                <w:noProof/>
              </w:rPr>
              <w:t xml:space="preserve">privind economia cu emisii scăzute de dioxid de carbon, reziliența și adaptarea la schimbările climatice, prin reducerea emisiilor, creșterea sechestrării carbonului sau consolidarea rezilienței și a adaptării la schimbările climatice, reflectând cerințele domeniului de intervenție 022, astfel cum se indică în anexa VI la Regulamentul privind MRR </w:t>
            </w:r>
          </w:p>
          <w:p w14:paraId="31587418" w14:textId="3A5A6E5D" w:rsidR="00A15990" w:rsidRDefault="00686A62">
            <w:pPr>
              <w:pStyle w:val="P68B1DB1-Normal8"/>
              <w:spacing w:after="0" w:line="240" w:lineRule="auto"/>
              <w:jc w:val="both"/>
              <w:rPr>
                <w:rFonts w:eastAsia="Times New Roman" w:cs="Calibri"/>
                <w:noProof/>
              </w:rPr>
            </w:pPr>
            <w:r>
              <w:rPr>
                <w:noProof/>
              </w:rPr>
              <w:t>— sau privind proiectele de C &amp;Dîn domeniul digitalizării, cum ar fi portalul agricol unic, trecerea la tehnologia digitală și proiectele de C &amp;Ireferitoare la lanțurile valorice, reflectând cerințele domeniului de intervenție 009.</w:t>
            </w:r>
          </w:p>
        </w:tc>
      </w:tr>
      <w:tr w:rsidR="00A15990" w14:paraId="00335F0E" w14:textId="77777777">
        <w:trPr>
          <w:trHeight w:val="1347"/>
        </w:trPr>
        <w:tc>
          <w:tcPr>
            <w:tcW w:w="1134" w:type="dxa"/>
            <w:shd w:val="clear" w:color="auto" w:fill="C4EFCE"/>
            <w:vAlign w:val="center"/>
            <w:hideMark/>
          </w:tcPr>
          <w:p w14:paraId="6928F1B6" w14:textId="77777777" w:rsidR="00A15990" w:rsidRDefault="00686A62">
            <w:pPr>
              <w:pStyle w:val="P68B1DB1-Normal7"/>
              <w:spacing w:after="0" w:line="240" w:lineRule="auto"/>
              <w:jc w:val="center"/>
              <w:rPr>
                <w:rFonts w:eastAsia="Times New Roman" w:cs="Calibri"/>
                <w:noProof/>
              </w:rPr>
            </w:pPr>
            <w:r>
              <w:rPr>
                <w:noProof/>
              </w:rPr>
              <w:t>5.12</w:t>
            </w:r>
          </w:p>
        </w:tc>
        <w:tc>
          <w:tcPr>
            <w:tcW w:w="1165" w:type="dxa"/>
            <w:shd w:val="clear" w:color="auto" w:fill="C4EFCE"/>
            <w:vAlign w:val="center"/>
            <w:hideMark/>
          </w:tcPr>
          <w:p w14:paraId="62CDCC6D" w14:textId="77777777" w:rsidR="00A15990" w:rsidRDefault="00686A62">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0C284E5D"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152F452" w14:textId="77777777" w:rsidR="00A15990" w:rsidRDefault="00686A62">
            <w:pPr>
              <w:pStyle w:val="P68B1DB1-Normal8"/>
              <w:spacing w:after="0" w:line="240" w:lineRule="auto"/>
              <w:jc w:val="center"/>
              <w:rPr>
                <w:rFonts w:eastAsia="Times New Roman" w:cs="Calibri"/>
                <w:noProof/>
              </w:rPr>
            </w:pPr>
            <w:r>
              <w:rPr>
                <w:noProof/>
              </w:rPr>
              <w:t xml:space="preserve">Finalizarea proiectelor de inovare și cercetare axate pe aspectele ecologice ale Agendei de inovare pentru agricultură 2030 </w:t>
            </w:r>
          </w:p>
        </w:tc>
        <w:tc>
          <w:tcPr>
            <w:tcW w:w="2029" w:type="dxa"/>
            <w:shd w:val="clear" w:color="auto" w:fill="C4EFCE"/>
            <w:vAlign w:val="center"/>
            <w:hideMark/>
          </w:tcPr>
          <w:p w14:paraId="6673998C"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BD66CB2"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6C14CFFD"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757C0954" w14:textId="77777777" w:rsidR="00A15990" w:rsidRDefault="00686A62">
            <w:pPr>
              <w:pStyle w:val="P68B1DB1-Normal8"/>
              <w:spacing w:after="0" w:line="240" w:lineRule="auto"/>
              <w:jc w:val="center"/>
              <w:rPr>
                <w:rFonts w:eastAsia="Times New Roman" w:cs="Calibri"/>
                <w:noProof/>
              </w:rPr>
            </w:pPr>
            <w:r>
              <w:rPr>
                <w:noProof/>
              </w:rPr>
              <w:t>100</w:t>
            </w:r>
          </w:p>
        </w:tc>
        <w:tc>
          <w:tcPr>
            <w:tcW w:w="514" w:type="dxa"/>
            <w:shd w:val="clear" w:color="auto" w:fill="C4EFCE"/>
            <w:vAlign w:val="center"/>
            <w:hideMark/>
          </w:tcPr>
          <w:p w14:paraId="327ED56D" w14:textId="77777777" w:rsidR="00A15990" w:rsidRDefault="00686A62">
            <w:pPr>
              <w:pStyle w:val="P68B1DB1-Normal8"/>
              <w:spacing w:after="0" w:line="240" w:lineRule="auto"/>
              <w:jc w:val="center"/>
              <w:rPr>
                <w:rFonts w:eastAsia="Times New Roman" w:cs="Calibri"/>
                <w:noProof/>
              </w:rPr>
            </w:pPr>
            <w:r>
              <w:rPr>
                <w:noProof/>
              </w:rPr>
              <w:t>TRIMESTRUL 3</w:t>
            </w:r>
          </w:p>
        </w:tc>
        <w:tc>
          <w:tcPr>
            <w:tcW w:w="747" w:type="dxa"/>
            <w:shd w:val="clear" w:color="auto" w:fill="C4EFCE"/>
            <w:vAlign w:val="center"/>
            <w:hideMark/>
          </w:tcPr>
          <w:p w14:paraId="46CE7E74"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7AD60965" w14:textId="77777777" w:rsidR="00A15990" w:rsidRDefault="00686A62">
            <w:pPr>
              <w:pStyle w:val="P68B1DB1-Normal8"/>
              <w:spacing w:after="0" w:line="240" w:lineRule="auto"/>
              <w:jc w:val="both"/>
              <w:rPr>
                <w:rFonts w:eastAsia="Times New Roman" w:cs="Calibri"/>
                <w:noProof/>
              </w:rPr>
            </w:pPr>
            <w:r>
              <w:rPr>
                <w:noProof/>
              </w:rPr>
              <w:t>Au fost finanțate și finalizate în total 100 de proiecte de C &amp;I. Sprijin pentru proiectele și programele de cercetare și inovare care contribuie la cel puțin una dintre cele 15 de inițiative ale Agendei de inovare și care se axează pe economia cu emisii scăzute de dioxid de carbon, pe reziliență și pe adaptarea la schimbările climatice.</w:t>
            </w:r>
          </w:p>
        </w:tc>
      </w:tr>
      <w:tr w:rsidR="00A15990" w14:paraId="58EE858D" w14:textId="77777777">
        <w:trPr>
          <w:trHeight w:val="1406"/>
        </w:trPr>
        <w:tc>
          <w:tcPr>
            <w:tcW w:w="1134" w:type="dxa"/>
            <w:shd w:val="clear" w:color="auto" w:fill="C4EFCE"/>
            <w:vAlign w:val="center"/>
            <w:hideMark/>
          </w:tcPr>
          <w:p w14:paraId="4DD25D33" w14:textId="77777777" w:rsidR="00A15990" w:rsidRDefault="00686A62">
            <w:pPr>
              <w:pStyle w:val="P68B1DB1-Normal7"/>
              <w:spacing w:after="0" w:line="240" w:lineRule="auto"/>
              <w:jc w:val="center"/>
              <w:rPr>
                <w:rFonts w:eastAsia="Times New Roman" w:cs="Calibri"/>
                <w:noProof/>
              </w:rPr>
            </w:pPr>
            <w:r>
              <w:rPr>
                <w:noProof/>
              </w:rPr>
              <w:t>5.13</w:t>
            </w:r>
          </w:p>
        </w:tc>
        <w:tc>
          <w:tcPr>
            <w:tcW w:w="1165" w:type="dxa"/>
            <w:shd w:val="clear" w:color="auto" w:fill="C4EFCE"/>
            <w:vAlign w:val="center"/>
            <w:hideMark/>
          </w:tcPr>
          <w:p w14:paraId="1A4E4173" w14:textId="77777777" w:rsidR="00A15990" w:rsidRDefault="00686A62">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4731AB6C"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78A357C" w14:textId="147DED00" w:rsidR="00A15990" w:rsidRDefault="00686A62">
            <w:pPr>
              <w:pStyle w:val="P68B1DB1-Normal8"/>
              <w:spacing w:after="0" w:line="240" w:lineRule="auto"/>
              <w:jc w:val="center"/>
              <w:rPr>
                <w:rFonts w:eastAsia="Times New Roman" w:cs="Calibri"/>
                <w:noProof/>
              </w:rPr>
            </w:pPr>
            <w:r>
              <w:rPr>
                <w:noProof/>
              </w:rPr>
              <w:t>Finalizarea a 5 proiecte de structurare axate pe aspectele digitale ale Agendei de inovare pentru agricultură 2030</w:t>
            </w:r>
          </w:p>
        </w:tc>
        <w:tc>
          <w:tcPr>
            <w:tcW w:w="2029" w:type="dxa"/>
            <w:shd w:val="clear" w:color="auto" w:fill="C4EFCE"/>
            <w:vAlign w:val="center"/>
            <w:hideMark/>
          </w:tcPr>
          <w:p w14:paraId="6C32BB6C"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14D1538"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3533F044"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4954256" w14:textId="77777777" w:rsidR="00A15990" w:rsidRDefault="00686A62">
            <w:pPr>
              <w:pStyle w:val="P68B1DB1-Normal8"/>
              <w:spacing w:after="0" w:line="240" w:lineRule="auto"/>
              <w:jc w:val="center"/>
              <w:rPr>
                <w:rFonts w:eastAsia="Times New Roman" w:cs="Calibri"/>
                <w:noProof/>
              </w:rPr>
            </w:pPr>
            <w:r>
              <w:rPr>
                <w:noProof/>
              </w:rPr>
              <w:t>5</w:t>
            </w:r>
          </w:p>
        </w:tc>
        <w:tc>
          <w:tcPr>
            <w:tcW w:w="514" w:type="dxa"/>
            <w:shd w:val="clear" w:color="auto" w:fill="C4EFCE"/>
            <w:vAlign w:val="center"/>
            <w:hideMark/>
          </w:tcPr>
          <w:p w14:paraId="0D1EAAB9" w14:textId="77777777" w:rsidR="00A15990" w:rsidRDefault="00686A62">
            <w:pPr>
              <w:pStyle w:val="P68B1DB1-Normal8"/>
              <w:spacing w:after="0" w:line="240" w:lineRule="auto"/>
              <w:jc w:val="center"/>
              <w:rPr>
                <w:rFonts w:eastAsia="Times New Roman" w:cs="Calibri"/>
                <w:noProof/>
              </w:rPr>
            </w:pPr>
            <w:r>
              <w:rPr>
                <w:noProof/>
              </w:rPr>
              <w:t>TRIMESTRUL 3</w:t>
            </w:r>
          </w:p>
        </w:tc>
        <w:tc>
          <w:tcPr>
            <w:tcW w:w="747" w:type="dxa"/>
            <w:shd w:val="clear" w:color="auto" w:fill="C4EFCE"/>
            <w:vAlign w:val="center"/>
            <w:hideMark/>
          </w:tcPr>
          <w:p w14:paraId="6C8827A3"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E658D67" w14:textId="77777777" w:rsidR="00A15990" w:rsidRDefault="00686A62">
            <w:pPr>
              <w:pStyle w:val="P68B1DB1-Normal8"/>
              <w:spacing w:after="0" w:line="240" w:lineRule="auto"/>
              <w:jc w:val="both"/>
              <w:rPr>
                <w:rFonts w:eastAsia="Times New Roman" w:cs="Calibri"/>
                <w:noProof/>
              </w:rPr>
            </w:pPr>
            <w:r>
              <w:rPr>
                <w:noProof/>
              </w:rPr>
              <w:t>În total, au fost finanțate și finalizate 5 de proiecte de structurare a inovării. Sprijin pentru proiectele de inovare care contribuie la cel puțin una dintre cele 15 de inițiative ale Agendei de inovare și se axează pe digitalizare.</w:t>
            </w:r>
          </w:p>
        </w:tc>
      </w:tr>
      <w:tr w:rsidR="00A15990" w14:paraId="0325433E" w14:textId="77777777">
        <w:trPr>
          <w:trHeight w:val="420"/>
        </w:trPr>
        <w:tc>
          <w:tcPr>
            <w:tcW w:w="1134" w:type="dxa"/>
            <w:shd w:val="clear" w:color="auto" w:fill="C4EFCE"/>
            <w:vAlign w:val="center"/>
            <w:hideMark/>
          </w:tcPr>
          <w:p w14:paraId="2C9BBFE3" w14:textId="330406B0" w:rsidR="00A15990" w:rsidRDefault="00686A62">
            <w:pPr>
              <w:pStyle w:val="P68B1DB1-Normal7"/>
              <w:spacing w:after="0" w:line="240" w:lineRule="auto"/>
              <w:jc w:val="center"/>
              <w:rPr>
                <w:rFonts w:eastAsia="Times New Roman" w:cs="Calibri"/>
                <w:noProof/>
              </w:rPr>
            </w:pPr>
            <w:r>
              <w:rPr>
                <w:noProof/>
              </w:rPr>
              <w:t>5.14</w:t>
            </w:r>
          </w:p>
        </w:tc>
        <w:tc>
          <w:tcPr>
            <w:tcW w:w="1165" w:type="dxa"/>
            <w:shd w:val="clear" w:color="auto" w:fill="C4EFCE"/>
            <w:vAlign w:val="center"/>
            <w:hideMark/>
          </w:tcPr>
          <w:p w14:paraId="6E1D1FCF" w14:textId="77777777" w:rsidR="00A15990" w:rsidRDefault="00686A62">
            <w:pPr>
              <w:pStyle w:val="P68B1DB1-Normal8"/>
              <w:spacing w:after="0" w:line="240" w:lineRule="auto"/>
              <w:jc w:val="center"/>
              <w:rPr>
                <w:rFonts w:eastAsia="Times New Roman" w:cs="Calibri"/>
                <w:noProof/>
              </w:rPr>
            </w:pPr>
            <w:r>
              <w:rPr>
                <w:noProof/>
              </w:rPr>
              <w:t>RE-C05-i03</w:t>
            </w:r>
          </w:p>
        </w:tc>
        <w:tc>
          <w:tcPr>
            <w:tcW w:w="976" w:type="dxa"/>
            <w:shd w:val="clear" w:color="auto" w:fill="C4EFCE"/>
            <w:vAlign w:val="center"/>
            <w:hideMark/>
          </w:tcPr>
          <w:p w14:paraId="6E5A38D0"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6428411" w14:textId="77777777" w:rsidR="00A15990" w:rsidRDefault="00686A62">
            <w:pPr>
              <w:pStyle w:val="P68B1DB1-Normal8"/>
              <w:spacing w:after="0" w:line="240" w:lineRule="auto"/>
              <w:jc w:val="center"/>
              <w:rPr>
                <w:rFonts w:eastAsia="Times New Roman" w:cs="Calibri"/>
                <w:noProof/>
              </w:rPr>
            </w:pPr>
            <w:r>
              <w:rPr>
                <w:noProof/>
              </w:rPr>
              <w:t>Reînnoirea/modernizarea centrelor de inovare agricolă</w:t>
            </w:r>
          </w:p>
        </w:tc>
        <w:tc>
          <w:tcPr>
            <w:tcW w:w="2029" w:type="dxa"/>
            <w:shd w:val="clear" w:color="auto" w:fill="C4EFCE"/>
            <w:vAlign w:val="center"/>
            <w:hideMark/>
          </w:tcPr>
          <w:p w14:paraId="10D14770"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7AE3D33"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026E9922"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7F56B64" w14:textId="77777777" w:rsidR="00A15990" w:rsidRDefault="00686A62">
            <w:pPr>
              <w:pStyle w:val="P68B1DB1-Normal8"/>
              <w:spacing w:after="0" w:line="240" w:lineRule="auto"/>
              <w:jc w:val="center"/>
              <w:rPr>
                <w:rFonts w:eastAsia="Times New Roman" w:cs="Calibri"/>
                <w:noProof/>
              </w:rPr>
            </w:pPr>
            <w:r>
              <w:rPr>
                <w:noProof/>
              </w:rPr>
              <w:t>24</w:t>
            </w:r>
          </w:p>
        </w:tc>
        <w:tc>
          <w:tcPr>
            <w:tcW w:w="514" w:type="dxa"/>
            <w:shd w:val="clear" w:color="auto" w:fill="C4EFCE"/>
            <w:vAlign w:val="center"/>
            <w:hideMark/>
          </w:tcPr>
          <w:p w14:paraId="4D25C47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3CEE80EA"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03E8138F" w14:textId="77777777" w:rsidR="00A15990" w:rsidRDefault="00686A62">
            <w:pPr>
              <w:pStyle w:val="P68B1DB1-Normal8"/>
              <w:spacing w:after="0" w:line="240" w:lineRule="auto"/>
              <w:jc w:val="both"/>
              <w:rPr>
                <w:rFonts w:eastAsia="Times New Roman" w:cs="Calibri"/>
                <w:noProof/>
              </w:rPr>
            </w:pPr>
            <w:r>
              <w:rPr>
                <w:noProof/>
              </w:rPr>
              <w:t xml:space="preserve">Crearea unei rețele naționale de inovare pentru agricultură, alimentație și dezvoltare rurală, prin modernizarea a 24 de centre de inovare. </w:t>
            </w:r>
          </w:p>
          <w:p w14:paraId="24D464A1" w14:textId="2ABBDBB2" w:rsidR="00A15990" w:rsidRDefault="00686A62">
            <w:pPr>
              <w:pStyle w:val="P68B1DB1-Normal8"/>
              <w:spacing w:after="0" w:line="240" w:lineRule="auto"/>
              <w:jc w:val="both"/>
              <w:rPr>
                <w:rFonts w:eastAsia="Times New Roman" w:cs="Calibri"/>
                <w:noProof/>
              </w:rPr>
            </w:pPr>
            <w:r>
              <w:rPr>
                <w:noProof/>
              </w:rPr>
              <w:t>Aceste investiții includ în principal renovarea infrastructurilor și achiziționarea de echipamente științifice de laborator.</w:t>
            </w:r>
          </w:p>
        </w:tc>
      </w:tr>
      <w:tr w:rsidR="00A15990" w14:paraId="60F470C2" w14:textId="77777777">
        <w:trPr>
          <w:trHeight w:val="1050"/>
        </w:trPr>
        <w:tc>
          <w:tcPr>
            <w:tcW w:w="1134" w:type="dxa"/>
            <w:shd w:val="clear" w:color="auto" w:fill="C4EFCE"/>
            <w:vAlign w:val="center"/>
            <w:hideMark/>
          </w:tcPr>
          <w:p w14:paraId="5E8992DB" w14:textId="470E960C" w:rsidR="00A15990" w:rsidRDefault="00686A62">
            <w:pPr>
              <w:pStyle w:val="P68B1DB1-Normal7"/>
              <w:spacing w:after="0" w:line="240" w:lineRule="auto"/>
              <w:jc w:val="center"/>
              <w:rPr>
                <w:rFonts w:eastAsia="Times New Roman" w:cs="Calibri"/>
                <w:noProof/>
              </w:rPr>
            </w:pPr>
            <w:r>
              <w:rPr>
                <w:noProof/>
              </w:rPr>
              <w:t>5.15</w:t>
            </w:r>
          </w:p>
        </w:tc>
        <w:tc>
          <w:tcPr>
            <w:tcW w:w="1165" w:type="dxa"/>
            <w:shd w:val="clear" w:color="auto" w:fill="C4EFCE"/>
            <w:vAlign w:val="center"/>
            <w:hideMark/>
          </w:tcPr>
          <w:p w14:paraId="5ED3CA87" w14:textId="77777777" w:rsidR="00A15990" w:rsidRDefault="00686A62">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7E0D7741" w14:textId="77777777" w:rsidR="00A15990" w:rsidRDefault="00686A62">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5A4ED20" w14:textId="77777777" w:rsidR="00A15990" w:rsidRDefault="00686A62">
            <w:pPr>
              <w:pStyle w:val="P68B1DB1-Normal8"/>
              <w:spacing w:after="0" w:line="240" w:lineRule="auto"/>
              <w:jc w:val="center"/>
              <w:rPr>
                <w:rFonts w:eastAsia="Times New Roman" w:cs="Calibri"/>
                <w:noProof/>
              </w:rPr>
            </w:pPr>
            <w:r>
              <w:rPr>
                <w:noProof/>
              </w:rPr>
              <w:t>Adoptarea unui regulament privind Instrumentul de recapitalizare a întreprinderilor din Azore</w:t>
            </w:r>
          </w:p>
        </w:tc>
        <w:tc>
          <w:tcPr>
            <w:tcW w:w="2029" w:type="dxa"/>
            <w:shd w:val="clear" w:color="auto" w:fill="C4EFCE"/>
            <w:vAlign w:val="center"/>
            <w:hideMark/>
          </w:tcPr>
          <w:p w14:paraId="0329CFDA" w14:textId="77777777" w:rsidR="00A15990" w:rsidRDefault="00686A62">
            <w:pPr>
              <w:pStyle w:val="P68B1DB1-Normal8"/>
              <w:spacing w:after="0" w:line="240" w:lineRule="auto"/>
              <w:jc w:val="center"/>
              <w:rPr>
                <w:rFonts w:eastAsia="Times New Roman" w:cs="Calibri"/>
                <w:noProof/>
              </w:rPr>
            </w:pPr>
            <w:r>
              <w:rPr>
                <w:noProof/>
              </w:rPr>
              <w:t xml:space="preserve">Adoptarea de către guvernul regional al Insulelor Azore a unui regulament de instituire a măsurii de capitalizare și de mandatare a adoptării de către </w:t>
            </w:r>
            <w:r>
              <w:rPr>
                <w:i/>
                <w:noProof/>
              </w:rPr>
              <w:t>Banco Portugues de Fomento</w:t>
            </w:r>
            <w:r>
              <w:rPr>
                <w:noProof/>
              </w:rPr>
              <w:t xml:space="preserve"> a unei politici de investiții</w:t>
            </w:r>
          </w:p>
        </w:tc>
        <w:tc>
          <w:tcPr>
            <w:tcW w:w="982" w:type="dxa"/>
            <w:shd w:val="clear" w:color="auto" w:fill="C4EFCE"/>
            <w:vAlign w:val="center"/>
            <w:hideMark/>
          </w:tcPr>
          <w:p w14:paraId="76178EE5"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0D1E9F3" w14:textId="77777777" w:rsidR="00A15990" w:rsidRDefault="00686A62">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008B1F9" w14:textId="77777777" w:rsidR="00A15990" w:rsidRDefault="00686A62">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38A054C2" w14:textId="77777777" w:rsidR="00A15990" w:rsidRDefault="00686A62">
            <w:pPr>
              <w:pStyle w:val="P68B1DB1-Normal8"/>
              <w:spacing w:after="0" w:line="240" w:lineRule="auto"/>
              <w:jc w:val="center"/>
              <w:rPr>
                <w:rFonts w:eastAsia="Times New Roman" w:cs="Calibri"/>
                <w:noProof/>
              </w:rPr>
            </w:pPr>
            <w:r>
              <w:rPr>
                <w:noProof/>
              </w:rPr>
              <w:t>TRIMESTRUL 3</w:t>
            </w:r>
          </w:p>
        </w:tc>
        <w:tc>
          <w:tcPr>
            <w:tcW w:w="747" w:type="dxa"/>
            <w:shd w:val="clear" w:color="auto" w:fill="C4EFCE"/>
            <w:vAlign w:val="center"/>
            <w:hideMark/>
          </w:tcPr>
          <w:p w14:paraId="79E05766" w14:textId="77777777" w:rsidR="00A15990" w:rsidRDefault="00686A62">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2D2AB17A" w14:textId="77777777" w:rsidR="00A15990" w:rsidRDefault="00686A62">
            <w:pPr>
              <w:pStyle w:val="P68B1DB1-Normal8"/>
              <w:spacing w:after="0" w:line="240" w:lineRule="auto"/>
              <w:jc w:val="both"/>
              <w:rPr>
                <w:rFonts w:eastAsia="Times New Roman" w:cs="Calibri"/>
                <w:noProof/>
              </w:rPr>
            </w:pPr>
            <w:r>
              <w:rPr>
                <w:noProof/>
              </w:rPr>
              <w:t xml:space="preserve">Adoptarea de către guvernul regional al Insulelor Azore a unui regulament de stabilire a măsurii de capitalizare și care prevede adoptarea de către </w:t>
            </w:r>
            <w:r>
              <w:rPr>
                <w:i/>
                <w:noProof/>
              </w:rPr>
              <w:t>Banco Portugues de Fomento</w:t>
            </w:r>
            <w:r>
              <w:rPr>
                <w:noProof/>
              </w:rPr>
              <w:t xml:space="preserve"> a unei politici de investiții care definește, printre altele, criteriile de eligibilitate și de selecție a societăților beneficiare pentru fiecare tip de instrumente financiare. Regulamentul impune ca politica de investiții să conțină criterii de selecție/eligibilitate pentru conformitatea societăților care beneficiază de sprijin cu Orientările tehnice privind principiul de „a nu aduce prejudicii semnificative” (2021/C58/01), care impun: </w:t>
            </w:r>
          </w:p>
          <w:p w14:paraId="34F2D080" w14:textId="77777777" w:rsidR="00A15990" w:rsidRDefault="00686A62">
            <w:pPr>
              <w:pStyle w:val="P68B1DB1-Normal8"/>
              <w:spacing w:after="0" w:line="240" w:lineRule="auto"/>
              <w:jc w:val="both"/>
              <w:rPr>
                <w:rFonts w:eastAsia="Times New Roman" w:cs="Calibri"/>
                <w:noProof/>
              </w:rPr>
            </w:pPr>
            <w:r>
              <w:rPr>
                <w:noProof/>
              </w:rPr>
              <w:t xml:space="preserve">utilizarea evaluării durabilității; </w:t>
            </w:r>
          </w:p>
          <w:p w14:paraId="65116438" w14:textId="77777777" w:rsidR="00A15990" w:rsidRDefault="00686A62">
            <w:pPr>
              <w:pStyle w:val="P68B1DB1-Normal8"/>
              <w:spacing w:after="0" w:line="240" w:lineRule="auto"/>
              <w:jc w:val="both"/>
              <w:rPr>
                <w:rFonts w:eastAsia="Times New Roman" w:cs="Calibri"/>
                <w:noProof/>
              </w:rPr>
            </w:pPr>
            <w:r>
              <w:rPr>
                <w:noProof/>
              </w:rPr>
              <w:t xml:space="preserve">— o listă de excludere care cuprinde următoarele elemente: </w:t>
            </w:r>
          </w:p>
          <w:p w14:paraId="436922B2"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Investiții legate de combustibilii fosili (inclusiv utilizarea în aval), cu excepția energiei termice/electrice pe bază de gaze naturale care respectă condițiile stabilite în anexa III la orientările privind principiul DNSH</w:t>
            </w:r>
          </w:p>
          <w:p w14:paraId="14409371"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Activități</w:t>
            </w:r>
            <w:r>
              <w:rPr>
                <w:rFonts w:ascii="Times New Roman" w:hAnsi="Times New Roman"/>
                <w:noProof/>
                <w:sz w:val="14"/>
              </w:rPr>
              <w:t xml:space="preserve"> </w:t>
            </w:r>
            <w:r>
              <w:rPr>
                <w:rFonts w:ascii="Calibri" w:hAnsi="Calibri"/>
                <w:noProof/>
                <w:sz w:val="16"/>
              </w:rPr>
              <w:t xml:space="preserve">din cadrul ETS cu emisii de CO2 echivalente estimate care nu sunt mai mici decât valorile de referință relevante stabilite pentru alocarea cu titlu gratuit. </w:t>
            </w:r>
          </w:p>
          <w:p w14:paraId="55434946"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 xml:space="preserve">Investiții în instalații de eliminare a deșeurilor în depozite de deșeuri, în instalații de tratare mecano-biologică (TMB) și în incineratoare pentru tratarea deșeurilor. Lista de excludere nu se aplică instalațiilor dedicate exclusiv tratării deșeurilor periculoase nereciclabile; instalațiilor existente, în cazul în care investiția are ca scop creșterea eficienței energetice, captarea gazelor de eșapament pentru stocare sau utilizare sau recuperarea materialelor din cenușa de incinerare, cu condiția ca aceste investiții să nu conducă la o creștere a capacității de prelucrare a deșeurilor a instalațiilor sau la o prelungire a duratei de viață a instalației. </w:t>
            </w:r>
          </w:p>
          <w:p w14:paraId="344B3A1B"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Activități</w:t>
            </w:r>
            <w:r>
              <w:rPr>
                <w:rFonts w:ascii="Times New Roman" w:hAnsi="Times New Roman"/>
                <w:noProof/>
                <w:sz w:val="14"/>
              </w:rPr>
              <w:t xml:space="preserve"> </w:t>
            </w:r>
            <w:r>
              <w:rPr>
                <w:rFonts w:ascii="Calibri" w:hAnsi="Calibri"/>
                <w:noProof/>
                <w:sz w:val="16"/>
              </w:rPr>
              <w:t xml:space="preserve">în cazul cărora eliminarea pe termen lung a deșeurilor poate cauza daune pe termen lung mediului (de exemplu, deșeuri nucleare). </w:t>
            </w:r>
          </w:p>
          <w:p w14:paraId="1A84525D"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 xml:space="preserve">— C &amp;D&amp;Idedicată activelor și activităților de mai sus. </w:t>
            </w:r>
          </w:p>
          <w:p w14:paraId="54498B89" w14:textId="77777777" w:rsidR="00A15990" w:rsidRDefault="00686A62">
            <w:pPr>
              <w:pStyle w:val="P68B1DB1-Normal8"/>
              <w:spacing w:after="0" w:line="240" w:lineRule="auto"/>
              <w:jc w:val="both"/>
              <w:rPr>
                <w:rFonts w:eastAsia="Times New Roman" w:cs="Calibri"/>
                <w:noProof/>
              </w:rPr>
            </w:pPr>
            <w:r>
              <w:rPr>
                <w:noProof/>
              </w:rPr>
              <w:t>verificări obligatorii ale conformității juridice prin intermediul BPF și/sau al intermediarilor financiari selectați de acesta pentru tranzacțiile exceptate de la evaluarea durabilității</w:t>
            </w:r>
          </w:p>
          <w:p w14:paraId="2E85E023" w14:textId="05CE3EBD" w:rsidR="00A15990" w:rsidRDefault="00686A62">
            <w:pPr>
              <w:pStyle w:val="P68B1DB1-Normal8"/>
              <w:spacing w:after="0" w:line="240" w:lineRule="auto"/>
              <w:jc w:val="both"/>
              <w:rPr>
                <w:rFonts w:eastAsia="Times New Roman" w:cs="Calibri"/>
                <w:noProof/>
              </w:rPr>
            </w:pPr>
            <w:r>
              <w:rPr>
                <w:noProof/>
              </w:rPr>
              <w:t>— beneficiarii sprijinului sub formă de capitaluri proprii care obțin cel puțin 50 % din veniturile lor din activitățile enumerate în lista de excludere pentru a adopta și a publica planuri pentru tranziția verde.</w:t>
            </w:r>
          </w:p>
        </w:tc>
      </w:tr>
      <w:tr w:rsidR="00A15990" w14:paraId="140CEE72" w14:textId="77777777">
        <w:trPr>
          <w:trHeight w:val="1933"/>
        </w:trPr>
        <w:tc>
          <w:tcPr>
            <w:tcW w:w="1134" w:type="dxa"/>
            <w:shd w:val="clear" w:color="auto" w:fill="C4EFCE"/>
            <w:vAlign w:val="center"/>
            <w:hideMark/>
          </w:tcPr>
          <w:p w14:paraId="5D768A55" w14:textId="58B8B80D" w:rsidR="00A15990" w:rsidRDefault="00686A62">
            <w:pPr>
              <w:pStyle w:val="P68B1DB1-Normal7"/>
              <w:spacing w:after="0" w:line="240" w:lineRule="auto"/>
              <w:jc w:val="center"/>
              <w:rPr>
                <w:rFonts w:eastAsia="Times New Roman" w:cs="Calibri"/>
                <w:noProof/>
              </w:rPr>
            </w:pPr>
            <w:r>
              <w:rPr>
                <w:noProof/>
              </w:rPr>
              <w:t>5.16</w:t>
            </w:r>
          </w:p>
        </w:tc>
        <w:tc>
          <w:tcPr>
            <w:tcW w:w="1165" w:type="dxa"/>
            <w:shd w:val="clear" w:color="auto" w:fill="C4EFCE"/>
            <w:vAlign w:val="center"/>
            <w:hideMark/>
          </w:tcPr>
          <w:p w14:paraId="27A5C23C" w14:textId="77777777" w:rsidR="00A15990" w:rsidRDefault="00686A62">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1D194C18" w14:textId="77777777" w:rsidR="00A15990" w:rsidRDefault="00686A62">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6E88F574" w14:textId="77777777" w:rsidR="00A15990" w:rsidRDefault="00686A62">
            <w:pPr>
              <w:pStyle w:val="P68B1DB1-Normal8"/>
              <w:spacing w:after="0" w:line="240" w:lineRule="auto"/>
              <w:jc w:val="center"/>
              <w:rPr>
                <w:rFonts w:eastAsia="Times New Roman" w:cs="Calibri"/>
                <w:noProof/>
              </w:rPr>
            </w:pPr>
            <w:r>
              <w:rPr>
                <w:noProof/>
              </w:rPr>
              <w:t>Adoptarea politicii de investiții pentru Instrumentul de recapitalizare a întreprinderilor din Azore</w:t>
            </w:r>
          </w:p>
        </w:tc>
        <w:tc>
          <w:tcPr>
            <w:tcW w:w="2029" w:type="dxa"/>
            <w:shd w:val="clear" w:color="auto" w:fill="C4EFCE"/>
            <w:vAlign w:val="center"/>
            <w:hideMark/>
          </w:tcPr>
          <w:p w14:paraId="173D60F3" w14:textId="77777777" w:rsidR="00A15990" w:rsidRDefault="00686A62">
            <w:pPr>
              <w:pStyle w:val="P68B1DB1-Normal8"/>
              <w:spacing w:after="0" w:line="240" w:lineRule="auto"/>
              <w:jc w:val="center"/>
              <w:rPr>
                <w:rFonts w:eastAsia="Times New Roman" w:cs="Calibri"/>
                <w:noProof/>
              </w:rPr>
            </w:pPr>
            <w:r>
              <w:rPr>
                <w:noProof/>
              </w:rPr>
              <w:t>Adoptarea de către BPF a politicii de investiții care acoperă toate instrumentele financiare prevăzute în măsură.</w:t>
            </w:r>
          </w:p>
        </w:tc>
        <w:tc>
          <w:tcPr>
            <w:tcW w:w="982" w:type="dxa"/>
            <w:shd w:val="clear" w:color="auto" w:fill="C4EFCE"/>
            <w:vAlign w:val="center"/>
            <w:hideMark/>
          </w:tcPr>
          <w:p w14:paraId="28BCFCDB"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753D2856" w14:textId="77777777" w:rsidR="00A15990" w:rsidRDefault="00686A62">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46414FB9" w14:textId="77777777" w:rsidR="00A15990" w:rsidRDefault="00686A62">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529C3603" w14:textId="77777777" w:rsidR="00A15990" w:rsidRDefault="00686A62">
            <w:pPr>
              <w:pStyle w:val="P68B1DB1-Normal8"/>
              <w:spacing w:after="0" w:line="240" w:lineRule="auto"/>
              <w:jc w:val="center"/>
              <w:rPr>
                <w:rFonts w:eastAsia="Times New Roman" w:cs="Calibri"/>
                <w:noProof/>
              </w:rPr>
            </w:pPr>
            <w:r>
              <w:rPr>
                <w:noProof/>
              </w:rPr>
              <w:t>TRIMESTRUL 3</w:t>
            </w:r>
          </w:p>
        </w:tc>
        <w:tc>
          <w:tcPr>
            <w:tcW w:w="747" w:type="dxa"/>
            <w:shd w:val="clear" w:color="auto" w:fill="C4EFCE"/>
            <w:vAlign w:val="center"/>
            <w:hideMark/>
          </w:tcPr>
          <w:p w14:paraId="4DD0E7B5" w14:textId="77777777" w:rsidR="00A15990" w:rsidRDefault="00686A62">
            <w:pPr>
              <w:pStyle w:val="P68B1DB1-Normal8"/>
              <w:spacing w:after="0" w:line="240" w:lineRule="auto"/>
              <w:jc w:val="center"/>
              <w:rPr>
                <w:rFonts w:eastAsia="Times New Roman" w:cs="Calibri"/>
                <w:noProof/>
              </w:rPr>
            </w:pPr>
            <w:r>
              <w:rPr>
                <w:noProof/>
              </w:rPr>
              <w:t>2021</w:t>
            </w:r>
          </w:p>
        </w:tc>
        <w:tc>
          <w:tcPr>
            <w:tcW w:w="3919" w:type="dxa"/>
            <w:shd w:val="clear" w:color="auto" w:fill="C4EFCE"/>
            <w:vAlign w:val="center"/>
            <w:hideMark/>
          </w:tcPr>
          <w:p w14:paraId="6255E3B1" w14:textId="77777777" w:rsidR="00A15990" w:rsidRDefault="00686A62">
            <w:pPr>
              <w:pStyle w:val="P68B1DB1-Normal8"/>
              <w:spacing w:after="0" w:line="240" w:lineRule="auto"/>
              <w:jc w:val="both"/>
              <w:rPr>
                <w:rFonts w:eastAsia="Times New Roman" w:cs="Calibri"/>
                <w:noProof/>
              </w:rPr>
            </w:pPr>
            <w:r>
              <w:rPr>
                <w:noProof/>
              </w:rPr>
              <w:t>Adoptarea de către BPF a politicii de investiții care acoperă toate instrumentele financiare prevăzute în măsură. Politica de investiții este elaborată și adoptată de BPF în calitate de organism de administrare a vehiculului care deține participațiile rezultate din instrumentele financiare puse în aplicare pentru sprijinirea societăților selectate ca beneficiari. Politica de investiții reflectă criteriile de selecție/eligibilitate și angajamentele/obiectivele aplicabile stabilite în Regulamentul privind Instrumentul de recapitalizare a întreprinderilor din Insulele Azore.</w:t>
            </w:r>
          </w:p>
        </w:tc>
      </w:tr>
      <w:tr w:rsidR="00A15990" w14:paraId="787BD1C2" w14:textId="77777777">
        <w:trPr>
          <w:trHeight w:val="684"/>
        </w:trPr>
        <w:tc>
          <w:tcPr>
            <w:tcW w:w="1134" w:type="dxa"/>
            <w:shd w:val="clear" w:color="auto" w:fill="C4EFCE"/>
            <w:vAlign w:val="center"/>
            <w:hideMark/>
          </w:tcPr>
          <w:p w14:paraId="4F244987" w14:textId="77777777" w:rsidR="00A15990" w:rsidRDefault="00686A62">
            <w:pPr>
              <w:pStyle w:val="P68B1DB1-Normal7"/>
              <w:spacing w:after="0" w:line="240" w:lineRule="auto"/>
              <w:jc w:val="center"/>
              <w:rPr>
                <w:rFonts w:eastAsia="Times New Roman" w:cs="Calibri"/>
                <w:noProof/>
              </w:rPr>
            </w:pPr>
            <w:r>
              <w:rPr>
                <w:noProof/>
              </w:rPr>
              <w:t>5.17</w:t>
            </w:r>
          </w:p>
        </w:tc>
        <w:tc>
          <w:tcPr>
            <w:tcW w:w="1165" w:type="dxa"/>
            <w:shd w:val="clear" w:color="auto" w:fill="C4EFCE"/>
            <w:vAlign w:val="center"/>
            <w:hideMark/>
          </w:tcPr>
          <w:p w14:paraId="3E25B023" w14:textId="77777777" w:rsidR="00A15990" w:rsidRDefault="00686A62">
            <w:pPr>
              <w:pStyle w:val="P68B1DB1-Normal8"/>
              <w:spacing w:after="0" w:line="240" w:lineRule="auto"/>
              <w:jc w:val="center"/>
              <w:rPr>
                <w:rFonts w:eastAsia="Times New Roman" w:cs="Calibri"/>
                <w:noProof/>
              </w:rPr>
            </w:pPr>
            <w:r>
              <w:rPr>
                <w:noProof/>
              </w:rPr>
              <w:t>RE-C05-i04-RAA</w:t>
            </w:r>
          </w:p>
        </w:tc>
        <w:tc>
          <w:tcPr>
            <w:tcW w:w="976" w:type="dxa"/>
            <w:shd w:val="clear" w:color="auto" w:fill="C4EFCE"/>
            <w:vAlign w:val="center"/>
            <w:hideMark/>
          </w:tcPr>
          <w:p w14:paraId="46E2FE5D"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0D4512D9" w14:textId="77777777" w:rsidR="00A15990" w:rsidRDefault="00686A62">
            <w:pPr>
              <w:pStyle w:val="P68B1DB1-Normal8"/>
              <w:spacing w:after="0" w:line="240" w:lineRule="auto"/>
              <w:jc w:val="center"/>
              <w:rPr>
                <w:rFonts w:eastAsia="Times New Roman" w:cs="Calibri"/>
                <w:noProof/>
              </w:rPr>
            </w:pPr>
            <w:r>
              <w:rPr>
                <w:noProof/>
              </w:rPr>
              <w:t xml:space="preserve">Furnizarea unei sume totale de 125 000 000 EUR societăților nefinanciare din regiune sub formă de sprijin sub formă de capital propriu și cvasicapital, în conformitate cu politica de investiții a instrumentului. Cu titlu indicativ, se estimează că cel puțin 300 de întreprinderi vor fi sprijinite prin finalizarea planului. </w:t>
            </w:r>
          </w:p>
        </w:tc>
        <w:tc>
          <w:tcPr>
            <w:tcW w:w="2029" w:type="dxa"/>
            <w:shd w:val="clear" w:color="auto" w:fill="C4EFCE"/>
            <w:vAlign w:val="center"/>
            <w:hideMark/>
          </w:tcPr>
          <w:p w14:paraId="2DF0D93D"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CABACD" w14:textId="77777777" w:rsidR="00A15990" w:rsidRDefault="00686A62">
            <w:pPr>
              <w:pStyle w:val="P68B1DB1-Normal8"/>
              <w:spacing w:after="0" w:line="240" w:lineRule="auto"/>
              <w:jc w:val="center"/>
              <w:rPr>
                <w:rFonts w:eastAsia="Times New Roman" w:cs="Calibri"/>
                <w:noProof/>
              </w:rPr>
            </w:pPr>
            <w:r>
              <w:rPr>
                <w:noProof/>
              </w:rPr>
              <w:t>EUR</w:t>
            </w:r>
          </w:p>
        </w:tc>
        <w:tc>
          <w:tcPr>
            <w:tcW w:w="982" w:type="dxa"/>
            <w:shd w:val="clear" w:color="auto" w:fill="C4EFCE"/>
            <w:vAlign w:val="center"/>
            <w:hideMark/>
          </w:tcPr>
          <w:p w14:paraId="7B6D0271"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20039D31" w14:textId="77777777" w:rsidR="00A15990" w:rsidRDefault="00686A62">
            <w:pPr>
              <w:pStyle w:val="P68B1DB1-Normal8"/>
              <w:spacing w:after="0" w:line="240" w:lineRule="auto"/>
              <w:jc w:val="center"/>
              <w:rPr>
                <w:rFonts w:eastAsia="Times New Roman" w:cs="Calibri"/>
                <w:noProof/>
              </w:rPr>
            </w:pPr>
            <w:r>
              <w:rPr>
                <w:noProof/>
              </w:rPr>
              <w:t xml:space="preserve">125 000 000 </w:t>
            </w:r>
          </w:p>
        </w:tc>
        <w:tc>
          <w:tcPr>
            <w:tcW w:w="514" w:type="dxa"/>
            <w:shd w:val="clear" w:color="auto" w:fill="C4EFCE"/>
            <w:vAlign w:val="center"/>
            <w:hideMark/>
          </w:tcPr>
          <w:p w14:paraId="45B22942"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5EE59541"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89BB502" w14:textId="31A7E732" w:rsidR="00A15990" w:rsidRDefault="00686A62">
            <w:pPr>
              <w:pStyle w:val="P68B1DB1-Normal8"/>
              <w:spacing w:after="0" w:line="240" w:lineRule="auto"/>
              <w:jc w:val="both"/>
              <w:rPr>
                <w:rFonts w:eastAsia="Times New Roman" w:cs="Calibri"/>
                <w:noProof/>
              </w:rPr>
            </w:pPr>
            <w:r>
              <w:rPr>
                <w:noProof/>
              </w:rPr>
              <w:t xml:space="preserve">Furnizarea unei sume totale de 125 000 000 EUR societăților nefinanciare din regiune sub formă de sprijin sub formă de capital propriu și cvasicapital, în conformitate cu politica de investiții adoptată pentru Instrumentul de recapitalizare a întreprinderilor din Azore. </w:t>
            </w:r>
            <w:r>
              <w:rPr>
                <w:i/>
                <w:noProof/>
              </w:rPr>
              <w:t>Banco Portugues de Fomento</w:t>
            </w:r>
            <w:r>
              <w:rPr>
                <w:noProof/>
              </w:rPr>
              <w:t xml:space="preserve"> este responsabilă de raportarea operațiunilor efectuate. În acest raport, pe lângă mișcările financiare, se publică o listă a societăților beneficiare, NIF și CAE ale acestora, data contractului, finanțarea acordată, tipul de instrument financiar utilizat și, după caz, entitatea financiară implicată.</w:t>
            </w:r>
          </w:p>
        </w:tc>
      </w:tr>
      <w:tr w:rsidR="00A15990" w14:paraId="22040B4A" w14:textId="77777777">
        <w:trPr>
          <w:trHeight w:val="1480"/>
        </w:trPr>
        <w:tc>
          <w:tcPr>
            <w:tcW w:w="1134" w:type="dxa"/>
            <w:shd w:val="clear" w:color="auto" w:fill="C4EFCE"/>
            <w:vAlign w:val="center"/>
            <w:hideMark/>
          </w:tcPr>
          <w:p w14:paraId="412AFCFB" w14:textId="77777777" w:rsidR="00A15990" w:rsidRDefault="00686A62">
            <w:pPr>
              <w:pStyle w:val="P68B1DB1-Normal7"/>
              <w:spacing w:after="0" w:line="240" w:lineRule="auto"/>
              <w:jc w:val="center"/>
              <w:rPr>
                <w:rFonts w:eastAsia="Times New Roman" w:cs="Calibri"/>
                <w:noProof/>
              </w:rPr>
            </w:pPr>
            <w:r>
              <w:rPr>
                <w:noProof/>
              </w:rPr>
              <w:t>5.18</w:t>
            </w:r>
          </w:p>
        </w:tc>
        <w:tc>
          <w:tcPr>
            <w:tcW w:w="1165" w:type="dxa"/>
            <w:shd w:val="clear" w:color="auto" w:fill="C4EFCE"/>
            <w:vAlign w:val="center"/>
            <w:hideMark/>
          </w:tcPr>
          <w:p w14:paraId="29380C9D" w14:textId="77777777" w:rsidR="00A15990" w:rsidRDefault="00686A62">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648BE4C" w14:textId="77777777" w:rsidR="00A15990" w:rsidRDefault="00686A62">
            <w:pPr>
              <w:pStyle w:val="P68B1DB1-Normal8"/>
              <w:spacing w:after="0" w:line="240" w:lineRule="auto"/>
              <w:jc w:val="center"/>
              <w:rPr>
                <w:rFonts w:eastAsia="Times New Roman" w:cs="Calibri"/>
                <w:noProof/>
              </w:rPr>
            </w:pPr>
            <w:r>
              <w:rPr>
                <w:noProof/>
              </w:rPr>
              <w:t>M</w:t>
            </w:r>
          </w:p>
        </w:tc>
        <w:tc>
          <w:tcPr>
            <w:tcW w:w="1668" w:type="dxa"/>
            <w:shd w:val="clear" w:color="auto" w:fill="C4EFCE"/>
            <w:vAlign w:val="center"/>
            <w:hideMark/>
          </w:tcPr>
          <w:p w14:paraId="0FB94C98" w14:textId="77777777" w:rsidR="00A15990" w:rsidRDefault="00686A62">
            <w:pPr>
              <w:pStyle w:val="P68B1DB1-Normal8"/>
              <w:spacing w:after="0" w:line="240" w:lineRule="auto"/>
              <w:jc w:val="center"/>
              <w:rPr>
                <w:rFonts w:eastAsia="Times New Roman" w:cs="Calibri"/>
                <w:noProof/>
              </w:rPr>
            </w:pPr>
            <w:r>
              <w:rPr>
                <w:noProof/>
              </w:rPr>
              <w:t>Publicarea Programului de inovare și digitalizare în agricultura din Azore</w:t>
            </w:r>
          </w:p>
        </w:tc>
        <w:tc>
          <w:tcPr>
            <w:tcW w:w="2029" w:type="dxa"/>
            <w:shd w:val="clear" w:color="auto" w:fill="C4EFCE"/>
            <w:vAlign w:val="center"/>
            <w:hideMark/>
          </w:tcPr>
          <w:p w14:paraId="52BC14AC" w14:textId="77777777" w:rsidR="00A15990" w:rsidRDefault="00686A62">
            <w:pPr>
              <w:pStyle w:val="P68B1DB1-Normal8"/>
              <w:spacing w:after="0" w:line="240" w:lineRule="auto"/>
              <w:jc w:val="center"/>
              <w:rPr>
                <w:rFonts w:eastAsia="Times New Roman" w:cs="Calibri"/>
                <w:noProof/>
              </w:rPr>
            </w:pPr>
            <w:r>
              <w:rPr>
                <w:noProof/>
              </w:rPr>
              <w:t>Publicarea Programului de inovare și digitalizare în agricultura din Azore</w:t>
            </w:r>
          </w:p>
        </w:tc>
        <w:tc>
          <w:tcPr>
            <w:tcW w:w="982" w:type="dxa"/>
            <w:shd w:val="clear" w:color="auto" w:fill="C4EFCE"/>
            <w:vAlign w:val="center"/>
            <w:hideMark/>
          </w:tcPr>
          <w:p w14:paraId="1471DFD5"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6FA49D95" w14:textId="77777777" w:rsidR="00A15990" w:rsidRDefault="00686A62">
            <w:pPr>
              <w:pStyle w:val="P68B1DB1-Normal8"/>
              <w:spacing w:after="0" w:line="240" w:lineRule="auto"/>
              <w:jc w:val="center"/>
              <w:rPr>
                <w:rFonts w:eastAsia="Times New Roman" w:cs="Calibri"/>
                <w:noProof/>
              </w:rPr>
            </w:pPr>
            <w:r>
              <w:rPr>
                <w:noProof/>
              </w:rPr>
              <w:t> </w:t>
            </w:r>
          </w:p>
        </w:tc>
        <w:tc>
          <w:tcPr>
            <w:tcW w:w="626" w:type="dxa"/>
            <w:shd w:val="clear" w:color="auto" w:fill="C4EFCE"/>
            <w:vAlign w:val="center"/>
            <w:hideMark/>
          </w:tcPr>
          <w:p w14:paraId="193E479B" w14:textId="77777777" w:rsidR="00A15990" w:rsidRDefault="00686A62">
            <w:pPr>
              <w:pStyle w:val="P68B1DB1-Normal8"/>
              <w:spacing w:after="0" w:line="240" w:lineRule="auto"/>
              <w:jc w:val="center"/>
              <w:rPr>
                <w:rFonts w:eastAsia="Times New Roman" w:cs="Calibri"/>
                <w:noProof/>
              </w:rPr>
            </w:pPr>
            <w:r>
              <w:rPr>
                <w:noProof/>
              </w:rPr>
              <w:t> </w:t>
            </w:r>
          </w:p>
        </w:tc>
        <w:tc>
          <w:tcPr>
            <w:tcW w:w="514" w:type="dxa"/>
            <w:shd w:val="clear" w:color="auto" w:fill="C4EFCE"/>
            <w:vAlign w:val="center"/>
            <w:hideMark/>
          </w:tcPr>
          <w:p w14:paraId="054DBD22" w14:textId="77777777" w:rsidR="00A15990" w:rsidRDefault="00686A62">
            <w:pPr>
              <w:pStyle w:val="P68B1DB1-Normal8"/>
              <w:spacing w:after="0" w:line="240" w:lineRule="auto"/>
              <w:jc w:val="center"/>
              <w:rPr>
                <w:rFonts w:eastAsia="Times New Roman" w:cs="Calibri"/>
                <w:noProof/>
              </w:rPr>
            </w:pPr>
            <w:r>
              <w:rPr>
                <w:noProof/>
              </w:rPr>
              <w:t>TRIMESTRUL 2</w:t>
            </w:r>
          </w:p>
        </w:tc>
        <w:tc>
          <w:tcPr>
            <w:tcW w:w="747" w:type="dxa"/>
            <w:shd w:val="clear" w:color="auto" w:fill="C4EFCE"/>
            <w:vAlign w:val="center"/>
            <w:hideMark/>
          </w:tcPr>
          <w:p w14:paraId="125D8132" w14:textId="77777777" w:rsidR="00A15990" w:rsidRDefault="00686A62">
            <w:pPr>
              <w:pStyle w:val="P68B1DB1-Normal8"/>
              <w:spacing w:after="0" w:line="240" w:lineRule="auto"/>
              <w:jc w:val="center"/>
              <w:rPr>
                <w:rFonts w:eastAsia="Times New Roman" w:cs="Calibri"/>
                <w:noProof/>
              </w:rPr>
            </w:pPr>
            <w:r>
              <w:rPr>
                <w:noProof/>
              </w:rPr>
              <w:t>2022</w:t>
            </w:r>
          </w:p>
        </w:tc>
        <w:tc>
          <w:tcPr>
            <w:tcW w:w="3919" w:type="dxa"/>
            <w:shd w:val="clear" w:color="auto" w:fill="C4EFCE"/>
            <w:vAlign w:val="center"/>
            <w:hideMark/>
          </w:tcPr>
          <w:p w14:paraId="2832055A" w14:textId="77777777" w:rsidR="00A15990" w:rsidRDefault="00686A62">
            <w:pPr>
              <w:pStyle w:val="P68B1DB1-Normal8"/>
              <w:spacing w:after="0" w:line="240" w:lineRule="auto"/>
              <w:jc w:val="both"/>
              <w:rPr>
                <w:rFonts w:eastAsia="Times New Roman" w:cs="Calibri"/>
                <w:noProof/>
              </w:rPr>
            </w:pPr>
            <w:r>
              <w:rPr>
                <w:noProof/>
              </w:rPr>
              <w:t>Publicarea unui program de inovare și digitalizare pentru agricultură în Azore, inclusiv a unui plan de dezvoltare a unei rețele de monitorizare și a unor anunțuri agricole la nivel insular, precum și a unui plan de tranziție către realitatea digitală și agricultura de precizie.</w:t>
            </w:r>
          </w:p>
        </w:tc>
      </w:tr>
      <w:tr w:rsidR="00A15990" w14:paraId="66C0B1D9" w14:textId="77777777">
        <w:trPr>
          <w:trHeight w:val="1446"/>
        </w:trPr>
        <w:tc>
          <w:tcPr>
            <w:tcW w:w="1134" w:type="dxa"/>
            <w:shd w:val="clear" w:color="auto" w:fill="C4EFCE"/>
            <w:vAlign w:val="center"/>
            <w:hideMark/>
          </w:tcPr>
          <w:p w14:paraId="1031D533" w14:textId="77777777" w:rsidR="00A15990" w:rsidRDefault="00686A62">
            <w:pPr>
              <w:pStyle w:val="P68B1DB1-Normal7"/>
              <w:spacing w:after="0" w:line="240" w:lineRule="auto"/>
              <w:jc w:val="center"/>
              <w:rPr>
                <w:rFonts w:eastAsia="Times New Roman" w:cs="Calibri"/>
                <w:noProof/>
              </w:rPr>
            </w:pPr>
            <w:r>
              <w:rPr>
                <w:noProof/>
              </w:rPr>
              <w:t>5.19</w:t>
            </w:r>
          </w:p>
        </w:tc>
        <w:tc>
          <w:tcPr>
            <w:tcW w:w="1165" w:type="dxa"/>
            <w:shd w:val="clear" w:color="auto" w:fill="C4EFCE"/>
            <w:vAlign w:val="center"/>
            <w:hideMark/>
          </w:tcPr>
          <w:p w14:paraId="62CCCBA9" w14:textId="77777777" w:rsidR="00A15990" w:rsidRDefault="00686A62">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65ADECD5"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5C638A6F" w14:textId="77777777" w:rsidR="00A15990" w:rsidRDefault="00686A62">
            <w:pPr>
              <w:pStyle w:val="P68B1DB1-Normal8"/>
              <w:spacing w:after="0" w:line="240" w:lineRule="auto"/>
              <w:jc w:val="center"/>
              <w:rPr>
                <w:rFonts w:eastAsia="Times New Roman" w:cs="Calibri"/>
                <w:noProof/>
              </w:rPr>
            </w:pPr>
            <w:r>
              <w:rPr>
                <w:noProof/>
              </w:rPr>
              <w:t>Noi (pentru a înlocui structurile învechite) sau recalificate responsabile cu sacrificarea animalelor și certificarea calității laptelui și a siguranței alimentare</w:t>
            </w:r>
          </w:p>
        </w:tc>
        <w:tc>
          <w:tcPr>
            <w:tcW w:w="2029" w:type="dxa"/>
            <w:shd w:val="clear" w:color="auto" w:fill="C4EFCE"/>
            <w:vAlign w:val="center"/>
            <w:hideMark/>
          </w:tcPr>
          <w:p w14:paraId="71C2A31B"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52F83A65"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17E50AA3"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48D5CFCE" w14:textId="77777777" w:rsidR="00A15990" w:rsidRDefault="00686A62">
            <w:pPr>
              <w:pStyle w:val="P68B1DB1-Normal8"/>
              <w:spacing w:after="0" w:line="240" w:lineRule="auto"/>
              <w:jc w:val="center"/>
              <w:rPr>
                <w:rFonts w:eastAsia="Times New Roman" w:cs="Calibri"/>
                <w:noProof/>
              </w:rPr>
            </w:pPr>
            <w:r>
              <w:rPr>
                <w:noProof/>
              </w:rPr>
              <w:t>3</w:t>
            </w:r>
          </w:p>
        </w:tc>
        <w:tc>
          <w:tcPr>
            <w:tcW w:w="514" w:type="dxa"/>
            <w:shd w:val="clear" w:color="auto" w:fill="C4EFCE"/>
            <w:vAlign w:val="center"/>
            <w:hideMark/>
          </w:tcPr>
          <w:p w14:paraId="4D91DB57" w14:textId="115D2735"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6F9879B6" w14:textId="3DB5DF04"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4782248B" w14:textId="77777777" w:rsidR="00A15990" w:rsidRDefault="00686A62">
            <w:pPr>
              <w:pStyle w:val="P68B1DB1-Normal8"/>
              <w:spacing w:after="0" w:line="240" w:lineRule="auto"/>
              <w:jc w:val="both"/>
              <w:rPr>
                <w:rFonts w:eastAsia="Times New Roman" w:cs="Calibri"/>
                <w:noProof/>
              </w:rPr>
            </w:pPr>
            <w:r>
              <w:rPr>
                <w:noProof/>
              </w:rPr>
              <w:t>Finalizarea lucrărilor privind structuri noi (pentru a înlocui structurile învechite) sau recalificate responsabile cu sacrificarea animalelor, certificarea calității laptelui și siguranța alimentară, pentru a răspunde evoluției și cererilor tot mai mari ale piețelor, încorporând investiții în inovarea proceselor de producție și de organizare, în tranziția verde, în tranziția digitală și în bunăstarea animalelor.</w:t>
            </w:r>
          </w:p>
        </w:tc>
      </w:tr>
      <w:tr w:rsidR="00A15990" w14:paraId="0FE8C46B" w14:textId="77777777">
        <w:trPr>
          <w:trHeight w:val="1550"/>
        </w:trPr>
        <w:tc>
          <w:tcPr>
            <w:tcW w:w="1134" w:type="dxa"/>
            <w:shd w:val="clear" w:color="auto" w:fill="C4EFCE"/>
            <w:vAlign w:val="center"/>
            <w:hideMark/>
          </w:tcPr>
          <w:p w14:paraId="0973CB5F" w14:textId="77777777" w:rsidR="00A15990" w:rsidRDefault="00686A62">
            <w:pPr>
              <w:pStyle w:val="P68B1DB1-Normal7"/>
              <w:spacing w:after="0" w:line="240" w:lineRule="auto"/>
              <w:jc w:val="center"/>
              <w:rPr>
                <w:rFonts w:eastAsia="Times New Roman" w:cs="Calibri"/>
                <w:noProof/>
              </w:rPr>
            </w:pPr>
            <w:r>
              <w:rPr>
                <w:noProof/>
              </w:rPr>
              <w:t>5.20</w:t>
            </w:r>
          </w:p>
        </w:tc>
        <w:tc>
          <w:tcPr>
            <w:tcW w:w="1165" w:type="dxa"/>
            <w:shd w:val="clear" w:color="auto" w:fill="C4EFCE"/>
            <w:vAlign w:val="center"/>
            <w:hideMark/>
          </w:tcPr>
          <w:p w14:paraId="3A4DA074" w14:textId="77777777" w:rsidR="00A15990" w:rsidRDefault="00686A62">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4F114AAC"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656A7BBA" w14:textId="77777777" w:rsidR="00A15990" w:rsidRDefault="00686A62">
            <w:pPr>
              <w:pStyle w:val="P68B1DB1-Normal8"/>
              <w:spacing w:after="0" w:line="240" w:lineRule="auto"/>
              <w:jc w:val="center"/>
              <w:rPr>
                <w:rFonts w:eastAsia="Times New Roman" w:cs="Calibri"/>
                <w:noProof/>
              </w:rPr>
            </w:pPr>
            <w:r>
              <w:rPr>
                <w:noProof/>
              </w:rPr>
              <w:t>Proiecte sprijinite în cadrul schemelor de sprijin pentru restructurarea întreprinderilor din sectorul prelucrării și comercializării</w:t>
            </w:r>
          </w:p>
        </w:tc>
        <w:tc>
          <w:tcPr>
            <w:tcW w:w="2029" w:type="dxa"/>
            <w:shd w:val="clear" w:color="auto" w:fill="C4EFCE"/>
            <w:vAlign w:val="center"/>
            <w:hideMark/>
          </w:tcPr>
          <w:p w14:paraId="41198735"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0B64C0AB"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33400D61"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3B4E10FD" w14:textId="77777777" w:rsidR="00A15990" w:rsidRDefault="00686A62">
            <w:pPr>
              <w:pStyle w:val="P68B1DB1-Normal8"/>
              <w:spacing w:after="0" w:line="240" w:lineRule="auto"/>
              <w:jc w:val="center"/>
              <w:rPr>
                <w:rFonts w:eastAsia="Times New Roman" w:cs="Calibri"/>
                <w:noProof/>
              </w:rPr>
            </w:pPr>
            <w:r>
              <w:rPr>
                <w:noProof/>
              </w:rPr>
              <w:t>9</w:t>
            </w:r>
          </w:p>
        </w:tc>
        <w:tc>
          <w:tcPr>
            <w:tcW w:w="514" w:type="dxa"/>
            <w:shd w:val="clear" w:color="auto" w:fill="C4EFCE"/>
            <w:vAlign w:val="center"/>
            <w:hideMark/>
          </w:tcPr>
          <w:p w14:paraId="3CEE901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271A24C3"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310109FC" w14:textId="77777777" w:rsidR="00A15990" w:rsidRDefault="00686A62">
            <w:pPr>
              <w:pStyle w:val="P68B1DB1-Normal8"/>
              <w:spacing w:after="0" w:line="240" w:lineRule="auto"/>
              <w:jc w:val="both"/>
              <w:rPr>
                <w:rFonts w:eastAsia="Times New Roman" w:cs="Calibri"/>
                <w:noProof/>
              </w:rPr>
            </w:pPr>
            <w:r>
              <w:rPr>
                <w:noProof/>
              </w:rPr>
              <w:t>Proiecte aprobate și contractate în cadrul schemelor de sprijin pentru inovarea în produse și procese de producție și organizare, tranziția verde și tranziția digitală, care vizează restructurarea întreprinderilor din sectorul prelucrării și comercializării agricole.</w:t>
            </w:r>
          </w:p>
        </w:tc>
      </w:tr>
      <w:tr w:rsidR="00A15990" w14:paraId="0924F5C3" w14:textId="77777777">
        <w:trPr>
          <w:trHeight w:val="971"/>
        </w:trPr>
        <w:tc>
          <w:tcPr>
            <w:tcW w:w="1134" w:type="dxa"/>
            <w:shd w:val="clear" w:color="auto" w:fill="C4EFCE"/>
            <w:vAlign w:val="center"/>
            <w:hideMark/>
          </w:tcPr>
          <w:p w14:paraId="6FC3F55D" w14:textId="77777777" w:rsidR="00A15990" w:rsidRDefault="00686A62">
            <w:pPr>
              <w:pStyle w:val="P68B1DB1-Normal7"/>
              <w:spacing w:after="0" w:line="240" w:lineRule="auto"/>
              <w:jc w:val="center"/>
              <w:rPr>
                <w:rFonts w:eastAsia="Times New Roman" w:cs="Calibri"/>
                <w:noProof/>
              </w:rPr>
            </w:pPr>
            <w:r>
              <w:rPr>
                <w:noProof/>
              </w:rPr>
              <w:t>5.21</w:t>
            </w:r>
          </w:p>
        </w:tc>
        <w:tc>
          <w:tcPr>
            <w:tcW w:w="1165" w:type="dxa"/>
            <w:shd w:val="clear" w:color="auto" w:fill="C4EFCE"/>
            <w:vAlign w:val="center"/>
            <w:hideMark/>
          </w:tcPr>
          <w:p w14:paraId="4BA8EF57" w14:textId="77777777" w:rsidR="00A15990" w:rsidRDefault="00686A62">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2AF2AE81"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3B1D52CC" w14:textId="77777777" w:rsidR="00A15990" w:rsidRDefault="00686A62">
            <w:pPr>
              <w:pStyle w:val="P68B1DB1-Normal8"/>
              <w:spacing w:after="0" w:line="240" w:lineRule="auto"/>
              <w:jc w:val="center"/>
              <w:rPr>
                <w:rFonts w:eastAsia="Times New Roman" w:cs="Calibri"/>
                <w:noProof/>
              </w:rPr>
            </w:pPr>
            <w:r>
              <w:rPr>
                <w:noProof/>
              </w:rPr>
              <w:t>Proiecte sprijinite în cadrul schemelor de sprijin pentru restructurarea exploatațiilor agricole</w:t>
            </w:r>
          </w:p>
        </w:tc>
        <w:tc>
          <w:tcPr>
            <w:tcW w:w="2029" w:type="dxa"/>
            <w:shd w:val="clear" w:color="auto" w:fill="C4EFCE"/>
            <w:vAlign w:val="center"/>
            <w:hideMark/>
          </w:tcPr>
          <w:p w14:paraId="6EFE1DF8"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25D0A656"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5089F2CE"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5734A034" w14:textId="30F54B9E" w:rsidR="00A15990" w:rsidRDefault="00686A62">
            <w:pPr>
              <w:pStyle w:val="P68B1DB1-Normal8"/>
              <w:spacing w:after="0" w:line="240" w:lineRule="auto"/>
              <w:jc w:val="center"/>
              <w:rPr>
                <w:rFonts w:eastAsia="Times New Roman" w:cs="Calibri"/>
                <w:noProof/>
              </w:rPr>
            </w:pPr>
            <w:r>
              <w:rPr>
                <w:noProof/>
              </w:rPr>
              <w:t>178</w:t>
            </w:r>
          </w:p>
        </w:tc>
        <w:tc>
          <w:tcPr>
            <w:tcW w:w="514" w:type="dxa"/>
            <w:shd w:val="clear" w:color="auto" w:fill="C4EFCE"/>
            <w:vAlign w:val="center"/>
            <w:hideMark/>
          </w:tcPr>
          <w:p w14:paraId="18F2BCCA"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33415951"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6D0C3A49" w14:textId="77777777" w:rsidR="00A15990" w:rsidRDefault="00686A62">
            <w:pPr>
              <w:pStyle w:val="P68B1DB1-Normal8"/>
              <w:spacing w:after="0" w:line="240" w:lineRule="auto"/>
              <w:jc w:val="both"/>
              <w:rPr>
                <w:rFonts w:eastAsia="Times New Roman" w:cs="Calibri"/>
                <w:noProof/>
              </w:rPr>
            </w:pPr>
            <w:r>
              <w:rPr>
                <w:noProof/>
              </w:rPr>
              <w:t>Proiecte aprobate și contractate în cadrul schemelor de sprijin pentru inovarea în produse și procese de producție și organizare, tranziția verde și tranziția digitală, care vizează restructurarea fermelor.</w:t>
            </w:r>
          </w:p>
        </w:tc>
      </w:tr>
      <w:tr w:rsidR="00A15990" w14:paraId="7B64C750" w14:textId="77777777">
        <w:trPr>
          <w:trHeight w:val="67"/>
        </w:trPr>
        <w:tc>
          <w:tcPr>
            <w:tcW w:w="1134" w:type="dxa"/>
            <w:shd w:val="clear" w:color="auto" w:fill="C4EFCE"/>
            <w:vAlign w:val="center"/>
            <w:hideMark/>
          </w:tcPr>
          <w:p w14:paraId="69F4FB66" w14:textId="77777777" w:rsidR="00A15990" w:rsidRDefault="00686A62">
            <w:pPr>
              <w:pStyle w:val="P68B1DB1-Normal7"/>
              <w:spacing w:after="0" w:line="240" w:lineRule="auto"/>
              <w:jc w:val="center"/>
              <w:rPr>
                <w:rFonts w:eastAsia="Times New Roman" w:cs="Calibri"/>
                <w:noProof/>
              </w:rPr>
            </w:pPr>
            <w:r>
              <w:rPr>
                <w:noProof/>
              </w:rPr>
              <w:t>5.22</w:t>
            </w:r>
          </w:p>
        </w:tc>
        <w:tc>
          <w:tcPr>
            <w:tcW w:w="1165" w:type="dxa"/>
            <w:shd w:val="clear" w:color="auto" w:fill="C4EFCE"/>
            <w:vAlign w:val="center"/>
            <w:hideMark/>
          </w:tcPr>
          <w:p w14:paraId="765D75C8" w14:textId="77777777" w:rsidR="00A15990" w:rsidRDefault="00686A62">
            <w:pPr>
              <w:pStyle w:val="P68B1DB1-Normal8"/>
              <w:spacing w:after="0" w:line="240" w:lineRule="auto"/>
              <w:jc w:val="center"/>
              <w:rPr>
                <w:rFonts w:eastAsia="Times New Roman" w:cs="Calibri"/>
                <w:noProof/>
              </w:rPr>
            </w:pPr>
            <w:r>
              <w:rPr>
                <w:noProof/>
              </w:rPr>
              <w:t>RE-C05-i05-RAA</w:t>
            </w:r>
          </w:p>
        </w:tc>
        <w:tc>
          <w:tcPr>
            <w:tcW w:w="976" w:type="dxa"/>
            <w:shd w:val="clear" w:color="auto" w:fill="C4EFCE"/>
            <w:vAlign w:val="center"/>
            <w:hideMark/>
          </w:tcPr>
          <w:p w14:paraId="7A7C71EA" w14:textId="77777777" w:rsidR="00A15990" w:rsidRDefault="00686A62">
            <w:pPr>
              <w:pStyle w:val="P68B1DB1-Normal8"/>
              <w:spacing w:after="0" w:line="240" w:lineRule="auto"/>
              <w:jc w:val="center"/>
              <w:rPr>
                <w:rFonts w:eastAsia="Times New Roman" w:cs="Calibri"/>
                <w:noProof/>
              </w:rPr>
            </w:pPr>
            <w:r>
              <w:rPr>
                <w:noProof/>
              </w:rPr>
              <w:t>T</w:t>
            </w:r>
          </w:p>
        </w:tc>
        <w:tc>
          <w:tcPr>
            <w:tcW w:w="1668" w:type="dxa"/>
            <w:shd w:val="clear" w:color="auto" w:fill="C4EFCE"/>
            <w:vAlign w:val="center"/>
            <w:hideMark/>
          </w:tcPr>
          <w:p w14:paraId="132B0C61" w14:textId="77777777" w:rsidR="00A15990" w:rsidRDefault="00686A62">
            <w:pPr>
              <w:pStyle w:val="P68B1DB1-Normal8"/>
              <w:spacing w:after="0" w:line="240" w:lineRule="auto"/>
              <w:jc w:val="center"/>
              <w:rPr>
                <w:rFonts w:eastAsia="Times New Roman" w:cs="Calibri"/>
                <w:noProof/>
              </w:rPr>
            </w:pPr>
            <w:r>
              <w:rPr>
                <w:noProof/>
              </w:rPr>
              <w:t>Ferme care beneficiază de sprijin tehnic specializat în cadrul Programului de capacitare a fermierilor</w:t>
            </w:r>
          </w:p>
        </w:tc>
        <w:tc>
          <w:tcPr>
            <w:tcW w:w="2029" w:type="dxa"/>
            <w:shd w:val="clear" w:color="auto" w:fill="C4EFCE"/>
            <w:vAlign w:val="center"/>
            <w:hideMark/>
          </w:tcPr>
          <w:p w14:paraId="7586AE24" w14:textId="77777777" w:rsidR="00A15990" w:rsidRDefault="00686A62">
            <w:pPr>
              <w:pStyle w:val="P68B1DB1-Normal8"/>
              <w:spacing w:after="0" w:line="240" w:lineRule="auto"/>
              <w:jc w:val="center"/>
              <w:rPr>
                <w:rFonts w:eastAsia="Times New Roman" w:cs="Calibri"/>
                <w:noProof/>
              </w:rPr>
            </w:pPr>
            <w:r>
              <w:rPr>
                <w:noProof/>
              </w:rPr>
              <w:t> </w:t>
            </w:r>
          </w:p>
        </w:tc>
        <w:tc>
          <w:tcPr>
            <w:tcW w:w="982" w:type="dxa"/>
            <w:shd w:val="clear" w:color="auto" w:fill="C4EFCE"/>
            <w:vAlign w:val="center"/>
            <w:hideMark/>
          </w:tcPr>
          <w:p w14:paraId="4AD3912A" w14:textId="77777777" w:rsidR="00A15990" w:rsidRDefault="00686A62">
            <w:pPr>
              <w:pStyle w:val="P68B1DB1-Normal8"/>
              <w:spacing w:after="0" w:line="240" w:lineRule="auto"/>
              <w:jc w:val="center"/>
              <w:rPr>
                <w:rFonts w:eastAsia="Times New Roman" w:cs="Calibri"/>
                <w:noProof/>
              </w:rPr>
            </w:pPr>
            <w:r>
              <w:rPr>
                <w:noProof/>
              </w:rPr>
              <w:t>Numărul</w:t>
            </w:r>
          </w:p>
        </w:tc>
        <w:tc>
          <w:tcPr>
            <w:tcW w:w="982" w:type="dxa"/>
            <w:shd w:val="clear" w:color="auto" w:fill="C4EFCE"/>
            <w:vAlign w:val="center"/>
            <w:hideMark/>
          </w:tcPr>
          <w:p w14:paraId="3174DC4A" w14:textId="77777777" w:rsidR="00A15990" w:rsidRDefault="00686A62">
            <w:pPr>
              <w:pStyle w:val="P68B1DB1-Normal8"/>
              <w:spacing w:after="0" w:line="240" w:lineRule="auto"/>
              <w:jc w:val="center"/>
              <w:rPr>
                <w:rFonts w:eastAsia="Times New Roman" w:cs="Calibri"/>
                <w:noProof/>
              </w:rPr>
            </w:pPr>
            <w:r>
              <w:rPr>
                <w:noProof/>
              </w:rPr>
              <w:t>0</w:t>
            </w:r>
          </w:p>
        </w:tc>
        <w:tc>
          <w:tcPr>
            <w:tcW w:w="626" w:type="dxa"/>
            <w:shd w:val="clear" w:color="auto" w:fill="C4EFCE"/>
            <w:vAlign w:val="center"/>
            <w:hideMark/>
          </w:tcPr>
          <w:p w14:paraId="6B33C92A" w14:textId="77777777" w:rsidR="00A15990" w:rsidRDefault="00686A62">
            <w:pPr>
              <w:pStyle w:val="P68B1DB1-Normal8"/>
              <w:spacing w:after="0" w:line="240" w:lineRule="auto"/>
              <w:jc w:val="center"/>
              <w:rPr>
                <w:rFonts w:eastAsia="Times New Roman" w:cs="Calibri"/>
                <w:noProof/>
              </w:rPr>
            </w:pPr>
            <w:r>
              <w:rPr>
                <w:noProof/>
              </w:rPr>
              <w:t>2 000</w:t>
            </w:r>
          </w:p>
        </w:tc>
        <w:tc>
          <w:tcPr>
            <w:tcW w:w="514" w:type="dxa"/>
            <w:shd w:val="clear" w:color="auto" w:fill="C4EFCE"/>
            <w:vAlign w:val="center"/>
            <w:hideMark/>
          </w:tcPr>
          <w:p w14:paraId="3CB938A2" w14:textId="77777777" w:rsidR="00A15990" w:rsidRDefault="00686A62">
            <w:pPr>
              <w:pStyle w:val="P68B1DB1-Normal8"/>
              <w:spacing w:after="0" w:line="240" w:lineRule="auto"/>
              <w:jc w:val="center"/>
              <w:rPr>
                <w:rFonts w:eastAsia="Times New Roman" w:cs="Calibri"/>
                <w:noProof/>
              </w:rPr>
            </w:pPr>
            <w:r>
              <w:rPr>
                <w:noProof/>
              </w:rPr>
              <w:t>TRIMESTRUL 4</w:t>
            </w:r>
          </w:p>
        </w:tc>
        <w:tc>
          <w:tcPr>
            <w:tcW w:w="747" w:type="dxa"/>
            <w:shd w:val="clear" w:color="auto" w:fill="C4EFCE"/>
            <w:vAlign w:val="center"/>
            <w:hideMark/>
          </w:tcPr>
          <w:p w14:paraId="28BE79BE" w14:textId="77777777" w:rsidR="00A15990" w:rsidRDefault="00686A62">
            <w:pPr>
              <w:pStyle w:val="P68B1DB1-Normal8"/>
              <w:spacing w:after="0" w:line="240" w:lineRule="auto"/>
              <w:jc w:val="center"/>
              <w:rPr>
                <w:rFonts w:eastAsia="Times New Roman" w:cs="Calibri"/>
                <w:noProof/>
              </w:rPr>
            </w:pPr>
            <w:r>
              <w:rPr>
                <w:noProof/>
              </w:rPr>
              <w:t>2025</w:t>
            </w:r>
          </w:p>
        </w:tc>
        <w:tc>
          <w:tcPr>
            <w:tcW w:w="3919" w:type="dxa"/>
            <w:shd w:val="clear" w:color="auto" w:fill="C4EFCE"/>
            <w:vAlign w:val="center"/>
            <w:hideMark/>
          </w:tcPr>
          <w:p w14:paraId="2E512E2A" w14:textId="77777777" w:rsidR="00A15990" w:rsidRDefault="00686A62">
            <w:pPr>
              <w:pStyle w:val="P68B1DB1-Normal8"/>
              <w:spacing w:after="0" w:line="240" w:lineRule="auto"/>
              <w:jc w:val="both"/>
              <w:rPr>
                <w:rFonts w:eastAsia="Times New Roman" w:cs="Calibri"/>
                <w:noProof/>
              </w:rPr>
            </w:pPr>
            <w:r>
              <w:rPr>
                <w:noProof/>
              </w:rPr>
              <w:t>Exploatațiile agricole care beneficiază de asistență tehnică specializată în cadrul acțiunilor care urmează să fie desfășurate în cadrul Programului de capacitare a fermierilor.</w:t>
            </w:r>
          </w:p>
        </w:tc>
      </w:tr>
      <w:tr w:rsidR="00A15990" w14:paraId="6B3FA3FC" w14:textId="77777777">
        <w:trPr>
          <w:trHeight w:val="2709"/>
        </w:trPr>
        <w:tc>
          <w:tcPr>
            <w:tcW w:w="1134" w:type="dxa"/>
            <w:shd w:val="clear" w:color="auto" w:fill="C4EFCE"/>
            <w:vAlign w:val="center"/>
          </w:tcPr>
          <w:p w14:paraId="54E7BC25" w14:textId="62E6C5C0" w:rsidR="00A15990" w:rsidRDefault="00686A62">
            <w:pPr>
              <w:pStyle w:val="P68B1DB1-Normal11"/>
              <w:spacing w:after="0" w:line="240" w:lineRule="auto"/>
              <w:jc w:val="center"/>
              <w:rPr>
                <w:rFonts w:eastAsia="Times New Roman" w:cstheme="minorHAnsi"/>
                <w:noProof/>
              </w:rPr>
            </w:pPr>
            <w:r>
              <w:rPr>
                <w:noProof/>
              </w:rPr>
              <w:t>5.33</w:t>
            </w:r>
          </w:p>
        </w:tc>
        <w:tc>
          <w:tcPr>
            <w:tcW w:w="1165" w:type="dxa"/>
            <w:shd w:val="clear" w:color="auto" w:fill="C4EFCE"/>
            <w:vAlign w:val="center"/>
          </w:tcPr>
          <w:p w14:paraId="5929BA6C" w14:textId="428A8C0E" w:rsidR="00A15990" w:rsidRDefault="00686A62">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30E1990D" w14:textId="582BDEE3" w:rsidR="00A15990" w:rsidRDefault="00686A62">
            <w:pPr>
              <w:pStyle w:val="P68B1DB1-Normal12"/>
              <w:spacing w:after="0" w:line="240" w:lineRule="auto"/>
              <w:jc w:val="center"/>
              <w:rPr>
                <w:rFonts w:eastAsia="Times New Roman" w:cstheme="minorHAnsi"/>
                <w:noProof/>
              </w:rPr>
            </w:pPr>
            <w:r>
              <w:rPr>
                <w:noProof/>
              </w:rPr>
              <w:t>M</w:t>
            </w:r>
          </w:p>
        </w:tc>
        <w:tc>
          <w:tcPr>
            <w:tcW w:w="1668" w:type="dxa"/>
            <w:shd w:val="clear" w:color="auto" w:fill="C4EFCE"/>
            <w:vAlign w:val="center"/>
          </w:tcPr>
          <w:p w14:paraId="59B95D11" w14:textId="5995F441" w:rsidR="00A15990" w:rsidRDefault="00686A62">
            <w:pPr>
              <w:pStyle w:val="P68B1DB1-Bodytext1013"/>
              <w:jc w:val="center"/>
              <w:rPr>
                <w:rFonts w:cstheme="minorHAnsi"/>
                <w:noProof/>
              </w:rPr>
            </w:pPr>
            <w:r>
              <w:rPr>
                <w:noProof/>
              </w:rPr>
              <w:t>Semnarea acordului (protocolului) de punere în aplicare între Banco Português de Fomento, Instituto de Desenvolvimento Empresarial și anumiți intermediari financiari</w:t>
            </w:r>
          </w:p>
        </w:tc>
        <w:tc>
          <w:tcPr>
            <w:tcW w:w="2029" w:type="dxa"/>
            <w:shd w:val="clear" w:color="auto" w:fill="C4EFCE"/>
            <w:vAlign w:val="center"/>
          </w:tcPr>
          <w:p w14:paraId="37342ABF" w14:textId="1772DDF4" w:rsidR="00A15990" w:rsidRDefault="00686A62">
            <w:pPr>
              <w:pStyle w:val="P68B1DB1-Normal12"/>
              <w:spacing w:after="0" w:line="240" w:lineRule="auto"/>
              <w:jc w:val="center"/>
              <w:rPr>
                <w:rFonts w:eastAsia="Times New Roman" w:cstheme="minorHAnsi"/>
                <w:noProof/>
              </w:rPr>
            </w:pPr>
            <w:r>
              <w:rPr>
                <w:noProof/>
              </w:rPr>
              <w:t>Semnarea acordului (protocolului) de punere în aplicare dintre Banco Português de Fomento, Instituto de Desenvolvimento Empresarial și anumiți intermediari financiari, care acoperă toate instrumentele financiare prevăzute în măsură</w:t>
            </w:r>
          </w:p>
        </w:tc>
        <w:tc>
          <w:tcPr>
            <w:tcW w:w="982" w:type="dxa"/>
            <w:shd w:val="clear" w:color="auto" w:fill="C4EFCE"/>
            <w:vAlign w:val="center"/>
          </w:tcPr>
          <w:p w14:paraId="6758A57F" w14:textId="77777777" w:rsidR="00A15990" w:rsidRDefault="00A15990">
            <w:pPr>
              <w:spacing w:after="0" w:line="240" w:lineRule="auto"/>
              <w:jc w:val="center"/>
              <w:rPr>
                <w:rFonts w:eastAsia="Times New Roman" w:cstheme="minorHAnsi"/>
                <w:noProof/>
                <w:sz w:val="16"/>
              </w:rPr>
            </w:pPr>
          </w:p>
        </w:tc>
        <w:tc>
          <w:tcPr>
            <w:tcW w:w="982" w:type="dxa"/>
            <w:shd w:val="clear" w:color="auto" w:fill="C4EFCE"/>
            <w:vAlign w:val="center"/>
          </w:tcPr>
          <w:p w14:paraId="4ED1D73F" w14:textId="77777777" w:rsidR="00A15990" w:rsidRDefault="00A15990">
            <w:pPr>
              <w:spacing w:after="0" w:line="240" w:lineRule="auto"/>
              <w:jc w:val="center"/>
              <w:rPr>
                <w:rFonts w:eastAsia="Times New Roman" w:cstheme="minorHAnsi"/>
                <w:noProof/>
                <w:sz w:val="16"/>
              </w:rPr>
            </w:pPr>
          </w:p>
        </w:tc>
        <w:tc>
          <w:tcPr>
            <w:tcW w:w="626" w:type="dxa"/>
            <w:shd w:val="clear" w:color="auto" w:fill="C4EFCE"/>
            <w:vAlign w:val="center"/>
          </w:tcPr>
          <w:p w14:paraId="633B6B1E" w14:textId="77777777" w:rsidR="00A15990" w:rsidRDefault="00A15990">
            <w:pPr>
              <w:spacing w:after="0" w:line="240" w:lineRule="auto"/>
              <w:jc w:val="center"/>
              <w:rPr>
                <w:rFonts w:eastAsia="Times New Roman" w:cstheme="minorHAnsi"/>
                <w:noProof/>
                <w:sz w:val="16"/>
              </w:rPr>
            </w:pPr>
          </w:p>
        </w:tc>
        <w:tc>
          <w:tcPr>
            <w:tcW w:w="514" w:type="dxa"/>
            <w:shd w:val="clear" w:color="auto" w:fill="C4EFCE"/>
            <w:vAlign w:val="center"/>
          </w:tcPr>
          <w:p w14:paraId="798958ED" w14:textId="3E2F7C91" w:rsidR="00A15990" w:rsidRDefault="00686A62">
            <w:pPr>
              <w:pStyle w:val="P68B1DB1-Normal12"/>
              <w:spacing w:after="0" w:line="240" w:lineRule="auto"/>
              <w:jc w:val="center"/>
              <w:rPr>
                <w:rFonts w:eastAsia="Times New Roman" w:cstheme="minorHAnsi"/>
                <w:noProof/>
              </w:rPr>
            </w:pPr>
            <w:r>
              <w:rPr>
                <w:noProof/>
              </w:rPr>
              <w:t>TRIMESTRUL 2</w:t>
            </w:r>
          </w:p>
        </w:tc>
        <w:tc>
          <w:tcPr>
            <w:tcW w:w="747" w:type="dxa"/>
            <w:shd w:val="clear" w:color="auto" w:fill="C4EFCE"/>
            <w:vAlign w:val="center"/>
          </w:tcPr>
          <w:p w14:paraId="2525860B" w14:textId="3ECA8FE2" w:rsidR="00A15990" w:rsidRDefault="00686A62">
            <w:pPr>
              <w:pStyle w:val="P68B1DB1-Normal12"/>
              <w:spacing w:after="0" w:line="240" w:lineRule="auto"/>
              <w:jc w:val="center"/>
              <w:rPr>
                <w:rFonts w:eastAsia="Times New Roman" w:cstheme="minorHAnsi"/>
                <w:noProof/>
              </w:rPr>
            </w:pPr>
            <w:r>
              <w:rPr>
                <w:noProof/>
              </w:rPr>
              <w:t>2024</w:t>
            </w:r>
          </w:p>
        </w:tc>
        <w:tc>
          <w:tcPr>
            <w:tcW w:w="3919" w:type="dxa"/>
            <w:shd w:val="clear" w:color="auto" w:fill="C4EFCE"/>
          </w:tcPr>
          <w:p w14:paraId="7BFE9655" w14:textId="291FD11F" w:rsidR="00A15990" w:rsidRDefault="00686A62">
            <w:pPr>
              <w:pStyle w:val="P68B1DB1-Bodytext1013"/>
              <w:rPr>
                <w:rFonts w:cstheme="minorHAnsi"/>
                <w:noProof/>
              </w:rPr>
            </w:pPr>
            <w:r>
              <w:rPr>
                <w:noProof/>
              </w:rPr>
              <w:t xml:space="preserve">Semnarea acordului (protocolului) de punere în aplicare între Banco Português de Fomento, Instituto de Desenvolvimento Empresarial și anumiți intermediari financiari care acoperă toate instrumentele financiare prevăzute în măsură. </w:t>
            </w:r>
          </w:p>
          <w:p w14:paraId="2B9416E9" w14:textId="1999C5AE" w:rsidR="00A15990" w:rsidRDefault="00686A62">
            <w:pPr>
              <w:pStyle w:val="P68B1DB1-Normal12"/>
              <w:spacing w:after="0" w:line="240" w:lineRule="auto"/>
              <w:jc w:val="both"/>
              <w:rPr>
                <w:rFonts w:eastAsia="Times New Roman" w:cstheme="minorHAnsi"/>
                <w:noProof/>
              </w:rPr>
            </w:pPr>
            <w:r>
              <w:rPr>
                <w:noProof/>
              </w:rPr>
              <w:t xml:space="preserve">Acordul de punere în aplicare și documentele juridice ulterioare ale instrumentului financiar necesită aplicarea listei de excludere (astfel cum se prevede în descrierea măsurii) și o verificare a conformității cu legislația UE și națională în domeniul mediului. </w:t>
            </w:r>
          </w:p>
        </w:tc>
      </w:tr>
      <w:tr w:rsidR="00A15990" w14:paraId="4CBE3D8A" w14:textId="77777777">
        <w:trPr>
          <w:trHeight w:val="67"/>
        </w:trPr>
        <w:tc>
          <w:tcPr>
            <w:tcW w:w="1134" w:type="dxa"/>
            <w:shd w:val="clear" w:color="auto" w:fill="C4EFCE"/>
            <w:vAlign w:val="center"/>
          </w:tcPr>
          <w:p w14:paraId="7BB0CA82" w14:textId="09AAED9B" w:rsidR="00A15990" w:rsidRDefault="00686A62">
            <w:pPr>
              <w:pStyle w:val="P68B1DB1-Normal11"/>
              <w:spacing w:after="0" w:line="240" w:lineRule="auto"/>
              <w:jc w:val="center"/>
              <w:rPr>
                <w:rFonts w:eastAsia="Times New Roman" w:cstheme="minorHAnsi"/>
                <w:noProof/>
              </w:rPr>
            </w:pPr>
            <w:r>
              <w:rPr>
                <w:noProof/>
              </w:rPr>
              <w:t>5.34</w:t>
            </w:r>
          </w:p>
        </w:tc>
        <w:tc>
          <w:tcPr>
            <w:tcW w:w="1165" w:type="dxa"/>
            <w:shd w:val="clear" w:color="auto" w:fill="C4EFCE"/>
            <w:vAlign w:val="center"/>
          </w:tcPr>
          <w:p w14:paraId="4855C77A" w14:textId="5D5E927E" w:rsidR="00A15990" w:rsidRDefault="00686A62">
            <w:pPr>
              <w:pStyle w:val="P68B1DB1-Normal12"/>
              <w:spacing w:after="0" w:line="240" w:lineRule="auto"/>
              <w:jc w:val="center"/>
              <w:rPr>
                <w:rFonts w:eastAsia="Times New Roman" w:cstheme="minorHAnsi"/>
                <w:noProof/>
              </w:rPr>
            </w:pPr>
            <w:r>
              <w:rPr>
                <w:noProof/>
              </w:rPr>
              <w:t>RE-C05-i07-RAM</w:t>
            </w:r>
          </w:p>
        </w:tc>
        <w:tc>
          <w:tcPr>
            <w:tcW w:w="976" w:type="dxa"/>
            <w:shd w:val="clear" w:color="auto" w:fill="C4EFCE"/>
            <w:vAlign w:val="center"/>
          </w:tcPr>
          <w:p w14:paraId="1DD25CAD" w14:textId="1026C3D1" w:rsidR="00A15990" w:rsidRDefault="00686A62">
            <w:pPr>
              <w:pStyle w:val="P68B1DB1-Normal12"/>
              <w:spacing w:after="0" w:line="240" w:lineRule="auto"/>
              <w:jc w:val="center"/>
              <w:rPr>
                <w:rFonts w:eastAsia="Times New Roman" w:cstheme="minorHAnsi"/>
                <w:noProof/>
              </w:rPr>
            </w:pPr>
            <w:r>
              <w:rPr>
                <w:noProof/>
              </w:rPr>
              <w:t>T</w:t>
            </w:r>
          </w:p>
        </w:tc>
        <w:tc>
          <w:tcPr>
            <w:tcW w:w="1668" w:type="dxa"/>
            <w:shd w:val="clear" w:color="auto" w:fill="C4EFCE"/>
            <w:vAlign w:val="center"/>
          </w:tcPr>
          <w:p w14:paraId="2A3A2C05" w14:textId="671BE97B" w:rsidR="00A15990" w:rsidRDefault="00686A62">
            <w:pPr>
              <w:pStyle w:val="P68B1DB1-Normal12"/>
              <w:spacing w:after="0" w:line="240" w:lineRule="auto"/>
              <w:jc w:val="center"/>
              <w:rPr>
                <w:rFonts w:eastAsia="Times New Roman" w:cstheme="minorHAnsi"/>
                <w:noProof/>
              </w:rPr>
            </w:pPr>
            <w:r>
              <w:rPr>
                <w:noProof/>
              </w:rPr>
              <w:t>Garanții pentru împrumuturi care sprijină proiecte ale întreprinderilor regionale.</w:t>
            </w:r>
          </w:p>
        </w:tc>
        <w:tc>
          <w:tcPr>
            <w:tcW w:w="2029" w:type="dxa"/>
            <w:shd w:val="clear" w:color="auto" w:fill="C4EFCE"/>
            <w:vAlign w:val="center"/>
          </w:tcPr>
          <w:p w14:paraId="14B7871F" w14:textId="4EB3B0C4" w:rsidR="00A15990" w:rsidRDefault="00686A62">
            <w:pPr>
              <w:pStyle w:val="P68B1DB1-Normal12"/>
              <w:spacing w:after="0" w:line="240" w:lineRule="auto"/>
              <w:jc w:val="center"/>
              <w:rPr>
                <w:rFonts w:eastAsia="Times New Roman" w:cstheme="minorHAnsi"/>
                <w:noProof/>
              </w:rPr>
            </w:pPr>
            <w:r>
              <w:rPr>
                <w:noProof/>
              </w:rPr>
              <w:t>—</w:t>
            </w:r>
          </w:p>
        </w:tc>
        <w:tc>
          <w:tcPr>
            <w:tcW w:w="982" w:type="dxa"/>
            <w:shd w:val="clear" w:color="auto" w:fill="C4EFCE"/>
            <w:vAlign w:val="center"/>
          </w:tcPr>
          <w:p w14:paraId="5FC778CA" w14:textId="5E913ACC" w:rsidR="00A15990" w:rsidRDefault="00686A62">
            <w:pPr>
              <w:pStyle w:val="P68B1DB1-Normal12"/>
              <w:spacing w:after="0" w:line="240" w:lineRule="auto"/>
              <w:jc w:val="center"/>
              <w:rPr>
                <w:rFonts w:eastAsia="Times New Roman" w:cstheme="minorHAnsi"/>
                <w:noProof/>
              </w:rPr>
            </w:pPr>
            <w:r>
              <w:rPr>
                <w:noProof/>
              </w:rPr>
              <w:t>EUR</w:t>
            </w:r>
          </w:p>
        </w:tc>
        <w:tc>
          <w:tcPr>
            <w:tcW w:w="982" w:type="dxa"/>
            <w:shd w:val="clear" w:color="auto" w:fill="C4EFCE"/>
            <w:vAlign w:val="center"/>
          </w:tcPr>
          <w:p w14:paraId="0271D6FF" w14:textId="04899E06" w:rsidR="00A15990" w:rsidRDefault="00686A62">
            <w:pPr>
              <w:pStyle w:val="P68B1DB1-Normal12"/>
              <w:spacing w:after="0" w:line="240" w:lineRule="auto"/>
              <w:jc w:val="center"/>
              <w:rPr>
                <w:rFonts w:eastAsia="Times New Roman" w:cstheme="minorHAnsi"/>
                <w:noProof/>
              </w:rPr>
            </w:pPr>
            <w:r>
              <w:rPr>
                <w:noProof/>
              </w:rPr>
              <w:t>0</w:t>
            </w:r>
          </w:p>
        </w:tc>
        <w:tc>
          <w:tcPr>
            <w:tcW w:w="626" w:type="dxa"/>
            <w:shd w:val="clear" w:color="auto" w:fill="C4EFCE"/>
            <w:vAlign w:val="center"/>
          </w:tcPr>
          <w:p w14:paraId="6451A08B" w14:textId="2E7FED99" w:rsidR="00A15990" w:rsidRDefault="00686A62">
            <w:pPr>
              <w:pStyle w:val="P68B1DB1-Normal12"/>
              <w:spacing w:after="0" w:line="240" w:lineRule="auto"/>
              <w:jc w:val="center"/>
              <w:rPr>
                <w:rFonts w:eastAsia="Times New Roman" w:cstheme="minorHAnsi"/>
                <w:noProof/>
              </w:rPr>
            </w:pPr>
            <w:r>
              <w:rPr>
                <w:noProof/>
              </w:rPr>
              <w:t>15 900 000</w:t>
            </w:r>
          </w:p>
        </w:tc>
        <w:tc>
          <w:tcPr>
            <w:tcW w:w="514" w:type="dxa"/>
            <w:shd w:val="clear" w:color="auto" w:fill="C4EFCE"/>
            <w:vAlign w:val="center"/>
          </w:tcPr>
          <w:p w14:paraId="2A88DF46" w14:textId="7CCAE0DE" w:rsidR="00A15990" w:rsidRDefault="00686A62">
            <w:pPr>
              <w:pStyle w:val="P68B1DB1-Normal12"/>
              <w:spacing w:after="0" w:line="240" w:lineRule="auto"/>
              <w:jc w:val="center"/>
              <w:rPr>
                <w:rFonts w:eastAsia="Times New Roman" w:cstheme="minorHAnsi"/>
                <w:noProof/>
              </w:rPr>
            </w:pPr>
            <w:r>
              <w:rPr>
                <w:noProof/>
              </w:rPr>
              <w:t>TRIMESTRUL 4</w:t>
            </w:r>
          </w:p>
        </w:tc>
        <w:tc>
          <w:tcPr>
            <w:tcW w:w="747" w:type="dxa"/>
            <w:shd w:val="clear" w:color="auto" w:fill="C4EFCE"/>
            <w:vAlign w:val="center"/>
          </w:tcPr>
          <w:p w14:paraId="5FEA44B0" w14:textId="0E21A022" w:rsidR="00A15990" w:rsidRDefault="00686A62">
            <w:pPr>
              <w:pStyle w:val="P68B1DB1-Normal12"/>
              <w:spacing w:after="0" w:line="240" w:lineRule="auto"/>
              <w:jc w:val="center"/>
              <w:rPr>
                <w:rFonts w:eastAsia="Times New Roman" w:cstheme="minorHAnsi"/>
                <w:noProof/>
              </w:rPr>
            </w:pPr>
            <w:r>
              <w:rPr>
                <w:noProof/>
              </w:rPr>
              <w:t>2025</w:t>
            </w:r>
          </w:p>
        </w:tc>
        <w:tc>
          <w:tcPr>
            <w:tcW w:w="3919" w:type="dxa"/>
            <w:shd w:val="clear" w:color="auto" w:fill="C4EFCE"/>
          </w:tcPr>
          <w:p w14:paraId="3959FFFC" w14:textId="44A649C9" w:rsidR="00A15990" w:rsidRDefault="00686A62">
            <w:pPr>
              <w:pStyle w:val="P68B1DB1-Normal12"/>
              <w:spacing w:after="0" w:line="240" w:lineRule="auto"/>
              <w:jc w:val="both"/>
              <w:rPr>
                <w:rFonts w:eastAsia="Times New Roman" w:cstheme="minorHAnsi"/>
                <w:noProof/>
              </w:rPr>
            </w:pPr>
            <w:r>
              <w:rPr>
                <w:noProof/>
              </w:rPr>
              <w:t xml:space="preserve">Furnizarea de garanții pentru împrumuturi în valoare de 15 900 000 EUR, împreună cu sprijin pentru cheltuielile cu dobânzile aferente împrumuturilor acordate în cadrul sistemului național de garantare reciprocă, sprijinind cel puțin 10 proiecte regionale. </w:t>
            </w:r>
          </w:p>
        </w:tc>
      </w:tr>
      <w:tr w:rsidR="00A15990" w14:paraId="2C5CFDE1" w14:textId="77777777">
        <w:trPr>
          <w:trHeight w:val="67"/>
        </w:trPr>
        <w:tc>
          <w:tcPr>
            <w:tcW w:w="1134" w:type="dxa"/>
            <w:shd w:val="clear" w:color="auto" w:fill="C4EFCE"/>
            <w:vAlign w:val="center"/>
          </w:tcPr>
          <w:p w14:paraId="0773CFB1" w14:textId="6033DE37" w:rsidR="00A15990" w:rsidRDefault="00686A62">
            <w:pPr>
              <w:pStyle w:val="P68B1DB1-Normal11"/>
              <w:spacing w:after="0" w:line="240" w:lineRule="auto"/>
              <w:jc w:val="center"/>
              <w:rPr>
                <w:rFonts w:cstheme="minorHAnsi"/>
                <w:noProof/>
              </w:rPr>
            </w:pPr>
            <w:r>
              <w:rPr>
                <w:noProof/>
              </w:rPr>
              <w:t>5.35</w:t>
            </w:r>
          </w:p>
        </w:tc>
        <w:tc>
          <w:tcPr>
            <w:tcW w:w="1165" w:type="dxa"/>
            <w:shd w:val="clear" w:color="auto" w:fill="C4EFCE"/>
            <w:vAlign w:val="center"/>
          </w:tcPr>
          <w:p w14:paraId="00F378C5" w14:textId="26E033C1" w:rsidR="00A15990" w:rsidRDefault="00686A62">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176CCB47" w14:textId="022E3FC5" w:rsidR="00A15990" w:rsidRDefault="00686A62">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3BF0EA1" w14:textId="55368CAA" w:rsidR="00A15990" w:rsidRDefault="00686A62">
            <w:pPr>
              <w:pStyle w:val="P68B1DB1-Normal12"/>
              <w:spacing w:after="0" w:line="240" w:lineRule="auto"/>
              <w:jc w:val="center"/>
              <w:rPr>
                <w:noProof/>
              </w:rPr>
            </w:pPr>
            <w:r>
              <w:rPr>
                <w:noProof/>
              </w:rPr>
              <w:t>Finalizarea „Science XXI campus” și „Science Desk” și furnizarea de servicii prin intermediul Programului național privind știința deschisă și datele de cercetare deschise (PNCADAI)</w:t>
            </w:r>
          </w:p>
        </w:tc>
        <w:tc>
          <w:tcPr>
            <w:tcW w:w="2029" w:type="dxa"/>
            <w:shd w:val="clear" w:color="auto" w:fill="C4EFCE"/>
            <w:vAlign w:val="center"/>
          </w:tcPr>
          <w:p w14:paraId="13A0FF6F" w14:textId="77777777" w:rsidR="00A15990" w:rsidRDefault="00A15990">
            <w:pPr>
              <w:spacing w:after="0" w:line="240" w:lineRule="auto"/>
              <w:jc w:val="center"/>
              <w:rPr>
                <w:rFonts w:cstheme="minorHAnsi"/>
                <w:noProof/>
                <w:sz w:val="16"/>
              </w:rPr>
            </w:pPr>
          </w:p>
        </w:tc>
        <w:tc>
          <w:tcPr>
            <w:tcW w:w="982" w:type="dxa"/>
            <w:shd w:val="clear" w:color="auto" w:fill="C4EFCE"/>
            <w:vAlign w:val="center"/>
          </w:tcPr>
          <w:p w14:paraId="22740551" w14:textId="1CB75FCC" w:rsidR="00A15990" w:rsidRDefault="00686A62">
            <w:pPr>
              <w:pStyle w:val="P68B1DB1-Normal12"/>
              <w:spacing w:after="0" w:line="240" w:lineRule="auto"/>
              <w:jc w:val="center"/>
              <w:rPr>
                <w:rFonts w:cstheme="minorHAnsi"/>
                <w:noProof/>
              </w:rPr>
            </w:pPr>
            <w:r>
              <w:rPr>
                <w:noProof/>
              </w:rPr>
              <w:t>Numărul</w:t>
            </w:r>
          </w:p>
        </w:tc>
        <w:tc>
          <w:tcPr>
            <w:tcW w:w="982" w:type="dxa"/>
            <w:shd w:val="clear" w:color="auto" w:fill="C4EFCE"/>
            <w:vAlign w:val="center"/>
          </w:tcPr>
          <w:p w14:paraId="57FCAC8C" w14:textId="6C811F49" w:rsidR="00A15990" w:rsidRDefault="00686A62">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13745293" w14:textId="3C59DC12" w:rsidR="00A15990" w:rsidRDefault="00686A62">
            <w:pPr>
              <w:pStyle w:val="P68B1DB1-Normal12"/>
              <w:spacing w:after="0" w:line="240" w:lineRule="auto"/>
              <w:jc w:val="center"/>
              <w:rPr>
                <w:noProof/>
                <w:highlight w:val="cyan"/>
              </w:rPr>
            </w:pPr>
            <w:r>
              <w:rPr>
                <w:noProof/>
              </w:rPr>
              <w:t>9</w:t>
            </w:r>
          </w:p>
        </w:tc>
        <w:tc>
          <w:tcPr>
            <w:tcW w:w="514" w:type="dxa"/>
            <w:shd w:val="clear" w:color="auto" w:fill="C4EFCE"/>
            <w:vAlign w:val="center"/>
          </w:tcPr>
          <w:p w14:paraId="70909177" w14:textId="2BF5B3A1" w:rsidR="00A15990" w:rsidRDefault="00686A62">
            <w:pPr>
              <w:pStyle w:val="P68B1DB1-Normal12"/>
              <w:spacing w:after="0" w:line="240" w:lineRule="auto"/>
              <w:jc w:val="center"/>
              <w:rPr>
                <w:rFonts w:cstheme="minorHAnsi"/>
                <w:noProof/>
              </w:rPr>
            </w:pPr>
            <w:r>
              <w:rPr>
                <w:noProof/>
              </w:rPr>
              <w:t>TRIMESTRUL 4</w:t>
            </w:r>
          </w:p>
        </w:tc>
        <w:tc>
          <w:tcPr>
            <w:tcW w:w="747" w:type="dxa"/>
            <w:shd w:val="clear" w:color="auto" w:fill="C4EFCE"/>
            <w:vAlign w:val="center"/>
          </w:tcPr>
          <w:p w14:paraId="752967AE" w14:textId="0BF8F3C5" w:rsidR="00A15990" w:rsidRDefault="00686A62">
            <w:pPr>
              <w:pStyle w:val="P68B1DB1-Normal12"/>
              <w:spacing w:after="0" w:line="240" w:lineRule="auto"/>
              <w:jc w:val="center"/>
              <w:rPr>
                <w:rFonts w:cstheme="minorHAnsi"/>
                <w:noProof/>
              </w:rPr>
            </w:pPr>
            <w:r>
              <w:rPr>
                <w:noProof/>
              </w:rPr>
              <w:t>2025 </w:t>
            </w:r>
          </w:p>
        </w:tc>
        <w:tc>
          <w:tcPr>
            <w:tcW w:w="3919" w:type="dxa"/>
            <w:shd w:val="clear" w:color="auto" w:fill="C4EFCE"/>
            <w:vAlign w:val="center"/>
          </w:tcPr>
          <w:p w14:paraId="74F80FFD" w14:textId="63AC4EAE" w:rsidR="00A15990" w:rsidRDefault="00686A62">
            <w:pPr>
              <w:pStyle w:val="P68B1DB1-Normal12"/>
              <w:spacing w:after="0" w:line="240" w:lineRule="auto"/>
              <w:jc w:val="both"/>
              <w:rPr>
                <w:noProof/>
              </w:rPr>
            </w:pPr>
            <w:r>
              <w:rPr>
                <w:noProof/>
              </w:rPr>
              <w:t xml:space="preserve">Finalizarea celor două servicii digitale și fizice de știință și tehnologie: „Campus Science XXI” și „Science Desk”. </w:t>
            </w:r>
          </w:p>
          <w:p w14:paraId="00F0CA38" w14:textId="04A5C66F" w:rsidR="00A15990" w:rsidRDefault="00A15990">
            <w:pPr>
              <w:spacing w:after="0" w:line="240" w:lineRule="auto"/>
              <w:jc w:val="both"/>
              <w:rPr>
                <w:noProof/>
                <w:sz w:val="16"/>
              </w:rPr>
            </w:pPr>
          </w:p>
          <w:p w14:paraId="507B7C51" w14:textId="320143D7" w:rsidR="00A15990" w:rsidRDefault="00686A62">
            <w:pPr>
              <w:pStyle w:val="P68B1DB1-Normal12"/>
              <w:spacing w:after="0" w:line="240" w:lineRule="auto"/>
              <w:jc w:val="both"/>
              <w:rPr>
                <w:noProof/>
              </w:rPr>
            </w:pPr>
            <w:r>
              <w:rPr>
                <w:noProof/>
              </w:rPr>
              <w:t>Furnizarea a șapte servicii electronice online în cadrul Programului național privind știința deschisă și datele deschise de cercetare (PNCADAI). Programul include o infrastructură a centrelor de date, precum și un serviciu de gestionare a datelor.</w:t>
            </w:r>
          </w:p>
        </w:tc>
      </w:tr>
      <w:tr w:rsidR="00A15990" w14:paraId="7FB7AC29" w14:textId="77777777">
        <w:trPr>
          <w:trHeight w:val="67"/>
        </w:trPr>
        <w:tc>
          <w:tcPr>
            <w:tcW w:w="1134" w:type="dxa"/>
            <w:shd w:val="clear" w:color="auto" w:fill="C4EFCE"/>
            <w:vAlign w:val="center"/>
          </w:tcPr>
          <w:p w14:paraId="4B3A8873" w14:textId="179ED554" w:rsidR="00A15990" w:rsidRDefault="00686A62">
            <w:pPr>
              <w:pStyle w:val="P68B1DB1-Normal11"/>
              <w:spacing w:after="0" w:line="240" w:lineRule="auto"/>
              <w:jc w:val="center"/>
              <w:rPr>
                <w:rFonts w:cstheme="minorHAnsi"/>
                <w:noProof/>
              </w:rPr>
            </w:pPr>
            <w:r>
              <w:rPr>
                <w:noProof/>
              </w:rPr>
              <w:t>5.36</w:t>
            </w:r>
          </w:p>
        </w:tc>
        <w:tc>
          <w:tcPr>
            <w:tcW w:w="1165" w:type="dxa"/>
            <w:shd w:val="clear" w:color="auto" w:fill="C4EFCE"/>
            <w:vAlign w:val="center"/>
          </w:tcPr>
          <w:p w14:paraId="1F9177C6" w14:textId="5AA691B4" w:rsidR="00A15990" w:rsidRDefault="00686A62">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2AACB229" w14:textId="43308D7E" w:rsidR="00A15990" w:rsidRDefault="00686A62">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3E3B9075" w14:textId="3A696E59" w:rsidR="00A15990" w:rsidRDefault="00686A62">
            <w:pPr>
              <w:pStyle w:val="P68B1DB1-Normal12"/>
              <w:spacing w:after="0" w:line="240" w:lineRule="auto"/>
              <w:jc w:val="center"/>
              <w:rPr>
                <w:noProof/>
              </w:rPr>
            </w:pPr>
            <w:r>
              <w:rPr>
                <w:noProof/>
              </w:rPr>
              <w:t>Finalizarea proiectelor din cadrul programului C &amp;Dîn administrația publică și a unor noi cursuri pe Platforma națională pentru cursuri online în masă (NAU)</w:t>
            </w:r>
          </w:p>
        </w:tc>
        <w:tc>
          <w:tcPr>
            <w:tcW w:w="2029" w:type="dxa"/>
            <w:shd w:val="clear" w:color="auto" w:fill="C4EFCE"/>
            <w:vAlign w:val="center"/>
          </w:tcPr>
          <w:p w14:paraId="0E21AFE0" w14:textId="774900D8" w:rsidR="00A15990" w:rsidRDefault="00686A62">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3D64CFE9" w14:textId="46B248A4" w:rsidR="00A15990" w:rsidRDefault="00686A62">
            <w:pPr>
              <w:pStyle w:val="P68B1DB1-Normal12"/>
              <w:spacing w:after="0" w:line="240" w:lineRule="auto"/>
              <w:jc w:val="center"/>
              <w:rPr>
                <w:rFonts w:cstheme="minorHAnsi"/>
                <w:noProof/>
              </w:rPr>
            </w:pPr>
            <w:r>
              <w:rPr>
                <w:noProof/>
              </w:rPr>
              <w:t>Numărul</w:t>
            </w:r>
          </w:p>
        </w:tc>
        <w:tc>
          <w:tcPr>
            <w:tcW w:w="982" w:type="dxa"/>
            <w:shd w:val="clear" w:color="auto" w:fill="C4EFCE"/>
            <w:vAlign w:val="center"/>
          </w:tcPr>
          <w:p w14:paraId="5F88E593" w14:textId="4099A441" w:rsidR="00A15990" w:rsidRDefault="00686A62">
            <w:pPr>
              <w:pStyle w:val="P68B1DB1-Normal12"/>
              <w:spacing w:after="0" w:line="240" w:lineRule="auto"/>
              <w:jc w:val="center"/>
              <w:rPr>
                <w:rFonts w:cstheme="minorHAnsi"/>
                <w:noProof/>
              </w:rPr>
            </w:pPr>
            <w:r>
              <w:rPr>
                <w:noProof/>
              </w:rPr>
              <w:t>0</w:t>
            </w:r>
          </w:p>
        </w:tc>
        <w:tc>
          <w:tcPr>
            <w:tcW w:w="626" w:type="dxa"/>
            <w:shd w:val="clear" w:color="auto" w:fill="C4EFCE"/>
            <w:vAlign w:val="center"/>
          </w:tcPr>
          <w:p w14:paraId="21DC20A1" w14:textId="13A50267" w:rsidR="00A15990" w:rsidRDefault="00686A62">
            <w:pPr>
              <w:pStyle w:val="P68B1DB1-Normal12"/>
              <w:spacing w:after="0" w:line="240" w:lineRule="auto"/>
              <w:jc w:val="center"/>
              <w:rPr>
                <w:noProof/>
                <w:highlight w:val="cyan"/>
              </w:rPr>
            </w:pPr>
            <w:r>
              <w:rPr>
                <w:noProof/>
              </w:rPr>
              <w:t>144</w:t>
            </w:r>
          </w:p>
        </w:tc>
        <w:tc>
          <w:tcPr>
            <w:tcW w:w="514" w:type="dxa"/>
            <w:shd w:val="clear" w:color="auto" w:fill="C4EFCE"/>
            <w:vAlign w:val="center"/>
          </w:tcPr>
          <w:p w14:paraId="14DC8D5E" w14:textId="4E1FC6D6" w:rsidR="00A15990" w:rsidRDefault="00686A62">
            <w:pPr>
              <w:pStyle w:val="P68B1DB1-Normal12"/>
              <w:spacing w:after="0" w:line="240" w:lineRule="auto"/>
              <w:jc w:val="center"/>
              <w:rPr>
                <w:rFonts w:cstheme="minorHAnsi"/>
                <w:noProof/>
              </w:rPr>
            </w:pPr>
            <w:r>
              <w:rPr>
                <w:noProof/>
              </w:rPr>
              <w:t>TRIMESTRUL 1</w:t>
            </w:r>
          </w:p>
        </w:tc>
        <w:tc>
          <w:tcPr>
            <w:tcW w:w="747" w:type="dxa"/>
            <w:shd w:val="clear" w:color="auto" w:fill="C4EFCE"/>
            <w:vAlign w:val="center"/>
          </w:tcPr>
          <w:p w14:paraId="6C28108F" w14:textId="341BEB1E" w:rsidR="00A15990" w:rsidRDefault="00686A62">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3741DF14" w14:textId="79BB2D5C" w:rsidR="00A15990" w:rsidRDefault="00686A62">
            <w:pPr>
              <w:pStyle w:val="P68B1DB1-Normal12"/>
              <w:spacing w:after="0" w:line="240" w:lineRule="auto"/>
              <w:jc w:val="both"/>
              <w:rPr>
                <w:noProof/>
              </w:rPr>
            </w:pPr>
            <w:r>
              <w:rPr>
                <w:noProof/>
              </w:rPr>
              <w:t xml:space="preserve">Finalizarea a 94 de proiecte finanțate în cadrul programului C &amp;Dîn administrația publică [inclusiv în domeniul inteligenței artificiale (IA), al securității cibernetice și al științei datelor]. </w:t>
            </w:r>
          </w:p>
          <w:p w14:paraId="222B1DF4" w14:textId="507AAE05" w:rsidR="00A15990" w:rsidRDefault="00A15990">
            <w:pPr>
              <w:spacing w:after="0" w:line="240" w:lineRule="auto"/>
              <w:jc w:val="both"/>
              <w:rPr>
                <w:noProof/>
                <w:sz w:val="16"/>
              </w:rPr>
            </w:pPr>
          </w:p>
          <w:p w14:paraId="58102DBE" w14:textId="173B1D60" w:rsidR="00A15990" w:rsidRDefault="00686A62">
            <w:pPr>
              <w:pStyle w:val="P68B1DB1-Normal12"/>
              <w:spacing w:after="0" w:line="240" w:lineRule="auto"/>
              <w:jc w:val="both"/>
              <w:rPr>
                <w:noProof/>
              </w:rPr>
            </w:pPr>
            <w:r>
              <w:rPr>
                <w:noProof/>
              </w:rPr>
              <w:t>50 de noi cursuri oferite prin intermediul Platformei naționale pentru cursuri online în masă (NAU), beneficiind de infrastructura tehnologică nou dezvoltată.</w:t>
            </w:r>
          </w:p>
        </w:tc>
      </w:tr>
      <w:tr w:rsidR="00A15990" w14:paraId="3CFFEAB5" w14:textId="77777777">
        <w:trPr>
          <w:trHeight w:val="67"/>
        </w:trPr>
        <w:tc>
          <w:tcPr>
            <w:tcW w:w="1134" w:type="dxa"/>
            <w:shd w:val="clear" w:color="auto" w:fill="C4EFCE"/>
            <w:vAlign w:val="center"/>
          </w:tcPr>
          <w:p w14:paraId="02998C93" w14:textId="7BC372D7" w:rsidR="00A15990" w:rsidRDefault="00686A62">
            <w:pPr>
              <w:pStyle w:val="P68B1DB1-Normal11"/>
              <w:spacing w:after="0" w:line="240" w:lineRule="auto"/>
              <w:jc w:val="center"/>
              <w:rPr>
                <w:rFonts w:cstheme="minorHAnsi"/>
                <w:noProof/>
              </w:rPr>
            </w:pPr>
            <w:r>
              <w:rPr>
                <w:noProof/>
              </w:rPr>
              <w:t>5.37</w:t>
            </w:r>
          </w:p>
        </w:tc>
        <w:tc>
          <w:tcPr>
            <w:tcW w:w="1165" w:type="dxa"/>
            <w:shd w:val="clear" w:color="auto" w:fill="C4EFCE"/>
            <w:vAlign w:val="center"/>
          </w:tcPr>
          <w:p w14:paraId="57B2A843" w14:textId="724532F4" w:rsidR="00A15990" w:rsidRDefault="00686A62">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BEDE968" w14:textId="63C0C0AF" w:rsidR="00A15990" w:rsidRDefault="00686A62">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71202E2B" w14:textId="74ACF820" w:rsidR="00A15990" w:rsidRDefault="00686A62">
            <w:pPr>
              <w:pStyle w:val="P68B1DB1-Normal12"/>
              <w:spacing w:after="0" w:line="240" w:lineRule="auto"/>
              <w:jc w:val="center"/>
              <w:rPr>
                <w:rFonts w:cstheme="minorHAnsi"/>
                <w:noProof/>
              </w:rPr>
            </w:pPr>
            <w:r>
              <w:rPr>
                <w:noProof/>
              </w:rPr>
              <w:t>Înființarea Centrului național de calcul avansat (CNCA).</w:t>
            </w:r>
          </w:p>
        </w:tc>
        <w:tc>
          <w:tcPr>
            <w:tcW w:w="2029" w:type="dxa"/>
            <w:shd w:val="clear" w:color="auto" w:fill="C4EFCE"/>
            <w:vAlign w:val="center"/>
          </w:tcPr>
          <w:p w14:paraId="7A981D55" w14:textId="2AB7DBD0" w:rsidR="00A15990" w:rsidRDefault="00686A62">
            <w:pPr>
              <w:pStyle w:val="P68B1DB1-Normal12"/>
              <w:spacing w:after="0" w:line="240" w:lineRule="auto"/>
              <w:jc w:val="center"/>
              <w:rPr>
                <w:rFonts w:cstheme="minorHAnsi"/>
                <w:noProof/>
              </w:rPr>
            </w:pPr>
            <w:r>
              <w:rPr>
                <w:noProof/>
              </w:rPr>
              <w:t>Înființarea Centrului național de calcul avansat</w:t>
            </w:r>
          </w:p>
        </w:tc>
        <w:tc>
          <w:tcPr>
            <w:tcW w:w="982" w:type="dxa"/>
            <w:shd w:val="clear" w:color="auto" w:fill="C4EFCE"/>
            <w:vAlign w:val="center"/>
          </w:tcPr>
          <w:p w14:paraId="38AA2D81" w14:textId="77777777" w:rsidR="00A15990" w:rsidRDefault="00A15990">
            <w:pPr>
              <w:spacing w:after="0" w:line="240" w:lineRule="auto"/>
              <w:jc w:val="center"/>
              <w:rPr>
                <w:rFonts w:cstheme="minorHAnsi"/>
                <w:noProof/>
                <w:sz w:val="16"/>
              </w:rPr>
            </w:pPr>
          </w:p>
        </w:tc>
        <w:tc>
          <w:tcPr>
            <w:tcW w:w="982" w:type="dxa"/>
            <w:shd w:val="clear" w:color="auto" w:fill="C4EFCE"/>
            <w:vAlign w:val="center"/>
          </w:tcPr>
          <w:p w14:paraId="73A08FCB" w14:textId="77777777" w:rsidR="00A15990" w:rsidRDefault="00A15990">
            <w:pPr>
              <w:spacing w:after="0" w:line="240" w:lineRule="auto"/>
              <w:jc w:val="center"/>
              <w:rPr>
                <w:rFonts w:cstheme="minorHAnsi"/>
                <w:noProof/>
                <w:sz w:val="16"/>
              </w:rPr>
            </w:pPr>
          </w:p>
        </w:tc>
        <w:tc>
          <w:tcPr>
            <w:tcW w:w="626" w:type="dxa"/>
            <w:shd w:val="clear" w:color="auto" w:fill="C4EFCE"/>
            <w:vAlign w:val="center"/>
          </w:tcPr>
          <w:p w14:paraId="71B94818" w14:textId="77777777" w:rsidR="00A15990" w:rsidRDefault="00A15990">
            <w:pPr>
              <w:spacing w:after="0" w:line="240" w:lineRule="auto"/>
              <w:jc w:val="center"/>
              <w:rPr>
                <w:rFonts w:cstheme="minorHAnsi"/>
                <w:noProof/>
                <w:sz w:val="16"/>
                <w:highlight w:val="cyan"/>
              </w:rPr>
            </w:pPr>
          </w:p>
        </w:tc>
        <w:tc>
          <w:tcPr>
            <w:tcW w:w="514" w:type="dxa"/>
            <w:shd w:val="clear" w:color="auto" w:fill="C4EFCE"/>
            <w:vAlign w:val="center"/>
          </w:tcPr>
          <w:p w14:paraId="6C0FA98B" w14:textId="6A787B86" w:rsidR="00A15990" w:rsidRDefault="00686A62">
            <w:pPr>
              <w:pStyle w:val="P68B1DB1-Normal12"/>
              <w:spacing w:after="0" w:line="240" w:lineRule="auto"/>
              <w:jc w:val="center"/>
              <w:rPr>
                <w:rFonts w:cstheme="minorHAnsi"/>
                <w:noProof/>
              </w:rPr>
            </w:pPr>
            <w:r>
              <w:rPr>
                <w:noProof/>
              </w:rPr>
              <w:t>TRIMESTRUL 4</w:t>
            </w:r>
          </w:p>
        </w:tc>
        <w:tc>
          <w:tcPr>
            <w:tcW w:w="747" w:type="dxa"/>
            <w:shd w:val="clear" w:color="auto" w:fill="C4EFCE"/>
            <w:vAlign w:val="center"/>
          </w:tcPr>
          <w:p w14:paraId="2FE817D5" w14:textId="2B27B007" w:rsidR="00A15990" w:rsidRDefault="00686A62">
            <w:pPr>
              <w:pStyle w:val="P68B1DB1-Normal12"/>
              <w:spacing w:after="0" w:line="240" w:lineRule="auto"/>
              <w:jc w:val="center"/>
              <w:rPr>
                <w:rFonts w:cstheme="minorHAnsi"/>
                <w:noProof/>
              </w:rPr>
            </w:pPr>
            <w:r>
              <w:rPr>
                <w:noProof/>
              </w:rPr>
              <w:t>2024 </w:t>
            </w:r>
          </w:p>
        </w:tc>
        <w:tc>
          <w:tcPr>
            <w:tcW w:w="3919" w:type="dxa"/>
            <w:shd w:val="clear" w:color="auto" w:fill="C4EFCE"/>
            <w:vAlign w:val="center"/>
          </w:tcPr>
          <w:p w14:paraId="75E7143A" w14:textId="7709FF39" w:rsidR="00A15990" w:rsidRDefault="00686A62">
            <w:pPr>
              <w:pStyle w:val="P68B1DB1-Normal12"/>
              <w:spacing w:after="0" w:line="240" w:lineRule="auto"/>
              <w:jc w:val="both"/>
              <w:rPr>
                <w:rFonts w:cstheme="minorHAnsi"/>
                <w:noProof/>
              </w:rPr>
            </w:pPr>
            <w:r>
              <w:rPr>
                <w:noProof/>
              </w:rPr>
              <w:t>Înființarea Centrului național de calcul avansat care reorganizează rețelele și centrele informatice portugheze existente într-o singură entitate; sprijinirea exploatării a două supercalculatoare (Deucalion și Mare Nostrum 5).</w:t>
            </w:r>
          </w:p>
        </w:tc>
      </w:tr>
      <w:tr w:rsidR="00A15990" w14:paraId="1168D75D" w14:textId="77777777">
        <w:trPr>
          <w:trHeight w:val="67"/>
        </w:trPr>
        <w:tc>
          <w:tcPr>
            <w:tcW w:w="1134" w:type="dxa"/>
            <w:shd w:val="clear" w:color="auto" w:fill="C4EFCE"/>
            <w:vAlign w:val="center"/>
          </w:tcPr>
          <w:p w14:paraId="6355B752" w14:textId="337B4A60" w:rsidR="00A15990" w:rsidRDefault="00686A62">
            <w:pPr>
              <w:pStyle w:val="P68B1DB1-Normal11"/>
              <w:spacing w:after="0" w:line="240" w:lineRule="auto"/>
              <w:jc w:val="center"/>
              <w:rPr>
                <w:rFonts w:cstheme="minorHAnsi"/>
                <w:noProof/>
              </w:rPr>
            </w:pPr>
            <w:r>
              <w:rPr>
                <w:noProof/>
              </w:rPr>
              <w:t>5.38</w:t>
            </w:r>
          </w:p>
        </w:tc>
        <w:tc>
          <w:tcPr>
            <w:tcW w:w="1165" w:type="dxa"/>
            <w:shd w:val="clear" w:color="auto" w:fill="C4EFCE"/>
            <w:vAlign w:val="center"/>
          </w:tcPr>
          <w:p w14:paraId="6A66A585" w14:textId="1CB84C87" w:rsidR="00A15990" w:rsidRDefault="00686A62">
            <w:pPr>
              <w:pStyle w:val="P68B1DB1-Normal12"/>
              <w:spacing w:after="0" w:line="240" w:lineRule="auto"/>
              <w:jc w:val="center"/>
              <w:rPr>
                <w:rFonts w:cstheme="minorHAnsi"/>
                <w:noProof/>
              </w:rPr>
            </w:pPr>
            <w:r>
              <w:rPr>
                <w:noProof/>
              </w:rPr>
              <w:t>RE-C05-i08</w:t>
            </w:r>
          </w:p>
        </w:tc>
        <w:tc>
          <w:tcPr>
            <w:tcW w:w="976" w:type="dxa"/>
            <w:shd w:val="clear" w:color="auto" w:fill="C4EFCE"/>
            <w:vAlign w:val="center"/>
          </w:tcPr>
          <w:p w14:paraId="7EE8CC42" w14:textId="655C9C80" w:rsidR="00A15990" w:rsidRDefault="00686A62">
            <w:pPr>
              <w:pStyle w:val="P68B1DB1-Normal12"/>
              <w:spacing w:after="0" w:line="240" w:lineRule="auto"/>
              <w:jc w:val="center"/>
              <w:rPr>
                <w:rFonts w:cstheme="minorHAnsi"/>
                <w:noProof/>
              </w:rPr>
            </w:pPr>
            <w:r>
              <w:rPr>
                <w:noProof/>
              </w:rPr>
              <w:t>M</w:t>
            </w:r>
          </w:p>
        </w:tc>
        <w:tc>
          <w:tcPr>
            <w:tcW w:w="1668" w:type="dxa"/>
            <w:shd w:val="clear" w:color="auto" w:fill="C4EFCE"/>
            <w:vAlign w:val="center"/>
          </w:tcPr>
          <w:p w14:paraId="43F1043A" w14:textId="587CA9BE" w:rsidR="00A15990" w:rsidRDefault="00686A62">
            <w:pPr>
              <w:pStyle w:val="P68B1DB1-Normal12"/>
              <w:spacing w:after="0" w:line="240" w:lineRule="auto"/>
              <w:jc w:val="center"/>
              <w:rPr>
                <w:rFonts w:cstheme="minorHAnsi"/>
                <w:noProof/>
              </w:rPr>
            </w:pPr>
            <w:r>
              <w:rPr>
                <w:noProof/>
              </w:rPr>
              <w:t>Finalizarea infrastructurii de sprijin și a centrului de date pentru Centrul național de calcul avansat</w:t>
            </w:r>
          </w:p>
        </w:tc>
        <w:tc>
          <w:tcPr>
            <w:tcW w:w="2029" w:type="dxa"/>
            <w:shd w:val="clear" w:color="auto" w:fill="C4EFCE"/>
            <w:vAlign w:val="center"/>
          </w:tcPr>
          <w:p w14:paraId="103BEF7A" w14:textId="505B7CAB" w:rsidR="00A15990" w:rsidRDefault="00686A62">
            <w:pPr>
              <w:pStyle w:val="P68B1DB1-Normal12"/>
              <w:spacing w:after="0" w:line="240" w:lineRule="auto"/>
              <w:jc w:val="center"/>
              <w:rPr>
                <w:rFonts w:cstheme="minorHAnsi"/>
                <w:noProof/>
              </w:rPr>
            </w:pPr>
            <w:r>
              <w:rPr>
                <w:noProof/>
              </w:rPr>
              <w:t xml:space="preserve"> Finalizarea infrastructurii de sprijin și a centrului de date pentru Centrul național de calcul avansat</w:t>
            </w:r>
          </w:p>
        </w:tc>
        <w:tc>
          <w:tcPr>
            <w:tcW w:w="982" w:type="dxa"/>
            <w:shd w:val="clear" w:color="auto" w:fill="C4EFCE"/>
            <w:vAlign w:val="center"/>
          </w:tcPr>
          <w:p w14:paraId="665EDCF5" w14:textId="77777777" w:rsidR="00A15990" w:rsidRDefault="00A15990">
            <w:pPr>
              <w:spacing w:after="0" w:line="240" w:lineRule="auto"/>
              <w:jc w:val="center"/>
              <w:rPr>
                <w:rFonts w:cstheme="minorHAnsi"/>
                <w:noProof/>
                <w:sz w:val="16"/>
              </w:rPr>
            </w:pPr>
          </w:p>
        </w:tc>
        <w:tc>
          <w:tcPr>
            <w:tcW w:w="982" w:type="dxa"/>
            <w:shd w:val="clear" w:color="auto" w:fill="C4EFCE"/>
            <w:vAlign w:val="center"/>
          </w:tcPr>
          <w:p w14:paraId="604F8156" w14:textId="77777777" w:rsidR="00A15990" w:rsidRDefault="00A15990">
            <w:pPr>
              <w:spacing w:after="0" w:line="240" w:lineRule="auto"/>
              <w:jc w:val="center"/>
              <w:rPr>
                <w:rFonts w:cstheme="minorHAnsi"/>
                <w:noProof/>
                <w:sz w:val="16"/>
              </w:rPr>
            </w:pPr>
          </w:p>
        </w:tc>
        <w:tc>
          <w:tcPr>
            <w:tcW w:w="626" w:type="dxa"/>
            <w:shd w:val="clear" w:color="auto" w:fill="C4EFCE"/>
            <w:vAlign w:val="center"/>
          </w:tcPr>
          <w:p w14:paraId="6521B461" w14:textId="77777777" w:rsidR="00A15990" w:rsidRDefault="00A15990">
            <w:pPr>
              <w:spacing w:after="0" w:line="240" w:lineRule="auto"/>
              <w:jc w:val="center"/>
              <w:rPr>
                <w:rFonts w:cstheme="minorHAnsi"/>
                <w:noProof/>
                <w:sz w:val="16"/>
                <w:highlight w:val="cyan"/>
              </w:rPr>
            </w:pPr>
          </w:p>
        </w:tc>
        <w:tc>
          <w:tcPr>
            <w:tcW w:w="514" w:type="dxa"/>
            <w:shd w:val="clear" w:color="auto" w:fill="C4EFCE"/>
            <w:vAlign w:val="center"/>
          </w:tcPr>
          <w:p w14:paraId="5911DBE8" w14:textId="2778B2F0" w:rsidR="00A15990" w:rsidRDefault="00686A62">
            <w:pPr>
              <w:pStyle w:val="P68B1DB1-Normal12"/>
              <w:spacing w:after="0" w:line="240" w:lineRule="auto"/>
              <w:jc w:val="center"/>
              <w:rPr>
                <w:rFonts w:cstheme="minorHAnsi"/>
                <w:noProof/>
              </w:rPr>
            </w:pPr>
            <w:r>
              <w:rPr>
                <w:noProof/>
              </w:rPr>
              <w:t>TRIMESTRUL 1</w:t>
            </w:r>
          </w:p>
        </w:tc>
        <w:tc>
          <w:tcPr>
            <w:tcW w:w="747" w:type="dxa"/>
            <w:shd w:val="clear" w:color="auto" w:fill="C4EFCE"/>
            <w:vAlign w:val="center"/>
          </w:tcPr>
          <w:p w14:paraId="1D2E37FD" w14:textId="5C75696B" w:rsidR="00A15990" w:rsidRDefault="00686A62">
            <w:pPr>
              <w:pStyle w:val="P68B1DB1-Normal12"/>
              <w:spacing w:after="0" w:line="240" w:lineRule="auto"/>
              <w:jc w:val="center"/>
              <w:rPr>
                <w:rFonts w:cstheme="minorHAnsi"/>
                <w:noProof/>
              </w:rPr>
            </w:pPr>
            <w:r>
              <w:rPr>
                <w:noProof/>
              </w:rPr>
              <w:t>2026</w:t>
            </w:r>
          </w:p>
        </w:tc>
        <w:tc>
          <w:tcPr>
            <w:tcW w:w="3919" w:type="dxa"/>
            <w:shd w:val="clear" w:color="auto" w:fill="C4EFCE"/>
            <w:vAlign w:val="center"/>
          </w:tcPr>
          <w:p w14:paraId="11269D2F" w14:textId="53F8063F" w:rsidR="00A15990" w:rsidRDefault="00686A62">
            <w:pPr>
              <w:pStyle w:val="P68B1DB1-Bodytext1013"/>
              <w:spacing w:line="256" w:lineRule="auto"/>
              <w:rPr>
                <w:rFonts w:cstheme="minorHAnsi"/>
                <w:noProof/>
              </w:rPr>
            </w:pPr>
            <w:r>
              <w:rPr>
                <w:noProof/>
              </w:rPr>
              <w:t>Finalizarea infrastructurii de sprijin și a centrului de date pentru Centrul național de calcul avansat </w:t>
            </w:r>
          </w:p>
        </w:tc>
      </w:tr>
      <w:tr w:rsidR="00A15990" w14:paraId="3AE6E34A" w14:textId="77777777">
        <w:trPr>
          <w:trHeight w:val="67"/>
        </w:trPr>
        <w:tc>
          <w:tcPr>
            <w:tcW w:w="1134" w:type="dxa"/>
            <w:shd w:val="clear" w:color="auto" w:fill="C4EFCE"/>
            <w:vAlign w:val="center"/>
          </w:tcPr>
          <w:p w14:paraId="55867E7C" w14:textId="373DE81E" w:rsidR="00A15990" w:rsidRDefault="00686A62">
            <w:pPr>
              <w:pStyle w:val="P68B1DB1-Normal11"/>
              <w:spacing w:after="0" w:line="240" w:lineRule="auto"/>
              <w:jc w:val="center"/>
              <w:rPr>
                <w:rFonts w:cstheme="minorHAnsi"/>
                <w:noProof/>
              </w:rPr>
            </w:pPr>
            <w:r>
              <w:rPr>
                <w:noProof/>
              </w:rPr>
              <w:t>5.39</w:t>
            </w:r>
          </w:p>
        </w:tc>
        <w:tc>
          <w:tcPr>
            <w:tcW w:w="1165" w:type="dxa"/>
            <w:shd w:val="clear" w:color="auto" w:fill="C4EFCE"/>
            <w:vAlign w:val="center"/>
          </w:tcPr>
          <w:p w14:paraId="23AF3018" w14:textId="0A8EDF3B" w:rsidR="00A15990" w:rsidRDefault="00686A62">
            <w:pPr>
              <w:pStyle w:val="P68B1DB1-Normal12"/>
              <w:spacing w:after="0" w:line="240" w:lineRule="auto"/>
              <w:jc w:val="center"/>
              <w:rPr>
                <w:rFonts w:cstheme="minorHAnsi"/>
                <w:noProof/>
              </w:rPr>
            </w:pPr>
            <w:r>
              <w:rPr>
                <w:noProof/>
              </w:rPr>
              <w:t>RE-C05-i09</w:t>
            </w:r>
          </w:p>
        </w:tc>
        <w:tc>
          <w:tcPr>
            <w:tcW w:w="976" w:type="dxa"/>
            <w:shd w:val="clear" w:color="auto" w:fill="C4EFCE"/>
            <w:vAlign w:val="center"/>
          </w:tcPr>
          <w:p w14:paraId="12D4C26B" w14:textId="71E2271E" w:rsidR="00A15990" w:rsidRDefault="00686A62">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0733311B" w14:textId="4DAD6F17" w:rsidR="00A15990" w:rsidRDefault="00686A62">
            <w:pPr>
              <w:pStyle w:val="P68B1DB1-Bodytext1013"/>
              <w:spacing w:line="256" w:lineRule="auto"/>
              <w:jc w:val="center"/>
              <w:rPr>
                <w:rFonts w:cstheme="minorHAnsi"/>
                <w:noProof/>
              </w:rPr>
            </w:pPr>
            <w:r>
              <w:rPr>
                <w:noProof/>
              </w:rPr>
              <w:t>Încheierea de contracte pentru dezvoltarea de noi produse, procese sau servicii în domenii strategice relevante (agende de inovare).</w:t>
            </w:r>
          </w:p>
        </w:tc>
        <w:tc>
          <w:tcPr>
            <w:tcW w:w="2029" w:type="dxa"/>
            <w:shd w:val="clear" w:color="auto" w:fill="C4EFCE"/>
            <w:vAlign w:val="center"/>
          </w:tcPr>
          <w:p w14:paraId="51EF8F0E" w14:textId="406D3CE7" w:rsidR="00A15990" w:rsidRDefault="00A15990">
            <w:pPr>
              <w:spacing w:after="0" w:line="240" w:lineRule="auto"/>
              <w:jc w:val="center"/>
              <w:rPr>
                <w:rFonts w:cstheme="minorHAnsi"/>
                <w:noProof/>
                <w:sz w:val="16"/>
              </w:rPr>
            </w:pPr>
          </w:p>
        </w:tc>
        <w:tc>
          <w:tcPr>
            <w:tcW w:w="982" w:type="dxa"/>
            <w:shd w:val="clear" w:color="auto" w:fill="C4EFCE"/>
            <w:vAlign w:val="center"/>
          </w:tcPr>
          <w:p w14:paraId="6E4FF967" w14:textId="04C05558" w:rsidR="00A15990" w:rsidRDefault="00686A62">
            <w:pPr>
              <w:pStyle w:val="P68B1DB1-Normal12"/>
              <w:spacing w:after="0" w:line="240" w:lineRule="auto"/>
              <w:jc w:val="center"/>
              <w:rPr>
                <w:rFonts w:cstheme="minorHAnsi"/>
                <w:noProof/>
              </w:rPr>
            </w:pPr>
            <w:r>
              <w:rPr>
                <w:noProof/>
              </w:rPr>
              <w:t>Numărul</w:t>
            </w:r>
          </w:p>
        </w:tc>
        <w:tc>
          <w:tcPr>
            <w:tcW w:w="982" w:type="dxa"/>
            <w:shd w:val="clear" w:color="auto" w:fill="C4EFCE"/>
            <w:vAlign w:val="center"/>
          </w:tcPr>
          <w:p w14:paraId="0D1FE526" w14:textId="0994B876" w:rsidR="00A15990" w:rsidRDefault="00686A62">
            <w:pPr>
              <w:pStyle w:val="P68B1DB1-Normal12"/>
              <w:spacing w:after="0" w:line="240" w:lineRule="auto"/>
              <w:jc w:val="center"/>
              <w:rPr>
                <w:rFonts w:cstheme="minorHAnsi"/>
                <w:noProof/>
              </w:rPr>
            </w:pPr>
            <w:r>
              <w:rPr>
                <w:noProof/>
              </w:rPr>
              <w:t>6</w:t>
            </w:r>
          </w:p>
        </w:tc>
        <w:tc>
          <w:tcPr>
            <w:tcW w:w="626" w:type="dxa"/>
            <w:shd w:val="clear" w:color="auto" w:fill="C4EFCE"/>
            <w:vAlign w:val="center"/>
          </w:tcPr>
          <w:p w14:paraId="1BA698AE" w14:textId="4F2BA1A9" w:rsidR="00A15990" w:rsidRDefault="00686A62">
            <w:pPr>
              <w:pStyle w:val="P68B1DB1-Normal12"/>
              <w:spacing w:after="0" w:line="240" w:lineRule="auto"/>
              <w:jc w:val="center"/>
              <w:rPr>
                <w:rFonts w:cstheme="minorHAnsi"/>
                <w:noProof/>
              </w:rPr>
            </w:pPr>
            <w:r>
              <w:rPr>
                <w:noProof/>
              </w:rPr>
              <w:t>12</w:t>
            </w:r>
          </w:p>
        </w:tc>
        <w:tc>
          <w:tcPr>
            <w:tcW w:w="514" w:type="dxa"/>
            <w:shd w:val="clear" w:color="auto" w:fill="C4EFCE"/>
            <w:vAlign w:val="center"/>
          </w:tcPr>
          <w:p w14:paraId="613C15B0" w14:textId="65072EBB" w:rsidR="00A15990" w:rsidRDefault="00686A62">
            <w:pPr>
              <w:pStyle w:val="P68B1DB1-Normal12"/>
              <w:spacing w:after="0" w:line="240" w:lineRule="auto"/>
              <w:jc w:val="center"/>
              <w:rPr>
                <w:noProof/>
              </w:rPr>
            </w:pPr>
            <w:r>
              <w:rPr>
                <w:noProof/>
              </w:rPr>
              <w:t>TRIMESTRUL 2</w:t>
            </w:r>
          </w:p>
        </w:tc>
        <w:tc>
          <w:tcPr>
            <w:tcW w:w="747" w:type="dxa"/>
            <w:shd w:val="clear" w:color="auto" w:fill="C4EFCE"/>
            <w:vAlign w:val="center"/>
          </w:tcPr>
          <w:p w14:paraId="5918EFE8" w14:textId="585FC784" w:rsidR="00A15990" w:rsidRDefault="00686A62">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6D75FE2C" w14:textId="033B317C" w:rsidR="00A15990" w:rsidRDefault="00686A62">
            <w:pPr>
              <w:pStyle w:val="P68B1DB1-Bodytext1013"/>
              <w:spacing w:after="0" w:line="256" w:lineRule="auto"/>
              <w:rPr>
                <w:rFonts w:cstheme="minorHAnsi"/>
                <w:noProof/>
              </w:rPr>
            </w:pPr>
            <w:r>
              <w:rPr>
                <w:noProof/>
              </w:rPr>
              <w:t>Încheierea a șase contracte suplimentare (pacte de inovare sau mobilizare de proiecte) cu consorții, care includ:</w:t>
            </w:r>
          </w:p>
          <w:p w14:paraId="62A4DB6A" w14:textId="77777777" w:rsidR="00A15990" w:rsidRDefault="00686A62">
            <w:pPr>
              <w:pStyle w:val="P68B1DB1-Bodytext1013"/>
              <w:spacing w:after="0" w:line="256" w:lineRule="auto"/>
              <w:rPr>
                <w:rFonts w:cstheme="minorHAnsi"/>
                <w:noProof/>
              </w:rPr>
            </w:pPr>
            <w:r>
              <w:rPr>
                <w:noProof/>
              </w:rPr>
              <w:t>• Identificarea entităților constitutive ale consorțiului;</w:t>
            </w:r>
          </w:p>
          <w:p w14:paraId="69824E0B" w14:textId="77777777" w:rsidR="00A15990" w:rsidRDefault="00686A62">
            <w:pPr>
              <w:pStyle w:val="P68B1DB1-Bodytext1013"/>
              <w:spacing w:after="0" w:line="256" w:lineRule="auto"/>
              <w:rPr>
                <w:rFonts w:cstheme="minorHAnsi"/>
                <w:noProof/>
              </w:rPr>
            </w:pPr>
            <w:r>
              <w:rPr>
                <w:noProof/>
              </w:rPr>
              <w:t>• Planul de afaceri/investiția;</w:t>
            </w:r>
          </w:p>
          <w:p w14:paraId="46F8E259" w14:textId="77777777" w:rsidR="00A15990" w:rsidRDefault="00686A62">
            <w:pPr>
              <w:pStyle w:val="P68B1DB1-Bodytext1013"/>
              <w:spacing w:after="0" w:line="256" w:lineRule="auto"/>
              <w:rPr>
                <w:rFonts w:cstheme="minorHAnsi"/>
                <w:noProof/>
              </w:rPr>
            </w:pPr>
            <w:r>
              <w:rPr>
                <w:noProof/>
              </w:rPr>
              <w:t>• Valoarea finanțării;</w:t>
            </w:r>
          </w:p>
          <w:p w14:paraId="55104ED1" w14:textId="77777777" w:rsidR="00A15990" w:rsidRDefault="00686A62">
            <w:pPr>
              <w:pStyle w:val="P68B1DB1-Bodytext1013"/>
              <w:spacing w:after="0" w:line="256" w:lineRule="auto"/>
              <w:rPr>
                <w:rFonts w:cstheme="minorHAnsi"/>
                <w:noProof/>
              </w:rPr>
            </w:pPr>
            <w:r>
              <w:rPr>
                <w:noProof/>
              </w:rPr>
              <w:t>• Obiectivele pe care beneficiarul trebuie să le îndeplinească;</w:t>
            </w:r>
          </w:p>
          <w:p w14:paraId="6DAC83A3" w14:textId="77777777" w:rsidR="00A15990" w:rsidRDefault="00686A62">
            <w:pPr>
              <w:pStyle w:val="P68B1DB1-Bodytext1013"/>
              <w:spacing w:after="0" w:line="256" w:lineRule="auto"/>
              <w:rPr>
                <w:rFonts w:cstheme="minorHAnsi"/>
                <w:noProof/>
              </w:rPr>
            </w:pPr>
            <w:r>
              <w:rPr>
                <w:noProof/>
              </w:rPr>
              <w:t xml:space="preserve">• Forma monitorizării. </w:t>
            </w:r>
          </w:p>
          <w:p w14:paraId="5CFD5ACF" w14:textId="7A86A58C" w:rsidR="00A15990" w:rsidRDefault="00A15990">
            <w:pPr>
              <w:pStyle w:val="Bodytext10"/>
              <w:spacing w:after="0" w:line="256" w:lineRule="auto"/>
              <w:rPr>
                <w:rFonts w:asciiTheme="minorHAnsi" w:hAnsiTheme="minorHAnsi" w:cstheme="minorHAnsi"/>
                <w:noProof/>
                <w:sz w:val="16"/>
              </w:rPr>
            </w:pPr>
          </w:p>
          <w:p w14:paraId="0E42EAA5" w14:textId="7A444261" w:rsidR="00A15990" w:rsidRDefault="00686A62">
            <w:pPr>
              <w:pStyle w:val="P68B1DB1-Bodytext1013"/>
              <w:spacing w:after="0" w:line="256" w:lineRule="auto"/>
              <w:rPr>
                <w:rFonts w:cstheme="minorHAnsi"/>
                <w:noProof/>
              </w:rPr>
            </w:pPr>
            <w:r>
              <w:rPr>
                <w:noProof/>
              </w:rPr>
              <w:t>Contractele sprijină în total cel puțin 168 de produse, procese sau servicii. Termenii de referință includ criterii de eligibilitate care să garanteze că proiectele selectate respectă Orientările tehnice de „a nu prejudicia în mod semnificativ” (2021/C58/01), prin utilizarea unei liste de excludere și a cerinței de conformitate cu legislația UE și națională relevantă în materie de mediu.</w:t>
            </w:r>
          </w:p>
          <w:p w14:paraId="2CB8717F" w14:textId="38307B1B" w:rsidR="00A15990" w:rsidRDefault="00686A62">
            <w:pPr>
              <w:pStyle w:val="P68B1DB1-Normal12"/>
              <w:spacing w:after="0" w:line="240" w:lineRule="auto"/>
              <w:jc w:val="both"/>
              <w:rPr>
                <w:rFonts w:cstheme="minorHAnsi"/>
                <w:noProof/>
              </w:rPr>
            </w:pPr>
            <w:r>
              <w:rPr>
                <w:noProof/>
              </w:rPr>
              <w:t>Contractele se adaugă contractelor puse în aplicare în RE-C05-i01.01.</w:t>
            </w:r>
          </w:p>
        </w:tc>
      </w:tr>
      <w:tr w:rsidR="00A15990" w14:paraId="79996882" w14:textId="77777777">
        <w:trPr>
          <w:trHeight w:val="67"/>
        </w:trPr>
        <w:tc>
          <w:tcPr>
            <w:tcW w:w="1134" w:type="dxa"/>
            <w:shd w:val="clear" w:color="auto" w:fill="C4EFCE"/>
            <w:vAlign w:val="center"/>
          </w:tcPr>
          <w:p w14:paraId="1F809E62" w14:textId="68C8C255" w:rsidR="00A15990" w:rsidRDefault="00686A62">
            <w:pPr>
              <w:pStyle w:val="P68B1DB1-Normal11"/>
              <w:spacing w:after="0" w:line="240" w:lineRule="auto"/>
              <w:jc w:val="center"/>
              <w:rPr>
                <w:rFonts w:cstheme="minorHAnsi"/>
                <w:noProof/>
              </w:rPr>
            </w:pPr>
            <w:r>
              <w:rPr>
                <w:noProof/>
              </w:rPr>
              <w:t>5.40</w:t>
            </w:r>
          </w:p>
        </w:tc>
        <w:tc>
          <w:tcPr>
            <w:tcW w:w="1165" w:type="dxa"/>
            <w:shd w:val="clear" w:color="auto" w:fill="C4EFCE"/>
            <w:vAlign w:val="center"/>
          </w:tcPr>
          <w:p w14:paraId="2448D13F" w14:textId="7FECC704" w:rsidR="00A15990" w:rsidRDefault="00686A62">
            <w:pPr>
              <w:pStyle w:val="P68B1DB1-Normal12"/>
              <w:spacing w:after="0" w:line="240" w:lineRule="auto"/>
              <w:jc w:val="center"/>
              <w:rPr>
                <w:rFonts w:cstheme="minorHAnsi"/>
                <w:noProof/>
              </w:rPr>
            </w:pPr>
            <w:r>
              <w:rPr>
                <w:noProof/>
              </w:rPr>
              <w:t>RE-C05-i09</w:t>
            </w:r>
          </w:p>
        </w:tc>
        <w:tc>
          <w:tcPr>
            <w:tcW w:w="976" w:type="dxa"/>
            <w:shd w:val="clear" w:color="auto" w:fill="C4EFCE"/>
            <w:vAlign w:val="center"/>
          </w:tcPr>
          <w:p w14:paraId="189027D8" w14:textId="2A50F1CB" w:rsidR="00A15990" w:rsidRDefault="00686A62">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6D5547A8" w14:textId="2F88C75C" w:rsidR="00A15990" w:rsidRDefault="00686A62">
            <w:pPr>
              <w:pStyle w:val="P68B1DB1-Normal12"/>
              <w:spacing w:after="0" w:line="240" w:lineRule="auto"/>
              <w:jc w:val="center"/>
              <w:rPr>
                <w:rFonts w:cstheme="minorHAnsi"/>
                <w:noProof/>
              </w:rPr>
            </w:pPr>
            <w:r>
              <w:rPr>
                <w:noProof/>
              </w:rPr>
              <w:t xml:space="preserve">Finalizarea a 168 produse, procese sau servicii.  </w:t>
            </w:r>
          </w:p>
        </w:tc>
        <w:tc>
          <w:tcPr>
            <w:tcW w:w="2029" w:type="dxa"/>
            <w:shd w:val="clear" w:color="auto" w:fill="C4EFCE"/>
            <w:vAlign w:val="center"/>
          </w:tcPr>
          <w:p w14:paraId="7BAAEF17" w14:textId="54FC47FA" w:rsidR="00A15990" w:rsidRDefault="00686A62">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67A33752" w14:textId="6D621BE2" w:rsidR="00A15990" w:rsidRDefault="00686A62">
            <w:pPr>
              <w:pStyle w:val="P68B1DB1-Normal12"/>
              <w:spacing w:after="0" w:line="240" w:lineRule="auto"/>
              <w:jc w:val="center"/>
              <w:rPr>
                <w:rFonts w:cstheme="minorHAnsi"/>
                <w:noProof/>
              </w:rPr>
            </w:pPr>
            <w:r>
              <w:rPr>
                <w:noProof/>
              </w:rPr>
              <w:t>Numărul</w:t>
            </w:r>
          </w:p>
        </w:tc>
        <w:tc>
          <w:tcPr>
            <w:tcW w:w="982" w:type="dxa"/>
            <w:shd w:val="clear" w:color="auto" w:fill="C4EFCE"/>
            <w:vAlign w:val="center"/>
          </w:tcPr>
          <w:p w14:paraId="7B8E2944" w14:textId="7F3E3842" w:rsidR="00A15990" w:rsidRDefault="00686A62">
            <w:pPr>
              <w:pStyle w:val="P68B1DB1-Normal12"/>
              <w:spacing w:after="0" w:line="240" w:lineRule="auto"/>
              <w:jc w:val="center"/>
              <w:rPr>
                <w:rFonts w:cstheme="minorHAnsi"/>
                <w:noProof/>
              </w:rPr>
            </w:pPr>
            <w:r>
              <w:rPr>
                <w:noProof/>
              </w:rPr>
              <w:t>60</w:t>
            </w:r>
          </w:p>
        </w:tc>
        <w:tc>
          <w:tcPr>
            <w:tcW w:w="626" w:type="dxa"/>
            <w:shd w:val="clear" w:color="auto" w:fill="C4EFCE"/>
            <w:vAlign w:val="center"/>
          </w:tcPr>
          <w:p w14:paraId="17D205CC" w14:textId="6F573DC8" w:rsidR="00A15990" w:rsidRDefault="00686A62">
            <w:pPr>
              <w:pStyle w:val="P68B1DB1-Normal12"/>
              <w:spacing w:after="0" w:line="240" w:lineRule="auto"/>
              <w:jc w:val="center"/>
              <w:rPr>
                <w:rFonts w:cstheme="minorHAnsi"/>
                <w:noProof/>
              </w:rPr>
            </w:pPr>
            <w:r>
              <w:rPr>
                <w:noProof/>
              </w:rPr>
              <w:t xml:space="preserve"> 228</w:t>
            </w:r>
          </w:p>
        </w:tc>
        <w:tc>
          <w:tcPr>
            <w:tcW w:w="514" w:type="dxa"/>
            <w:shd w:val="clear" w:color="auto" w:fill="C4EFCE"/>
            <w:vAlign w:val="center"/>
          </w:tcPr>
          <w:p w14:paraId="6F3532C1" w14:textId="289AE2F2" w:rsidR="00A15990" w:rsidRDefault="00686A62">
            <w:pPr>
              <w:pStyle w:val="P68B1DB1-Normal12"/>
              <w:spacing w:after="0" w:line="240" w:lineRule="auto"/>
              <w:jc w:val="center"/>
              <w:rPr>
                <w:rFonts w:cstheme="minorHAnsi"/>
                <w:noProof/>
              </w:rPr>
            </w:pPr>
            <w:r>
              <w:rPr>
                <w:noProof/>
              </w:rPr>
              <w:t>TRIMESTRUL 4</w:t>
            </w:r>
          </w:p>
        </w:tc>
        <w:tc>
          <w:tcPr>
            <w:tcW w:w="747" w:type="dxa"/>
            <w:shd w:val="clear" w:color="auto" w:fill="C4EFCE"/>
            <w:vAlign w:val="center"/>
          </w:tcPr>
          <w:p w14:paraId="66E91989" w14:textId="59013342" w:rsidR="00A15990" w:rsidRDefault="00686A62">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5634C65C" w14:textId="1CC82B3E" w:rsidR="00A15990" w:rsidRDefault="00686A62">
            <w:pPr>
              <w:pStyle w:val="P68B1DB1-Normal12"/>
              <w:spacing w:after="0" w:line="240" w:lineRule="auto"/>
              <w:jc w:val="both"/>
              <w:rPr>
                <w:rFonts w:cstheme="minorHAnsi"/>
                <w:noProof/>
              </w:rPr>
            </w:pPr>
            <w:r>
              <w:rPr>
                <w:noProof/>
              </w:rPr>
              <w:t xml:space="preserve">Finalizarea a 168 de produse, procese sau servicii în domenii strategice relevante, rezultate din punerea în aplicare a contractelor (pacte de inovare sau de mobilizare a proiectelor) încheiate cu consorții. </w:t>
            </w:r>
          </w:p>
          <w:p w14:paraId="17858DB0" w14:textId="3D72F028" w:rsidR="00A15990" w:rsidRDefault="00686A62">
            <w:pPr>
              <w:pStyle w:val="P68B1DB1-Normal12"/>
              <w:spacing w:after="0" w:line="240" w:lineRule="auto"/>
              <w:jc w:val="both"/>
              <w:rPr>
                <w:rFonts w:cstheme="minorHAnsi"/>
                <w:noProof/>
              </w:rPr>
            </w:pPr>
            <w:r>
              <w:rPr>
                <w:noProof/>
              </w:rPr>
              <w:t>PPS va fi suplimentar față de PPS implementat în RE-C05-i01.01.</w:t>
            </w:r>
          </w:p>
        </w:tc>
      </w:tr>
      <w:tr w:rsidR="00A15990" w14:paraId="54F09D51" w14:textId="77777777">
        <w:trPr>
          <w:trHeight w:val="67"/>
        </w:trPr>
        <w:tc>
          <w:tcPr>
            <w:tcW w:w="1134" w:type="dxa"/>
            <w:shd w:val="clear" w:color="auto" w:fill="C4EFCE"/>
            <w:vAlign w:val="center"/>
          </w:tcPr>
          <w:p w14:paraId="4437149E" w14:textId="3BA835D1" w:rsidR="00A15990" w:rsidRDefault="00686A62">
            <w:pPr>
              <w:pStyle w:val="P68B1DB1-Normal11"/>
              <w:spacing w:after="0" w:line="240" w:lineRule="auto"/>
              <w:jc w:val="center"/>
              <w:rPr>
                <w:rFonts w:cstheme="minorHAnsi"/>
                <w:noProof/>
              </w:rPr>
            </w:pPr>
            <w:r>
              <w:rPr>
                <w:noProof/>
              </w:rPr>
              <w:t>5.41</w:t>
            </w:r>
          </w:p>
        </w:tc>
        <w:tc>
          <w:tcPr>
            <w:tcW w:w="1165" w:type="dxa"/>
            <w:shd w:val="clear" w:color="auto" w:fill="C4EFCE"/>
            <w:vAlign w:val="center"/>
          </w:tcPr>
          <w:p w14:paraId="101EC2D9" w14:textId="6518B9EE" w:rsidR="00A15990" w:rsidRDefault="00686A62">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0725C352" w14:textId="063CCE63" w:rsidR="00A15990" w:rsidRDefault="00686A62">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4EC2D503" w14:textId="59A7F5B4" w:rsidR="00A15990" w:rsidRDefault="00686A62">
            <w:pPr>
              <w:pStyle w:val="P68B1DB1-Normal12"/>
              <w:spacing w:after="0" w:line="240" w:lineRule="auto"/>
              <w:jc w:val="center"/>
              <w:rPr>
                <w:rFonts w:cstheme="minorHAnsi"/>
                <w:noProof/>
              </w:rPr>
            </w:pPr>
            <w:r>
              <w:rPr>
                <w:noProof/>
              </w:rPr>
              <w:t>Încheierea de contracte pentru dezvoltarea de noi produse, procese sau servicii în domenii strategice relevante pentru economia cu emisii scăzute de dioxid de carbon, reziliența și adaptarea la schimbările climatice.</w:t>
            </w:r>
          </w:p>
        </w:tc>
        <w:tc>
          <w:tcPr>
            <w:tcW w:w="2029" w:type="dxa"/>
            <w:shd w:val="clear" w:color="auto" w:fill="C4EFCE"/>
            <w:vAlign w:val="center"/>
          </w:tcPr>
          <w:p w14:paraId="2372C515" w14:textId="07E910F9" w:rsidR="00A15990" w:rsidRDefault="00686A62">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04FF8D2D" w14:textId="133CE3BF" w:rsidR="00A15990" w:rsidRDefault="00686A62">
            <w:pPr>
              <w:pStyle w:val="P68B1DB1-Normal12"/>
              <w:spacing w:after="0" w:line="240" w:lineRule="auto"/>
              <w:jc w:val="center"/>
              <w:rPr>
                <w:rFonts w:cstheme="minorHAnsi"/>
                <w:noProof/>
              </w:rPr>
            </w:pPr>
            <w:r>
              <w:rPr>
                <w:noProof/>
              </w:rPr>
              <w:t>Numărul</w:t>
            </w:r>
          </w:p>
        </w:tc>
        <w:tc>
          <w:tcPr>
            <w:tcW w:w="982" w:type="dxa"/>
            <w:shd w:val="clear" w:color="auto" w:fill="C4EFCE"/>
            <w:vAlign w:val="center"/>
          </w:tcPr>
          <w:p w14:paraId="5AD7A2F4" w14:textId="21F9CE36" w:rsidR="00A15990" w:rsidRDefault="00686A62">
            <w:pPr>
              <w:pStyle w:val="P68B1DB1-Normal12"/>
              <w:spacing w:after="0" w:line="240" w:lineRule="auto"/>
              <w:jc w:val="center"/>
              <w:rPr>
                <w:rFonts w:cstheme="minorHAnsi"/>
                <w:noProof/>
              </w:rPr>
            </w:pPr>
            <w:r>
              <w:rPr>
                <w:noProof/>
              </w:rPr>
              <w:t>4</w:t>
            </w:r>
          </w:p>
        </w:tc>
        <w:tc>
          <w:tcPr>
            <w:tcW w:w="626" w:type="dxa"/>
            <w:shd w:val="clear" w:color="auto" w:fill="C4EFCE"/>
            <w:vAlign w:val="center"/>
          </w:tcPr>
          <w:p w14:paraId="1D935FE8" w14:textId="05F0796F" w:rsidR="00A15990" w:rsidRDefault="00686A62">
            <w:pPr>
              <w:pStyle w:val="P68B1DB1-Normal12"/>
              <w:spacing w:after="0" w:line="240" w:lineRule="auto"/>
              <w:jc w:val="center"/>
              <w:rPr>
                <w:rFonts w:cstheme="minorHAnsi"/>
                <w:noProof/>
              </w:rPr>
            </w:pPr>
            <w:r>
              <w:rPr>
                <w:noProof/>
              </w:rPr>
              <w:t>10</w:t>
            </w:r>
          </w:p>
        </w:tc>
        <w:tc>
          <w:tcPr>
            <w:tcW w:w="514" w:type="dxa"/>
            <w:shd w:val="clear" w:color="auto" w:fill="C4EFCE"/>
            <w:vAlign w:val="center"/>
          </w:tcPr>
          <w:p w14:paraId="39D30506" w14:textId="0975D809" w:rsidR="00A15990" w:rsidRDefault="00686A62">
            <w:pPr>
              <w:pStyle w:val="P68B1DB1-Normal12"/>
              <w:spacing w:after="0" w:line="240" w:lineRule="auto"/>
              <w:jc w:val="center"/>
              <w:rPr>
                <w:noProof/>
              </w:rPr>
            </w:pPr>
            <w:r>
              <w:rPr>
                <w:noProof/>
              </w:rPr>
              <w:t>TRIMESTRUL 2</w:t>
            </w:r>
          </w:p>
        </w:tc>
        <w:tc>
          <w:tcPr>
            <w:tcW w:w="747" w:type="dxa"/>
            <w:shd w:val="clear" w:color="auto" w:fill="C4EFCE"/>
            <w:vAlign w:val="center"/>
          </w:tcPr>
          <w:p w14:paraId="6F74846E" w14:textId="4FBFD7C9" w:rsidR="00A15990" w:rsidRDefault="00686A62">
            <w:pPr>
              <w:pStyle w:val="P68B1DB1-Normal12"/>
              <w:spacing w:after="0" w:line="240" w:lineRule="auto"/>
              <w:jc w:val="center"/>
              <w:rPr>
                <w:rFonts w:cstheme="minorHAnsi"/>
                <w:noProof/>
              </w:rPr>
            </w:pPr>
            <w:r>
              <w:rPr>
                <w:noProof/>
              </w:rPr>
              <w:t>2023</w:t>
            </w:r>
          </w:p>
        </w:tc>
        <w:tc>
          <w:tcPr>
            <w:tcW w:w="3919" w:type="dxa"/>
            <w:shd w:val="clear" w:color="auto" w:fill="C4EFCE"/>
            <w:vAlign w:val="center"/>
          </w:tcPr>
          <w:p w14:paraId="0DC61D27" w14:textId="2F8F2DAB" w:rsidR="00A15990" w:rsidRDefault="00686A62">
            <w:pPr>
              <w:pStyle w:val="P68B1DB1-Bodytext1013"/>
              <w:spacing w:after="0" w:line="256" w:lineRule="auto"/>
              <w:rPr>
                <w:rFonts w:eastAsiaTheme="minorEastAsia" w:cstheme="minorBidi"/>
                <w:noProof/>
              </w:rPr>
            </w:pPr>
            <w:r>
              <w:rPr>
                <w:noProof/>
              </w:rPr>
              <w:t xml:space="preserve"> Încheierea a șase contracte suplimentare (pacte de inovare sau mobilizare de proiecte) cu consorții, care includ:</w:t>
            </w:r>
          </w:p>
          <w:p w14:paraId="04592090" w14:textId="77777777" w:rsidR="00A15990" w:rsidRDefault="00686A62">
            <w:pPr>
              <w:pStyle w:val="P68B1DB1-Bodytext1013"/>
              <w:spacing w:after="0" w:line="256" w:lineRule="auto"/>
              <w:rPr>
                <w:rFonts w:cstheme="minorHAnsi"/>
                <w:noProof/>
              </w:rPr>
            </w:pPr>
            <w:r>
              <w:rPr>
                <w:noProof/>
              </w:rPr>
              <w:t>• Identificarea entităților constitutive ale consorțiului;</w:t>
            </w:r>
          </w:p>
          <w:p w14:paraId="6A42DB0C" w14:textId="77777777" w:rsidR="00A15990" w:rsidRDefault="00686A62">
            <w:pPr>
              <w:pStyle w:val="P68B1DB1-Bodytext1013"/>
              <w:spacing w:after="0" w:line="256" w:lineRule="auto"/>
              <w:rPr>
                <w:rFonts w:cstheme="minorHAnsi"/>
                <w:noProof/>
              </w:rPr>
            </w:pPr>
            <w:r>
              <w:rPr>
                <w:noProof/>
              </w:rPr>
              <w:t>• Planul de afaceri/investiția;</w:t>
            </w:r>
          </w:p>
          <w:p w14:paraId="21DA580B" w14:textId="77777777" w:rsidR="00A15990" w:rsidRDefault="00686A62">
            <w:pPr>
              <w:pStyle w:val="P68B1DB1-Bodytext1013"/>
              <w:spacing w:after="0" w:line="256" w:lineRule="auto"/>
              <w:rPr>
                <w:rFonts w:cstheme="minorHAnsi"/>
                <w:noProof/>
              </w:rPr>
            </w:pPr>
            <w:r>
              <w:rPr>
                <w:noProof/>
              </w:rPr>
              <w:t>• Valoarea finanțării;</w:t>
            </w:r>
          </w:p>
          <w:p w14:paraId="50705B10" w14:textId="77777777" w:rsidR="00A15990" w:rsidRDefault="00686A62">
            <w:pPr>
              <w:pStyle w:val="P68B1DB1-Bodytext1013"/>
              <w:spacing w:after="0" w:line="256" w:lineRule="auto"/>
              <w:rPr>
                <w:rFonts w:cstheme="minorHAnsi"/>
                <w:noProof/>
              </w:rPr>
            </w:pPr>
            <w:r>
              <w:rPr>
                <w:noProof/>
              </w:rPr>
              <w:t>• Obiectivele pe care beneficiarul trebuie să le îndeplinească;</w:t>
            </w:r>
          </w:p>
          <w:p w14:paraId="01625014" w14:textId="77777777" w:rsidR="00A15990" w:rsidRDefault="00686A62">
            <w:pPr>
              <w:pStyle w:val="P68B1DB1-Bodytext1013"/>
              <w:spacing w:after="0" w:line="256" w:lineRule="auto"/>
              <w:rPr>
                <w:rFonts w:cstheme="minorHAnsi"/>
                <w:noProof/>
              </w:rPr>
            </w:pPr>
            <w:r>
              <w:rPr>
                <w:noProof/>
              </w:rPr>
              <w:t xml:space="preserve">• Forma monitorizării. </w:t>
            </w:r>
          </w:p>
          <w:p w14:paraId="4B9F41BD" w14:textId="09DF7CAF" w:rsidR="00A15990" w:rsidRDefault="00A15990">
            <w:pPr>
              <w:pStyle w:val="Bodytext10"/>
              <w:spacing w:after="0" w:line="256" w:lineRule="auto"/>
              <w:rPr>
                <w:rFonts w:asciiTheme="minorHAnsi" w:hAnsiTheme="minorHAnsi" w:cstheme="minorBidi"/>
                <w:noProof/>
                <w:sz w:val="16"/>
              </w:rPr>
            </w:pPr>
          </w:p>
          <w:p w14:paraId="20E874EC" w14:textId="6019E06D" w:rsidR="00A15990" w:rsidRDefault="00686A62">
            <w:pPr>
              <w:pStyle w:val="P68B1DB1-Bodytext1013"/>
              <w:spacing w:after="0" w:line="256" w:lineRule="auto"/>
              <w:rPr>
                <w:rFonts w:cstheme="minorHAnsi"/>
                <w:noProof/>
              </w:rPr>
            </w:pPr>
            <w:r>
              <w:rPr>
                <w:noProof/>
              </w:rPr>
              <w:t>Contractele sprijină în total cel puțin 98 de produse, procese sau servicii și se aliniază la domeniul de intervenție 022 (Proceduri de cercetare și inovare, transfer de tehnologie și cooperare între întreprinderi, cu accent pe economia cu emisii scăzute de dioxid de carbon și pe reziliența și adaptarea la schimbările climatice). Termenii de referință includ criterii de eligibilitate care garantează că proiectele selectate respectă Orientările tehnice de „a nu prejudicia în mod semnificativ” (2021/C58/01) prin utilizarea unei liste de excludere și a cerinței de conformitate cu legislația UE și națională relevantă în materie de mediu.</w:t>
            </w:r>
          </w:p>
          <w:p w14:paraId="64095437" w14:textId="10DA3C38" w:rsidR="00A15990" w:rsidRDefault="00686A62">
            <w:pPr>
              <w:pStyle w:val="P68B1DB1-Normal12"/>
              <w:spacing w:after="0" w:line="240" w:lineRule="auto"/>
              <w:jc w:val="both"/>
              <w:rPr>
                <w:rFonts w:cstheme="minorHAnsi"/>
                <w:noProof/>
              </w:rPr>
            </w:pPr>
            <w:r>
              <w:rPr>
                <w:noProof/>
              </w:rPr>
              <w:t>Contractele se adaugă contractelor puse în aplicare în RE-C05-i01.02.</w:t>
            </w:r>
          </w:p>
        </w:tc>
      </w:tr>
      <w:tr w:rsidR="00A15990" w14:paraId="2CFB1DE4" w14:textId="77777777">
        <w:trPr>
          <w:trHeight w:val="67"/>
        </w:trPr>
        <w:tc>
          <w:tcPr>
            <w:tcW w:w="1134" w:type="dxa"/>
            <w:shd w:val="clear" w:color="auto" w:fill="C4EFCE"/>
            <w:vAlign w:val="center"/>
          </w:tcPr>
          <w:p w14:paraId="0F626A07" w14:textId="1AAA4C66" w:rsidR="00A15990" w:rsidRDefault="00686A62">
            <w:pPr>
              <w:pStyle w:val="P68B1DB1-Normal11"/>
              <w:spacing w:after="0" w:line="240" w:lineRule="auto"/>
              <w:jc w:val="center"/>
              <w:rPr>
                <w:rFonts w:cstheme="minorHAnsi"/>
                <w:noProof/>
              </w:rPr>
            </w:pPr>
            <w:r>
              <w:rPr>
                <w:noProof/>
              </w:rPr>
              <w:t>5.42</w:t>
            </w:r>
          </w:p>
        </w:tc>
        <w:tc>
          <w:tcPr>
            <w:tcW w:w="1165" w:type="dxa"/>
            <w:shd w:val="clear" w:color="auto" w:fill="C4EFCE"/>
            <w:vAlign w:val="center"/>
          </w:tcPr>
          <w:p w14:paraId="4D8A4205" w14:textId="197B1A16" w:rsidR="00A15990" w:rsidRDefault="00686A62">
            <w:pPr>
              <w:pStyle w:val="P68B1DB1-Normal12"/>
              <w:spacing w:after="0" w:line="240" w:lineRule="auto"/>
              <w:jc w:val="center"/>
              <w:rPr>
                <w:rFonts w:cstheme="minorHAnsi"/>
                <w:noProof/>
              </w:rPr>
            </w:pPr>
            <w:r>
              <w:rPr>
                <w:noProof/>
              </w:rPr>
              <w:t>RE-C05-i10</w:t>
            </w:r>
          </w:p>
        </w:tc>
        <w:tc>
          <w:tcPr>
            <w:tcW w:w="976" w:type="dxa"/>
            <w:shd w:val="clear" w:color="auto" w:fill="C4EFCE"/>
            <w:vAlign w:val="center"/>
          </w:tcPr>
          <w:p w14:paraId="4C138B7D" w14:textId="446CCEF5" w:rsidR="00A15990" w:rsidRDefault="00686A62">
            <w:pPr>
              <w:pStyle w:val="P68B1DB1-Normal12"/>
              <w:spacing w:after="0" w:line="240" w:lineRule="auto"/>
              <w:jc w:val="center"/>
              <w:rPr>
                <w:rFonts w:cstheme="minorHAnsi"/>
                <w:noProof/>
              </w:rPr>
            </w:pPr>
            <w:r>
              <w:rPr>
                <w:noProof/>
              </w:rPr>
              <w:t>T</w:t>
            </w:r>
          </w:p>
        </w:tc>
        <w:tc>
          <w:tcPr>
            <w:tcW w:w="1668" w:type="dxa"/>
            <w:shd w:val="clear" w:color="auto" w:fill="C4EFCE"/>
            <w:vAlign w:val="center"/>
          </w:tcPr>
          <w:p w14:paraId="24DB13CD" w14:textId="5E486B06" w:rsidR="00A15990" w:rsidRDefault="00686A62">
            <w:pPr>
              <w:pStyle w:val="P68B1DB1-Normal12"/>
              <w:spacing w:after="0" w:line="240" w:lineRule="auto"/>
              <w:jc w:val="center"/>
              <w:rPr>
                <w:rFonts w:cstheme="minorHAnsi"/>
                <w:noProof/>
              </w:rPr>
            </w:pPr>
            <w:r>
              <w:rPr>
                <w:noProof/>
              </w:rPr>
              <w:t>Finalizarea produselor, proceselor sau serviciilor relevante pentru economia cu emisii scăzute de dioxid de carbon, reziliența și adaptarea la schimbările climatice.</w:t>
            </w:r>
          </w:p>
        </w:tc>
        <w:tc>
          <w:tcPr>
            <w:tcW w:w="2029" w:type="dxa"/>
            <w:shd w:val="clear" w:color="auto" w:fill="C4EFCE"/>
            <w:vAlign w:val="center"/>
          </w:tcPr>
          <w:p w14:paraId="03936DB4" w14:textId="5D309DC9" w:rsidR="00A15990" w:rsidRDefault="00686A62">
            <w:pPr>
              <w:pStyle w:val="P68B1DB1-Normal12"/>
              <w:spacing w:after="0" w:line="240" w:lineRule="auto"/>
              <w:jc w:val="center"/>
              <w:rPr>
                <w:rFonts w:cstheme="minorHAnsi"/>
                <w:noProof/>
              </w:rPr>
            </w:pPr>
            <w:r>
              <w:rPr>
                <w:noProof/>
              </w:rPr>
              <w:t> </w:t>
            </w:r>
          </w:p>
        </w:tc>
        <w:tc>
          <w:tcPr>
            <w:tcW w:w="982" w:type="dxa"/>
            <w:shd w:val="clear" w:color="auto" w:fill="C4EFCE"/>
            <w:vAlign w:val="center"/>
          </w:tcPr>
          <w:p w14:paraId="49E437C8" w14:textId="2D221C76" w:rsidR="00A15990" w:rsidRDefault="00686A62">
            <w:pPr>
              <w:pStyle w:val="P68B1DB1-Normal12"/>
              <w:spacing w:after="0" w:line="240" w:lineRule="auto"/>
              <w:jc w:val="center"/>
              <w:rPr>
                <w:rFonts w:cstheme="minorHAnsi"/>
                <w:noProof/>
              </w:rPr>
            </w:pPr>
            <w:r>
              <w:rPr>
                <w:noProof/>
              </w:rPr>
              <w:t>Numărul</w:t>
            </w:r>
          </w:p>
        </w:tc>
        <w:tc>
          <w:tcPr>
            <w:tcW w:w="982" w:type="dxa"/>
            <w:shd w:val="clear" w:color="auto" w:fill="C4EFCE"/>
            <w:vAlign w:val="center"/>
          </w:tcPr>
          <w:p w14:paraId="533CBFA2" w14:textId="10AA98B0" w:rsidR="00A15990" w:rsidRDefault="00686A62">
            <w:pPr>
              <w:pStyle w:val="P68B1DB1-Normal12"/>
              <w:spacing w:after="0" w:line="240" w:lineRule="auto"/>
              <w:jc w:val="center"/>
              <w:rPr>
                <w:rFonts w:cstheme="minorHAnsi"/>
                <w:noProof/>
              </w:rPr>
            </w:pPr>
            <w:r>
              <w:rPr>
                <w:noProof/>
              </w:rPr>
              <w:t>40</w:t>
            </w:r>
          </w:p>
        </w:tc>
        <w:tc>
          <w:tcPr>
            <w:tcW w:w="626" w:type="dxa"/>
            <w:shd w:val="clear" w:color="auto" w:fill="C4EFCE"/>
            <w:vAlign w:val="center"/>
          </w:tcPr>
          <w:p w14:paraId="5C908ABC" w14:textId="0CD01BA3" w:rsidR="00A15990" w:rsidRDefault="00686A62">
            <w:pPr>
              <w:pStyle w:val="P68B1DB1-Normal12"/>
              <w:spacing w:after="0" w:line="240" w:lineRule="auto"/>
              <w:jc w:val="center"/>
              <w:rPr>
                <w:rFonts w:cstheme="minorHAnsi"/>
                <w:noProof/>
              </w:rPr>
            </w:pPr>
            <w:r>
              <w:rPr>
                <w:noProof/>
              </w:rPr>
              <w:t>138</w:t>
            </w:r>
          </w:p>
        </w:tc>
        <w:tc>
          <w:tcPr>
            <w:tcW w:w="514" w:type="dxa"/>
            <w:shd w:val="clear" w:color="auto" w:fill="C4EFCE"/>
            <w:vAlign w:val="center"/>
          </w:tcPr>
          <w:p w14:paraId="302722D1" w14:textId="34725CE1" w:rsidR="00A15990" w:rsidRDefault="00686A62">
            <w:pPr>
              <w:pStyle w:val="P68B1DB1-Normal12"/>
              <w:spacing w:after="0" w:line="240" w:lineRule="auto"/>
              <w:jc w:val="center"/>
              <w:rPr>
                <w:rFonts w:cstheme="minorHAnsi"/>
                <w:noProof/>
              </w:rPr>
            </w:pPr>
            <w:r>
              <w:rPr>
                <w:noProof/>
              </w:rPr>
              <w:t>TRIMESTRUL 4</w:t>
            </w:r>
          </w:p>
        </w:tc>
        <w:tc>
          <w:tcPr>
            <w:tcW w:w="747" w:type="dxa"/>
            <w:shd w:val="clear" w:color="auto" w:fill="C4EFCE"/>
            <w:vAlign w:val="center"/>
          </w:tcPr>
          <w:p w14:paraId="686F8191" w14:textId="1900D775" w:rsidR="00A15990" w:rsidRDefault="00686A62">
            <w:pPr>
              <w:pStyle w:val="P68B1DB1-Normal12"/>
              <w:spacing w:after="0" w:line="240" w:lineRule="auto"/>
              <w:jc w:val="center"/>
              <w:rPr>
                <w:rFonts w:cstheme="minorHAnsi"/>
                <w:noProof/>
              </w:rPr>
            </w:pPr>
            <w:r>
              <w:rPr>
                <w:noProof/>
              </w:rPr>
              <w:t>2025</w:t>
            </w:r>
          </w:p>
        </w:tc>
        <w:tc>
          <w:tcPr>
            <w:tcW w:w="3919" w:type="dxa"/>
            <w:shd w:val="clear" w:color="auto" w:fill="C4EFCE"/>
            <w:vAlign w:val="center"/>
          </w:tcPr>
          <w:p w14:paraId="3637E13E" w14:textId="77777777" w:rsidR="00A15990" w:rsidRDefault="00686A62">
            <w:pPr>
              <w:pStyle w:val="P68B1DB1-Normal12"/>
              <w:spacing w:after="0" w:line="240" w:lineRule="auto"/>
              <w:jc w:val="both"/>
              <w:rPr>
                <w:rFonts w:cstheme="minorHAnsi"/>
                <w:noProof/>
              </w:rPr>
            </w:pPr>
            <w:r>
              <w:rPr>
                <w:noProof/>
              </w:rPr>
              <w:t>Finalizarea a 98 de produse, procese sau servicii (SPC) care rezultă din punerea în aplicare a contractelor (pacte de inovare sau de mobilizare a proiectelor) încheiate cu consorții, care se aliniază la domeniul de intervenție 022 (Proceduri de cercetare și inovare, transfer de tehnologie și cooperare între întreprinderi, cu accent pe economia cu emisii scăzute de dioxid de carbon și reziliență și adaptarea la schimbările climatice).</w:t>
            </w:r>
          </w:p>
          <w:p w14:paraId="18CA891F" w14:textId="60AEF0E8" w:rsidR="00A15990" w:rsidRDefault="00686A62">
            <w:pPr>
              <w:pStyle w:val="P68B1DB1-Normal12"/>
              <w:spacing w:after="0" w:line="240" w:lineRule="auto"/>
              <w:jc w:val="both"/>
              <w:rPr>
                <w:rFonts w:cstheme="minorHAnsi"/>
                <w:noProof/>
              </w:rPr>
            </w:pPr>
            <w:r>
              <w:rPr>
                <w:noProof/>
              </w:rPr>
              <w:t>PPS va fi suplimentar PPS implementat în RE-C05-i01.02.</w:t>
            </w:r>
          </w:p>
        </w:tc>
      </w:tr>
    </w:tbl>
    <w:p w14:paraId="1934ED30" w14:textId="77777777" w:rsidR="00A15990" w:rsidRDefault="00A15990">
      <w:pPr>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102"/>
          <w:headerReference w:type="default" r:id="rId103"/>
          <w:footerReference w:type="even" r:id="rId104"/>
          <w:footerReference w:type="default" r:id="rId105"/>
          <w:headerReference w:type="first" r:id="rId106"/>
          <w:footerReference w:type="first" r:id="rId107"/>
          <w:pgSz w:w="16839" w:h="11907" w:orient="landscape"/>
          <w:pgMar w:top="1134" w:right="1134" w:bottom="1134" w:left="1134" w:header="567" w:footer="567" w:gutter="0"/>
          <w:cols w:space="720"/>
          <w:docGrid w:linePitch="360"/>
        </w:sectPr>
      </w:pPr>
    </w:p>
    <w:p w14:paraId="1E7C10B9" w14:textId="20E4EE7B" w:rsidR="00A15990" w:rsidRDefault="00686A62">
      <w:pPr>
        <w:pStyle w:val="P68B1DB1-Normal3"/>
        <w:spacing w:before="40" w:after="0" w:line="259" w:lineRule="auto"/>
        <w:ind w:left="130" w:firstLine="720"/>
        <w:jc w:val="both"/>
        <w:outlineLvl w:val="2"/>
        <w:rPr>
          <w:rFonts w:eastAsiaTheme="minorEastAsia" w:cs="Times New Roman"/>
          <w:noProof/>
        </w:rPr>
      </w:pPr>
      <w:r>
        <w:rPr>
          <w:noProof/>
        </w:rPr>
        <w:t xml:space="preserve">E.3. Descrierea reformelor și a investițiilor pentru împrumut </w:t>
      </w:r>
    </w:p>
    <w:p w14:paraId="189A4B39"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Reforma RE-r10: Crearea și dezvoltarea Banco Português de Fomento.</w:t>
      </w:r>
    </w:p>
    <w:p w14:paraId="72447E27"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Obiectivele măsurii sunt de a facilita accesul la finanțare al întreprinderilor portugheze prin reducerea complexității produselor de finanțare a întreprinderilor care beneficiază de sprijin public și prin facilitarea proiectelor de interes strategic național. În acest scop, </w:t>
      </w:r>
      <w:r>
        <w:rPr>
          <w:i/>
          <w:noProof/>
        </w:rPr>
        <w:t>Banco Português de Fomento</w:t>
      </w:r>
      <w:r>
        <w:rPr>
          <w:noProof/>
        </w:rPr>
        <w:t xml:space="preserve"> a fost înființată la 7 septembrie 2020 și a început să funcționeze în noiembrie 2020 ca bancă națională de promovare deținută de stat. Pe lângă misiunea sa principală și de durată, banca este o entitate-cheie în procesul de reluare a activității economice după pandemia de COVID-19, în special permițând firmelor portugheze să beneficieze de acțiunile strategice naționale și europene pentru redresare. </w:t>
      </w:r>
    </w:p>
    <w:p w14:paraId="48A8A411" w14:textId="77777777" w:rsidR="00A15990" w:rsidRDefault="00686A62">
      <w:pPr>
        <w:pStyle w:val="P68B1DB1-Normal4"/>
        <w:spacing w:before="40" w:after="0" w:line="259" w:lineRule="auto"/>
        <w:jc w:val="both"/>
        <w:rPr>
          <w:rFonts w:eastAsiaTheme="minorEastAsia" w:cs="Times New Roman"/>
          <w:noProof/>
        </w:rPr>
      </w:pPr>
      <w:r>
        <w:rPr>
          <w:noProof/>
        </w:rPr>
        <w:t xml:space="preserve">Reforma constă în înființarea legală a </w:t>
      </w:r>
      <w:r>
        <w:rPr>
          <w:i/>
          <w:noProof/>
        </w:rPr>
        <w:t>Banco Português de Fomento</w:t>
      </w:r>
      <w:r>
        <w:rPr>
          <w:noProof/>
        </w:rPr>
        <w:t xml:space="preserve">. </w:t>
      </w:r>
    </w:p>
    <w:p w14:paraId="08AAEA6F" w14:textId="77777777" w:rsidR="00A15990" w:rsidRDefault="00686A62">
      <w:pPr>
        <w:pStyle w:val="P68B1DB1-Normal4"/>
        <w:spacing w:before="40" w:after="0" w:line="259" w:lineRule="auto"/>
        <w:jc w:val="both"/>
        <w:rPr>
          <w:rFonts w:eastAsiaTheme="minorEastAsia" w:cs="Times New Roman"/>
          <w:noProof/>
        </w:rPr>
      </w:pPr>
      <w:r>
        <w:rPr>
          <w:noProof/>
        </w:rPr>
        <w:t>Punerea în aplicare a reformei a fost finalizată până la 31 decembrie 2020.</w:t>
      </w:r>
    </w:p>
    <w:p w14:paraId="1FF05807"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 xml:space="preserve">Reforma RE-r13: Dezvoltarea pieței de capital și promovarea capitalizării societăților nefinanciare </w:t>
      </w:r>
    </w:p>
    <w:p w14:paraId="626DC4C1"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măsurii este de a stimula piața de capital portugheză și de a promova capitalizarea societăților, punând un accent deosebit pe societățile de investiții în valori mobiliare pentru dezvoltarea economiei (SIMFE), pe organismele de plasament colectiv și pe revizuirea codului titlurilor de valoare. </w:t>
      </w:r>
    </w:p>
    <w:p w14:paraId="28221381" w14:textId="77777777" w:rsidR="00A15990" w:rsidRDefault="00686A62">
      <w:pPr>
        <w:pStyle w:val="P68B1DB1-Normal4"/>
        <w:spacing w:before="40" w:after="0" w:line="259" w:lineRule="auto"/>
        <w:jc w:val="both"/>
        <w:rPr>
          <w:rFonts w:eastAsiaTheme="minorEastAsia" w:cs="Times New Roman"/>
          <w:noProof/>
        </w:rPr>
      </w:pPr>
      <w:r>
        <w:rPr>
          <w:noProof/>
        </w:rPr>
        <w:t xml:space="preserve">Această reformă constă în revizuirea cadrului juridic existent și în adoptarea de noi legi care să facă parte din abordarea propusă de guvern pentru a crea un mediu de afaceri mai favorabil și pentru a oferi stimulente reale pentru investiții, capitalizarea întreprinderilor și consolidarea sectorială. Punerea în aplicare a acestei reforme constă în următoarele măsuri: </w:t>
      </w:r>
    </w:p>
    <w:p w14:paraId="3E530B36" w14:textId="77777777" w:rsidR="00A15990" w:rsidRDefault="00686A62">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dezvoltarea pieței de capital; </w:t>
      </w:r>
    </w:p>
    <w:p w14:paraId="12E1FE2C" w14:textId="77777777" w:rsidR="00A15990" w:rsidRDefault="00686A62">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stimularea societăților de investiții în valori mobiliare pentru dezvoltarea economiei (SIMFE); </w:t>
      </w:r>
    </w:p>
    <w:p w14:paraId="02E09283" w14:textId="77777777" w:rsidR="00A15990" w:rsidRDefault="00686A62">
      <w:pPr>
        <w:pStyle w:val="P68B1DB1-Normal4"/>
        <w:keepNext/>
        <w:numPr>
          <w:ilvl w:val="0"/>
          <w:numId w:val="41"/>
        </w:numPr>
        <w:spacing w:before="40" w:after="160" w:line="259" w:lineRule="auto"/>
        <w:contextualSpacing/>
        <w:jc w:val="both"/>
        <w:rPr>
          <w:rFonts w:eastAsiaTheme="minorEastAsia" w:cs="Times New Roman"/>
          <w:noProof/>
        </w:rPr>
      </w:pPr>
      <w:r>
        <w:rPr>
          <w:noProof/>
        </w:rPr>
        <w:t>simplificarea normativă și administrativă;</w:t>
      </w:r>
    </w:p>
    <w:p w14:paraId="7C616BBA" w14:textId="77777777" w:rsidR="00A15990" w:rsidRDefault="00686A62">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revizuirea cadrului juridic pentru organismele de plasament colectiv; și </w:t>
      </w:r>
    </w:p>
    <w:p w14:paraId="406EAAFF" w14:textId="77777777" w:rsidR="00A15990" w:rsidRDefault="00686A62">
      <w:pPr>
        <w:pStyle w:val="P68B1DB1-Normal4"/>
        <w:keepNext/>
        <w:numPr>
          <w:ilvl w:val="0"/>
          <w:numId w:val="41"/>
        </w:numPr>
        <w:spacing w:before="40" w:after="160" w:line="259" w:lineRule="auto"/>
        <w:contextualSpacing/>
        <w:jc w:val="both"/>
        <w:rPr>
          <w:rFonts w:eastAsiaTheme="minorEastAsia" w:cs="Times New Roman"/>
          <w:noProof/>
        </w:rPr>
      </w:pPr>
      <w:r>
        <w:rPr>
          <w:noProof/>
        </w:rPr>
        <w:t xml:space="preserve">stimulente pentru capitalizare (deducere pentru beneficiile reținute și reinvestite). </w:t>
      </w:r>
    </w:p>
    <w:p w14:paraId="70A2BCBE" w14:textId="77777777" w:rsidR="00A15990" w:rsidRDefault="00686A62">
      <w:pPr>
        <w:pStyle w:val="P68B1DB1-Normal4"/>
        <w:spacing w:before="40" w:after="0" w:line="259" w:lineRule="auto"/>
        <w:jc w:val="both"/>
        <w:rPr>
          <w:rFonts w:eastAsiaTheme="minorEastAsia"/>
          <w:noProof/>
        </w:rPr>
      </w:pPr>
      <w:r>
        <w:rPr>
          <w:noProof/>
        </w:rPr>
        <w:t xml:space="preserve">Punerea în aplicare a reformei se finalizează până la 31 decembrie 2023. </w:t>
      </w:r>
    </w:p>
    <w:p w14:paraId="2E2FC980"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 xml:space="preserve">Investiția RE-C05-i06: Capitalizarea întreprinderilor și reziliența financiară/Banco Português de Fomento </w:t>
      </w:r>
    </w:p>
    <w:p w14:paraId="7A51EC5E" w14:textId="23C16BB1" w:rsidR="00A15990" w:rsidRDefault="00686A62">
      <w:pPr>
        <w:pStyle w:val="P68B1DB1-Normal4"/>
        <w:spacing w:before="40" w:after="0" w:line="259" w:lineRule="auto"/>
        <w:jc w:val="both"/>
        <w:rPr>
          <w:rFonts w:eastAsiaTheme="minorEastAsia" w:cs="Times New Roman"/>
          <w:noProof/>
        </w:rPr>
      </w:pPr>
      <w:r>
        <w:rPr>
          <w:noProof/>
        </w:rPr>
        <w:t xml:space="preserve">Obiectivul măsurii este de a aborda problema structurală a subcapitalizării întreprinderilor. Investiția furnizează </w:t>
      </w:r>
      <w:r>
        <w:rPr>
          <w:i/>
          <w:noProof/>
        </w:rPr>
        <w:t>Banco Português de Fomento</w:t>
      </w:r>
      <w:r>
        <w:rPr>
          <w:noProof/>
        </w:rPr>
        <w:t xml:space="preserve">, care are obiectivul de a deveni partener de implementare al InvestEU, o rezervă de capital de 250 000 000 EUR. În plus, se creează un vehicul investițional, care investește ulterior 1 300 000 000 EUR în întreprinderi portugheze viabile sub formă de capital propriu și cvasicapital. </w:t>
      </w:r>
    </w:p>
    <w:p w14:paraId="33E5CD2F" w14:textId="77777777" w:rsidR="00A15990" w:rsidRDefault="00686A62">
      <w:pPr>
        <w:pStyle w:val="P68B1DB1-Normal4"/>
        <w:spacing w:before="40" w:after="0" w:line="259" w:lineRule="auto"/>
        <w:jc w:val="both"/>
        <w:rPr>
          <w:rFonts w:eastAsiaTheme="minorEastAsia" w:cs="Times New Roman"/>
          <w:noProof/>
        </w:rPr>
      </w:pPr>
      <w:r>
        <w:rPr>
          <w:noProof/>
        </w:rPr>
        <w:t xml:space="preserve">Portugalia s-a angajat ca documentul privind politica de investiții referitor la instrumentul în valoare de 1 300 000 000 EUR, care va fi adoptat de </w:t>
      </w:r>
      <w:r>
        <w:rPr>
          <w:i/>
          <w:noProof/>
        </w:rPr>
        <w:t>Banco Português de Fomento în calitate de</w:t>
      </w:r>
      <w:r>
        <w:rPr>
          <w:noProof/>
        </w:rPr>
        <w:t xml:space="preserve"> organism de administrare a vehiculului investițional, să detalieze criteriile de selecție/eligibilitate pentru întreprinderile care beneficiază de sprijin, asigurând respectarea cerințelor în materie de climă și mediu ale Mecanismului de redresare și reziliență, inclusiv conformitatea cu Orientările tehnice de tip DNSH (2021/C58/01) ale activelor/activităților sprijinite și/sau ale întreprinderilor și precizând obiectivele de investiții și randamentele specifice. Pentru conformitatea societăților care beneficiază de sprijin cu Orientările tehnice privind principiul de „a nu aduce prejudicii semnificative” (2021/C58/01), politica de investiții impune: </w:t>
      </w:r>
    </w:p>
    <w:p w14:paraId="11FD4172" w14:textId="77777777" w:rsidR="00A15990" w:rsidRDefault="00686A62">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utilizarea evaluării durabilității; </w:t>
      </w:r>
    </w:p>
    <w:p w14:paraId="3BC45CD3" w14:textId="77777777" w:rsidR="00A15990" w:rsidRDefault="00686A62">
      <w:pPr>
        <w:pStyle w:val="P68B1DB1-Normal4"/>
        <w:keepNext/>
        <w:numPr>
          <w:ilvl w:val="0"/>
          <w:numId w:val="58"/>
        </w:numPr>
        <w:spacing w:before="40" w:after="160" w:line="259" w:lineRule="auto"/>
        <w:contextualSpacing/>
        <w:jc w:val="both"/>
        <w:rPr>
          <w:rFonts w:eastAsiaTheme="minorEastAsia" w:cs="Times New Roman"/>
          <w:noProof/>
        </w:rPr>
      </w:pPr>
      <w:r>
        <w:rPr>
          <w:noProof/>
        </w:rPr>
        <w:t>o listă de excludere care cuprinde următoarele elemente:</w:t>
      </w:r>
    </w:p>
    <w:p w14:paraId="7729DD25" w14:textId="77777777" w:rsidR="00A15990" w:rsidRDefault="00686A62">
      <w:pPr>
        <w:pStyle w:val="P68B1DB1-Normal4"/>
        <w:keepNext/>
        <w:numPr>
          <w:ilvl w:val="0"/>
          <w:numId w:val="65"/>
        </w:numPr>
        <w:spacing w:before="40" w:after="160" w:line="259" w:lineRule="auto"/>
        <w:contextualSpacing/>
        <w:jc w:val="both"/>
        <w:rPr>
          <w:rFonts w:eastAsiaTheme="minorEastAsia" w:cs="Times New Roman"/>
          <w:noProof/>
        </w:rPr>
      </w:pPr>
      <w:r>
        <w:rPr>
          <w:noProof/>
        </w:rPr>
        <w:t>Activități legate de combustibilii fosili, inclusiv utilizarea în aval</w:t>
      </w:r>
      <w:r>
        <w:rPr>
          <w:noProof/>
        </w:rPr>
        <w:footnoteReference w:id="35"/>
      </w:r>
      <w:r>
        <w:rPr>
          <w:noProof/>
        </w:rPr>
        <w:t xml:space="preserve">; </w:t>
      </w:r>
    </w:p>
    <w:p w14:paraId="0C777086" w14:textId="77777777" w:rsidR="00A15990" w:rsidRDefault="00686A62">
      <w:pPr>
        <w:pStyle w:val="P68B1DB1-Normal4"/>
        <w:keepNext/>
        <w:numPr>
          <w:ilvl w:val="0"/>
          <w:numId w:val="65"/>
        </w:numPr>
        <w:spacing w:before="40" w:after="160" w:line="259" w:lineRule="auto"/>
        <w:contextualSpacing/>
        <w:jc w:val="both"/>
        <w:rPr>
          <w:rFonts w:eastAsiaTheme="minorEastAsia" w:cs="Times New Roman"/>
          <w:noProof/>
        </w:rPr>
      </w:pPr>
      <w:r>
        <w:rPr>
          <w:noProof/>
        </w:rPr>
        <w:t>Activitățile din cadrul schemei UE de comercializare a certificatelor de emisii (ETS) prin care se obțin emisii de gaze cu efect de seră preconizate care nu sunt mai mici decât valorile de referință relevante</w:t>
      </w:r>
      <w:r>
        <w:rPr>
          <w:noProof/>
        </w:rPr>
        <w:footnoteReference w:id="36"/>
      </w:r>
      <w:r>
        <w:rPr>
          <w:noProof/>
        </w:rPr>
        <w:t xml:space="preserve">; </w:t>
      </w:r>
    </w:p>
    <w:p w14:paraId="59A41967" w14:textId="77777777" w:rsidR="00A15990" w:rsidRDefault="00686A62">
      <w:pPr>
        <w:pStyle w:val="P68B1DB1-Normal4"/>
        <w:keepNext/>
        <w:numPr>
          <w:ilvl w:val="0"/>
          <w:numId w:val="65"/>
        </w:numPr>
        <w:spacing w:before="40" w:after="160" w:line="259" w:lineRule="auto"/>
        <w:contextualSpacing/>
        <w:jc w:val="both"/>
        <w:rPr>
          <w:rFonts w:eastAsiaTheme="minorEastAsia" w:cs="Times New Roman"/>
          <w:noProof/>
        </w:rPr>
      </w:pPr>
      <w:r>
        <w:rPr>
          <w:noProof/>
        </w:rPr>
        <w:t>Activități legate de depozitele de deșeuri, incineratoare</w:t>
      </w:r>
      <w:r>
        <w:rPr>
          <w:noProof/>
        </w:rPr>
        <w:footnoteReference w:id="37"/>
      </w:r>
      <w:r>
        <w:rPr>
          <w:noProof/>
        </w:rPr>
        <w:t xml:space="preserve"> și stații de tratare mecano-biologică</w:t>
      </w:r>
      <w:r>
        <w:rPr>
          <w:noProof/>
        </w:rPr>
        <w:footnoteReference w:id="38"/>
      </w:r>
      <w:r>
        <w:rPr>
          <w:noProof/>
        </w:rPr>
        <w:t xml:space="preserve">; </w:t>
      </w:r>
    </w:p>
    <w:p w14:paraId="3EE29B47" w14:textId="77777777" w:rsidR="00A15990" w:rsidRDefault="00686A62">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Activități în cazul cărora eliminarea pe termen lung a deșeurilor poate cauza daune pe termen lung mediului, cum ar fi deșeurile nucleare; și </w:t>
      </w:r>
    </w:p>
    <w:p w14:paraId="166BCF7B" w14:textId="77777777" w:rsidR="00A15990" w:rsidRDefault="00686A62">
      <w:pPr>
        <w:pStyle w:val="P68B1DB1-Normal4"/>
        <w:keepNext/>
        <w:numPr>
          <w:ilvl w:val="0"/>
          <w:numId w:val="65"/>
        </w:numPr>
        <w:spacing w:before="40" w:after="160" w:line="259" w:lineRule="auto"/>
        <w:contextualSpacing/>
        <w:jc w:val="both"/>
        <w:rPr>
          <w:rFonts w:eastAsiaTheme="minorEastAsia" w:cs="Times New Roman"/>
          <w:noProof/>
        </w:rPr>
      </w:pPr>
      <w:r>
        <w:rPr>
          <w:noProof/>
        </w:rPr>
        <w:t xml:space="preserve">C &amp;D&amp;Idedicată activelor și activităților de mai sus. </w:t>
      </w:r>
    </w:p>
    <w:p w14:paraId="41036F9C" w14:textId="77777777" w:rsidR="00A15990" w:rsidRDefault="00686A62">
      <w:pPr>
        <w:pStyle w:val="P68B1DB1-Normal4"/>
        <w:keepNext/>
        <w:numPr>
          <w:ilvl w:val="0"/>
          <w:numId w:val="58"/>
        </w:numPr>
        <w:spacing w:before="40" w:after="160" w:line="259" w:lineRule="auto"/>
        <w:contextualSpacing/>
        <w:jc w:val="both"/>
        <w:rPr>
          <w:rFonts w:eastAsiaTheme="minorEastAsia" w:cs="Times New Roman"/>
          <w:noProof/>
        </w:rPr>
      </w:pPr>
      <w:r>
        <w:rPr>
          <w:noProof/>
        </w:rPr>
        <w:t xml:space="preserve">verificări obligatorii ale conformității juridice prin intermediul </w:t>
      </w:r>
      <w:r>
        <w:rPr>
          <w:i/>
          <w:noProof/>
        </w:rPr>
        <w:t>Banco Português de Fomento</w:t>
      </w:r>
      <w:r>
        <w:rPr>
          <w:noProof/>
        </w:rPr>
        <w:t xml:space="preserve"> și/sau al intermediarilor financiari selectați de aceasta pentru tranzacțiile exceptate de la evaluarea durabilității; și </w:t>
      </w:r>
    </w:p>
    <w:p w14:paraId="3BDD89EA" w14:textId="77777777" w:rsidR="00A15990" w:rsidRDefault="00686A62">
      <w:pPr>
        <w:pStyle w:val="P68B1DB1-Normal4"/>
        <w:keepNext/>
        <w:numPr>
          <w:ilvl w:val="0"/>
          <w:numId w:val="58"/>
        </w:numPr>
        <w:spacing w:before="40" w:after="160" w:line="259" w:lineRule="auto"/>
        <w:contextualSpacing/>
        <w:jc w:val="both"/>
        <w:rPr>
          <w:rFonts w:eastAsiaTheme="minorEastAsia" w:cs="Times New Roman"/>
          <w:noProof/>
        </w:rPr>
      </w:pPr>
      <w:r>
        <w:rPr>
          <w:noProof/>
        </w:rPr>
        <w:t>beneficiarii sprijinului sub formă de capitaluri proprii care obțin cel puțin 50 % din veniturile lor din activitățile enumerate în lista de excludere pentru a adopta și a publica planuri pentru tranziția verde.</w:t>
      </w:r>
    </w:p>
    <w:p w14:paraId="3D00B278" w14:textId="77777777" w:rsidR="00A15990" w:rsidRDefault="00686A62">
      <w:pPr>
        <w:pStyle w:val="P68B1DB1-Normal4"/>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29F83CA1" w14:textId="5D9194AF" w:rsidR="00A15990" w:rsidRDefault="00686A62">
      <w:pPr>
        <w:pStyle w:val="P68B1DB1-Normal5"/>
        <w:spacing w:before="240" w:after="0" w:line="259" w:lineRule="auto"/>
        <w:ind w:left="851"/>
        <w:jc w:val="both"/>
        <w:outlineLvl w:val="3"/>
        <w:rPr>
          <w:rFonts w:eastAsiaTheme="minorEastAsia" w:cs="Times New Roman"/>
          <w:noProof/>
        </w:rPr>
      </w:pPr>
      <w:bookmarkStart w:id="15" w:name="_Toc137472450"/>
      <w:r>
        <w:rPr>
          <w:noProof/>
        </w:rPr>
        <w:t>Investiția RE-C05-i11 – Scalarea: Mobilizarea agendelor/alianțelor pentru inovarea în afaceri</w:t>
      </w:r>
      <w:bookmarkEnd w:id="15"/>
      <w:r>
        <w:rPr>
          <w:noProof/>
        </w:rPr>
        <w:t xml:space="preserve"> (împrumuturi)</w:t>
      </w:r>
    </w:p>
    <w:p w14:paraId="1A18BEC2" w14:textId="77777777" w:rsidR="00A15990" w:rsidRDefault="00686A62">
      <w:pPr>
        <w:pStyle w:val="P68B1DB1-Normal4"/>
        <w:spacing w:after="0"/>
        <w:jc w:val="both"/>
        <w:rPr>
          <w:rFonts w:cs="Times New Roman"/>
          <w:noProof/>
        </w:rPr>
      </w:pPr>
      <w:r>
        <w:rPr>
          <w:noProof/>
        </w:rPr>
        <w:t xml:space="preserve">Obiectivul acestei investiții este de a extinde investițiile RE-C05-i01.01 în cadrul componentei 5. Partea extinsă a măsurii va crește numărul de produse, procese sau servicii din programele de mobilizare/alianțele pentru inovarea în afaceri. </w:t>
      </w:r>
    </w:p>
    <w:p w14:paraId="6E30F4B5" w14:textId="68C2F408" w:rsidR="00A15990" w:rsidRDefault="00686A62">
      <w:pPr>
        <w:pStyle w:val="P68B1DB1-Normal4"/>
        <w:spacing w:after="0"/>
        <w:jc w:val="both"/>
        <w:rPr>
          <w:rFonts w:cs="Times New Roman"/>
          <w:noProof/>
        </w:rPr>
      </w:pPr>
      <w:r>
        <w:rPr>
          <w:noProof/>
        </w:rPr>
        <w:t>Cel puțin 366 dintre produsele, procesele sau serviciile puse în aplicare în cadrul acestei investiții trebuie să se alinieze la domeniul de intervenție 021 din anexa la Regulamentul privind Mecanismul de redresare și reziliență.</w:t>
      </w:r>
    </w:p>
    <w:p w14:paraId="6728AAA1" w14:textId="77777777" w:rsidR="00A15990" w:rsidRDefault="00686A62">
      <w:pPr>
        <w:pStyle w:val="P68B1DB1-Normal4"/>
        <w:spacing w:after="0"/>
        <w:jc w:val="both"/>
        <w:rPr>
          <w:rFonts w:eastAsiaTheme="minorEastAsia" w:cs="Times New Roman"/>
          <w:noProof/>
        </w:rPr>
      </w:pPr>
      <w:r>
        <w:rPr>
          <w:noProof/>
        </w:rPr>
        <w:t>Punerea în aplicare a investiției se va finaliza până la 31 decembrie 2025.</w:t>
      </w:r>
    </w:p>
    <w:p w14:paraId="6840A33A" w14:textId="77777777" w:rsidR="00A15990" w:rsidRDefault="00A15990">
      <w:pPr>
        <w:spacing w:after="0"/>
        <w:jc w:val="both"/>
        <w:rPr>
          <w:rFonts w:ascii="Times New Roman" w:eastAsiaTheme="minorEastAsia" w:hAnsi="Times New Roman" w:cs="Times New Roman"/>
          <w:noProof/>
          <w:sz w:val="24"/>
        </w:rPr>
      </w:pPr>
    </w:p>
    <w:p w14:paraId="1E26CB77" w14:textId="3501F04A" w:rsidR="00A15990" w:rsidRDefault="00686A62">
      <w:pPr>
        <w:pStyle w:val="P68B1DB1-Heading214"/>
        <w:rPr>
          <w:noProof/>
        </w:rPr>
      </w:pPr>
      <w:bookmarkStart w:id="16" w:name="_Toc137472486"/>
      <w:r>
        <w:rPr>
          <w:noProof/>
        </w:rPr>
        <w:t>Investiții RP-C05-i12 – - Extindere: Agende verzi/Alianțe pentru inovarea în afaceri (împrumuturi</w:t>
      </w:r>
      <w:bookmarkEnd w:id="16"/>
      <w:r>
        <w:rPr>
          <w:noProof/>
        </w:rPr>
        <w:t>)</w:t>
      </w:r>
    </w:p>
    <w:p w14:paraId="51585A10" w14:textId="788869BD" w:rsidR="00A15990" w:rsidRDefault="00686A62">
      <w:pPr>
        <w:pStyle w:val="P68B1DB1-Normal4"/>
        <w:spacing w:after="0"/>
        <w:jc w:val="both"/>
        <w:rPr>
          <w:rFonts w:cs="Times New Roman"/>
          <w:noProof/>
        </w:rPr>
      </w:pPr>
      <w:r>
        <w:rPr>
          <w:noProof/>
        </w:rPr>
        <w:t>Obiectivul acestei investiții este de a extinde investițiile RE-C05-i01.02, în cadrul componentei 5. Extinderea măsurii duce la creșterea numărului de produse, procese sau servicii din agendele verzi.</w:t>
      </w:r>
    </w:p>
    <w:p w14:paraId="5ECB84FA" w14:textId="2CE97D40" w:rsidR="00A15990" w:rsidRDefault="00686A62">
      <w:pPr>
        <w:pStyle w:val="P68B1DB1-Normal4"/>
        <w:spacing w:after="0"/>
        <w:jc w:val="both"/>
        <w:rPr>
          <w:rFonts w:eastAsiaTheme="minorEastAsia" w:cs="Times New Roman"/>
          <w:noProof/>
        </w:rPr>
      </w:pPr>
      <w:r>
        <w:rPr>
          <w:noProof/>
        </w:rPr>
        <w:t xml:space="preserve">Punerea în aplicare a investiției se va finaliza până la 31 decembrie 2025. </w:t>
      </w:r>
    </w:p>
    <w:p w14:paraId="4B8C6875" w14:textId="77777777"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108"/>
          <w:headerReference w:type="default" r:id="rId109"/>
          <w:footerReference w:type="even" r:id="rId110"/>
          <w:footerReference w:type="default" r:id="rId111"/>
          <w:headerReference w:type="first" r:id="rId112"/>
          <w:footerReference w:type="first" r:id="rId113"/>
          <w:pgSz w:w="11907" w:h="16839"/>
          <w:pgMar w:top="1134" w:right="1134" w:bottom="1134" w:left="1134" w:header="567" w:footer="567" w:gutter="0"/>
          <w:cols w:space="720"/>
          <w:docGrid w:linePitch="360"/>
        </w:sectPr>
      </w:pPr>
    </w:p>
    <w:p w14:paraId="6490240C" w14:textId="77777777" w:rsidR="00A15990" w:rsidRDefault="00686A62">
      <w:pPr>
        <w:keepNext/>
        <w:spacing w:before="40" w:after="0" w:line="259" w:lineRule="auto"/>
        <w:ind w:left="130" w:firstLine="720"/>
        <w:jc w:val="both"/>
        <w:outlineLvl w:val="2"/>
        <w:rPr>
          <w:rFonts w:ascii="Times New Roman" w:eastAsiaTheme="minorEastAsia" w:hAnsi="Times New Roman" w:cs="Times New Roman"/>
          <w:b/>
          <w:noProof/>
          <w:sz w:val="24"/>
          <w:u w:val="single"/>
        </w:rPr>
      </w:pPr>
      <w:r>
        <w:rPr>
          <w:rFonts w:ascii="Times New Roman" w:hAnsi="Times New Roman"/>
          <w:b/>
          <w:noProof/>
          <w:sz w:val="24"/>
          <w:u w:val="single"/>
        </w:rPr>
        <w:t xml:space="preserve">E.4. </w:t>
      </w:r>
      <w:r>
        <w:rPr>
          <w:noProof/>
        </w:rPr>
        <w:tab/>
      </w:r>
      <w:r>
        <w:rPr>
          <w:rFonts w:ascii="Times New Roman" w:hAnsi="Times New Roman"/>
          <w:b/>
          <w:noProof/>
          <w:sz w:val="24"/>
          <w:u w:val="single"/>
        </w:rPr>
        <w:t>Jaloane, ținte, indicatori și calendarul de monitorizare și implementare aplicabile împrumutului</w:t>
      </w:r>
    </w:p>
    <w:p w14:paraId="08C3CE82" w14:textId="77777777" w:rsidR="00A15990" w:rsidRDefault="00A15990">
      <w:pPr>
        <w:keepNext/>
        <w:spacing w:before="40" w:after="0" w:line="259" w:lineRule="auto"/>
        <w:jc w:val="both"/>
        <w:rPr>
          <w:rFonts w:ascii="Times New Roman" w:hAnsi="Times New Roman" w:cs="Times New Roman"/>
          <w:noProof/>
          <w:sz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246"/>
        <w:gridCol w:w="1108"/>
        <w:gridCol w:w="1659"/>
        <w:gridCol w:w="1245"/>
        <w:gridCol w:w="972"/>
        <w:gridCol w:w="971"/>
        <w:gridCol w:w="695"/>
        <w:gridCol w:w="557"/>
        <w:gridCol w:w="694"/>
        <w:gridCol w:w="4908"/>
      </w:tblGrid>
      <w:tr w:rsidR="00A15990" w14:paraId="235CFC6B" w14:textId="77777777">
        <w:trPr>
          <w:trHeight w:val="300"/>
          <w:tblHeader/>
        </w:trPr>
        <w:tc>
          <w:tcPr>
            <w:tcW w:w="1113" w:type="dxa"/>
            <w:vMerge w:val="restart"/>
            <w:shd w:val="clear" w:color="auto" w:fill="BDD6EE"/>
            <w:vAlign w:val="center"/>
            <w:hideMark/>
          </w:tcPr>
          <w:p w14:paraId="5AD60527"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46" w:type="dxa"/>
            <w:vMerge w:val="restart"/>
            <w:shd w:val="clear" w:color="auto" w:fill="BDD6EE"/>
            <w:noWrap/>
            <w:vAlign w:val="center"/>
            <w:hideMark/>
          </w:tcPr>
          <w:p w14:paraId="5F907E49"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08" w:type="dxa"/>
            <w:vMerge w:val="restart"/>
            <w:shd w:val="clear" w:color="auto" w:fill="BDD6EE"/>
            <w:noWrap/>
            <w:vAlign w:val="center"/>
            <w:hideMark/>
          </w:tcPr>
          <w:p w14:paraId="0F0CD791" w14:textId="3BDD99DD" w:rsidR="00A15990" w:rsidRDefault="00F32597">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p w14:paraId="45499D8C" w14:textId="7AB69549" w:rsidR="00A15990" w:rsidRDefault="00686A62">
            <w:pPr>
              <w:pStyle w:val="P68B1DB1-Normal9"/>
              <w:spacing w:after="0" w:line="240" w:lineRule="auto"/>
              <w:rPr>
                <w:rFonts w:ascii="Times New Roman" w:eastAsia="Times New Roman" w:hAnsi="Times New Roman" w:cs="Times New Roman"/>
                <w:b/>
                <w:noProof/>
                <w:sz w:val="18"/>
              </w:rPr>
            </w:pPr>
            <w:r>
              <w:rPr>
                <w:noProof/>
              </w:rPr>
              <w:t> </w:t>
            </w:r>
          </w:p>
        </w:tc>
        <w:tc>
          <w:tcPr>
            <w:tcW w:w="1659" w:type="dxa"/>
            <w:vMerge w:val="restart"/>
            <w:shd w:val="clear" w:color="auto" w:fill="BDD6EE"/>
            <w:noWrap/>
            <w:vAlign w:val="center"/>
            <w:hideMark/>
          </w:tcPr>
          <w:p w14:paraId="342DD455"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45" w:type="dxa"/>
            <w:vMerge w:val="restart"/>
            <w:shd w:val="clear" w:color="auto" w:fill="BDD6EE"/>
            <w:noWrap/>
            <w:vAlign w:val="center"/>
            <w:hideMark/>
          </w:tcPr>
          <w:p w14:paraId="5D379DDD"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38" w:type="dxa"/>
            <w:gridSpan w:val="3"/>
            <w:shd w:val="clear" w:color="auto" w:fill="BDD6EE"/>
            <w:noWrap/>
            <w:vAlign w:val="center"/>
            <w:hideMark/>
          </w:tcPr>
          <w:p w14:paraId="39B01116"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51" w:type="dxa"/>
            <w:gridSpan w:val="2"/>
            <w:shd w:val="clear" w:color="auto" w:fill="BDD6EE"/>
            <w:noWrap/>
            <w:vAlign w:val="center"/>
            <w:hideMark/>
          </w:tcPr>
          <w:p w14:paraId="328C3EC0"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908" w:type="dxa"/>
            <w:vMerge w:val="restart"/>
            <w:shd w:val="clear" w:color="auto" w:fill="BDD6EE"/>
            <w:noWrap/>
            <w:vAlign w:val="center"/>
            <w:hideMark/>
          </w:tcPr>
          <w:p w14:paraId="495029B6"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77B89938" w14:textId="77777777">
        <w:trPr>
          <w:trHeight w:val="600"/>
          <w:tblHeader/>
        </w:trPr>
        <w:tc>
          <w:tcPr>
            <w:tcW w:w="1113" w:type="dxa"/>
            <w:vMerge/>
            <w:vAlign w:val="center"/>
            <w:hideMark/>
          </w:tcPr>
          <w:p w14:paraId="414C4B6B" w14:textId="77777777" w:rsidR="00A15990" w:rsidRDefault="00A15990">
            <w:pPr>
              <w:spacing w:after="0" w:line="240" w:lineRule="auto"/>
              <w:rPr>
                <w:rFonts w:ascii="Times New Roman" w:eastAsia="Times New Roman" w:hAnsi="Times New Roman" w:cs="Times New Roman"/>
                <w:b/>
                <w:noProof/>
                <w:sz w:val="18"/>
              </w:rPr>
            </w:pPr>
          </w:p>
        </w:tc>
        <w:tc>
          <w:tcPr>
            <w:tcW w:w="1246" w:type="dxa"/>
            <w:vMerge/>
            <w:vAlign w:val="center"/>
            <w:hideMark/>
          </w:tcPr>
          <w:p w14:paraId="26F62AB4" w14:textId="77777777" w:rsidR="00A15990" w:rsidRDefault="00A15990">
            <w:pPr>
              <w:spacing w:after="0" w:line="240" w:lineRule="auto"/>
              <w:rPr>
                <w:rFonts w:ascii="Times New Roman" w:eastAsia="Times New Roman" w:hAnsi="Times New Roman" w:cs="Times New Roman"/>
                <w:b/>
                <w:noProof/>
                <w:sz w:val="18"/>
              </w:rPr>
            </w:pPr>
          </w:p>
        </w:tc>
        <w:tc>
          <w:tcPr>
            <w:tcW w:w="1108" w:type="dxa"/>
            <w:vMerge/>
            <w:noWrap/>
            <w:vAlign w:val="center"/>
            <w:hideMark/>
          </w:tcPr>
          <w:p w14:paraId="4CD10545" w14:textId="36059408" w:rsidR="00A15990" w:rsidRDefault="00A15990">
            <w:pPr>
              <w:spacing w:after="0" w:line="240" w:lineRule="auto"/>
              <w:rPr>
                <w:rFonts w:ascii="Times New Roman" w:eastAsia="Times New Roman" w:hAnsi="Times New Roman" w:cs="Times New Roman"/>
                <w:b/>
                <w:noProof/>
                <w:sz w:val="18"/>
              </w:rPr>
            </w:pPr>
          </w:p>
        </w:tc>
        <w:tc>
          <w:tcPr>
            <w:tcW w:w="1659" w:type="dxa"/>
            <w:vMerge/>
            <w:vAlign w:val="center"/>
            <w:hideMark/>
          </w:tcPr>
          <w:p w14:paraId="09C405A8" w14:textId="77777777" w:rsidR="00A15990" w:rsidRDefault="00A15990">
            <w:pPr>
              <w:spacing w:after="0" w:line="240" w:lineRule="auto"/>
              <w:rPr>
                <w:rFonts w:ascii="Times New Roman" w:eastAsia="Times New Roman" w:hAnsi="Times New Roman" w:cs="Times New Roman"/>
                <w:b/>
                <w:noProof/>
                <w:sz w:val="18"/>
              </w:rPr>
            </w:pPr>
          </w:p>
        </w:tc>
        <w:tc>
          <w:tcPr>
            <w:tcW w:w="1245" w:type="dxa"/>
            <w:vMerge/>
            <w:vAlign w:val="center"/>
            <w:hideMark/>
          </w:tcPr>
          <w:p w14:paraId="4019AC7D" w14:textId="77777777" w:rsidR="00A15990" w:rsidRDefault="00A15990">
            <w:pPr>
              <w:spacing w:after="0" w:line="240" w:lineRule="auto"/>
              <w:rPr>
                <w:rFonts w:ascii="Times New Roman" w:eastAsia="Times New Roman" w:hAnsi="Times New Roman" w:cs="Times New Roman"/>
                <w:b/>
                <w:noProof/>
                <w:sz w:val="18"/>
              </w:rPr>
            </w:pPr>
          </w:p>
        </w:tc>
        <w:tc>
          <w:tcPr>
            <w:tcW w:w="972" w:type="dxa"/>
            <w:tcBorders>
              <w:bottom w:val="single" w:sz="4" w:space="0" w:color="auto"/>
            </w:tcBorders>
            <w:shd w:val="clear" w:color="auto" w:fill="BDD6EE"/>
            <w:noWrap/>
            <w:vAlign w:val="center"/>
            <w:hideMark/>
          </w:tcPr>
          <w:p w14:paraId="33FB0290"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71" w:type="dxa"/>
            <w:tcBorders>
              <w:bottom w:val="single" w:sz="4" w:space="0" w:color="auto"/>
            </w:tcBorders>
            <w:shd w:val="clear" w:color="auto" w:fill="BDD6EE"/>
            <w:noWrap/>
            <w:vAlign w:val="center"/>
            <w:hideMark/>
          </w:tcPr>
          <w:p w14:paraId="3F9E2F45"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695" w:type="dxa"/>
            <w:tcBorders>
              <w:bottom w:val="single" w:sz="4" w:space="0" w:color="auto"/>
            </w:tcBorders>
            <w:shd w:val="clear" w:color="auto" w:fill="BDD6EE"/>
            <w:noWrap/>
            <w:vAlign w:val="center"/>
            <w:hideMark/>
          </w:tcPr>
          <w:p w14:paraId="3288458E"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57" w:type="dxa"/>
            <w:tcBorders>
              <w:bottom w:val="single" w:sz="4" w:space="0" w:color="auto"/>
            </w:tcBorders>
            <w:shd w:val="clear" w:color="auto" w:fill="BDD6EE"/>
            <w:noWrap/>
            <w:vAlign w:val="center"/>
            <w:hideMark/>
          </w:tcPr>
          <w:p w14:paraId="30E12A1C" w14:textId="77777777" w:rsidR="00A15990" w:rsidRDefault="00686A62">
            <w:pPr>
              <w:pStyle w:val="P68B1DB1-Normal6"/>
              <w:spacing w:after="0" w:line="240" w:lineRule="auto"/>
              <w:jc w:val="center"/>
              <w:rPr>
                <w:rFonts w:eastAsia="Times New Roman" w:cs="Times New Roman"/>
                <w:noProof/>
              </w:rPr>
            </w:pPr>
            <w:r>
              <w:rPr>
                <w:noProof/>
              </w:rPr>
              <w:t>Q</w:t>
            </w:r>
          </w:p>
        </w:tc>
        <w:tc>
          <w:tcPr>
            <w:tcW w:w="694" w:type="dxa"/>
            <w:tcBorders>
              <w:bottom w:val="single" w:sz="4" w:space="0" w:color="auto"/>
            </w:tcBorders>
            <w:shd w:val="clear" w:color="auto" w:fill="BDD6EE"/>
            <w:noWrap/>
            <w:vAlign w:val="center"/>
            <w:hideMark/>
          </w:tcPr>
          <w:p w14:paraId="49193FA0" w14:textId="77777777" w:rsidR="00A15990" w:rsidRDefault="00686A62">
            <w:pPr>
              <w:pStyle w:val="P68B1DB1-Normal6"/>
              <w:spacing w:after="0" w:line="240" w:lineRule="auto"/>
              <w:jc w:val="center"/>
              <w:rPr>
                <w:rFonts w:eastAsia="Times New Roman" w:cs="Times New Roman"/>
                <w:noProof/>
              </w:rPr>
            </w:pPr>
            <w:r>
              <w:rPr>
                <w:noProof/>
              </w:rPr>
              <w:t>Anul</w:t>
            </w:r>
          </w:p>
        </w:tc>
        <w:tc>
          <w:tcPr>
            <w:tcW w:w="4908" w:type="dxa"/>
            <w:vMerge/>
            <w:vAlign w:val="center"/>
            <w:hideMark/>
          </w:tcPr>
          <w:p w14:paraId="68AAB397" w14:textId="77777777" w:rsidR="00A15990" w:rsidRDefault="00A15990">
            <w:pPr>
              <w:spacing w:after="0" w:line="240" w:lineRule="auto"/>
              <w:rPr>
                <w:rFonts w:ascii="Times New Roman" w:eastAsia="Times New Roman" w:hAnsi="Times New Roman" w:cs="Times New Roman"/>
                <w:b/>
                <w:noProof/>
                <w:sz w:val="18"/>
              </w:rPr>
            </w:pPr>
          </w:p>
        </w:tc>
      </w:tr>
      <w:tr w:rsidR="00A15990" w14:paraId="62E78A68" w14:textId="77777777">
        <w:trPr>
          <w:trHeight w:val="509"/>
        </w:trPr>
        <w:tc>
          <w:tcPr>
            <w:tcW w:w="1113" w:type="dxa"/>
            <w:shd w:val="clear" w:color="auto" w:fill="C4EFCE"/>
            <w:vAlign w:val="center"/>
            <w:hideMark/>
          </w:tcPr>
          <w:p w14:paraId="1CD6A056" w14:textId="77777777" w:rsidR="00A15990" w:rsidRDefault="00686A62">
            <w:pPr>
              <w:pStyle w:val="P68B1DB1-Normal7"/>
              <w:spacing w:after="0" w:line="240" w:lineRule="auto"/>
              <w:jc w:val="center"/>
              <w:rPr>
                <w:rFonts w:eastAsia="Times New Roman" w:cs="Calibri"/>
                <w:noProof/>
              </w:rPr>
            </w:pPr>
            <w:r>
              <w:rPr>
                <w:noProof/>
              </w:rPr>
              <w:t>5.23</w:t>
            </w:r>
          </w:p>
        </w:tc>
        <w:tc>
          <w:tcPr>
            <w:tcW w:w="1246" w:type="dxa"/>
            <w:shd w:val="clear" w:color="auto" w:fill="C4EFCE"/>
            <w:vAlign w:val="center"/>
            <w:hideMark/>
          </w:tcPr>
          <w:p w14:paraId="70D1D549" w14:textId="77777777" w:rsidR="00A15990" w:rsidRDefault="00686A62">
            <w:pPr>
              <w:pStyle w:val="P68B1DB1-Normal8"/>
              <w:spacing w:after="0" w:line="240" w:lineRule="auto"/>
              <w:jc w:val="center"/>
              <w:rPr>
                <w:rFonts w:eastAsia="Times New Roman" w:cs="Calibri"/>
                <w:noProof/>
              </w:rPr>
            </w:pPr>
            <w:r>
              <w:rPr>
                <w:noProof/>
              </w:rPr>
              <w:t>RE-C05-r10</w:t>
            </w:r>
          </w:p>
        </w:tc>
        <w:tc>
          <w:tcPr>
            <w:tcW w:w="1108" w:type="dxa"/>
            <w:shd w:val="clear" w:color="auto" w:fill="C4EFCE"/>
            <w:vAlign w:val="center"/>
            <w:hideMark/>
          </w:tcPr>
          <w:p w14:paraId="3CF04DC0"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69E39EE1" w14:textId="77777777" w:rsidR="00A15990" w:rsidRDefault="00686A62">
            <w:pPr>
              <w:pStyle w:val="P68B1DB1-Normal8"/>
              <w:spacing w:after="0" w:line="240" w:lineRule="auto"/>
              <w:jc w:val="center"/>
              <w:rPr>
                <w:rFonts w:eastAsia="Times New Roman" w:cs="Calibri"/>
                <w:noProof/>
              </w:rPr>
            </w:pPr>
            <w:r>
              <w:rPr>
                <w:noProof/>
              </w:rPr>
              <w:t xml:space="preserve">Intrarea în vigoare a regulamentului de stabilire a activităților și a statutului </w:t>
            </w:r>
            <w:r>
              <w:rPr>
                <w:i/>
                <w:noProof/>
              </w:rPr>
              <w:t>Banco Português de Fomento</w:t>
            </w:r>
            <w:r>
              <w:rPr>
                <w:noProof/>
              </w:rPr>
              <w:t xml:space="preserve"> (BPF)</w:t>
            </w:r>
          </w:p>
        </w:tc>
        <w:tc>
          <w:tcPr>
            <w:tcW w:w="1245" w:type="dxa"/>
            <w:shd w:val="clear" w:color="auto" w:fill="C4EFCE"/>
            <w:vAlign w:val="center"/>
            <w:hideMark/>
          </w:tcPr>
          <w:p w14:paraId="5C531FAA" w14:textId="77777777" w:rsidR="00A15990" w:rsidRDefault="00686A62">
            <w:pPr>
              <w:pStyle w:val="P68B1DB1-Normal8"/>
              <w:spacing w:after="0" w:line="240" w:lineRule="auto"/>
              <w:jc w:val="center"/>
              <w:rPr>
                <w:rFonts w:eastAsia="Times New Roman" w:cs="Calibri"/>
                <w:noProof/>
              </w:rPr>
            </w:pPr>
            <w:r>
              <w:rPr>
                <w:noProof/>
              </w:rPr>
              <w:t>Intrarea în vigoare a Decretului-lege nr. 63/2020 de stabilire a activităților și a statutului BPF</w:t>
            </w:r>
          </w:p>
        </w:tc>
        <w:tc>
          <w:tcPr>
            <w:tcW w:w="972" w:type="dxa"/>
            <w:shd w:val="clear" w:color="auto" w:fill="C4EFCE"/>
            <w:vAlign w:val="center"/>
            <w:hideMark/>
          </w:tcPr>
          <w:p w14:paraId="7BF2953F"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547F95" w14:textId="77777777" w:rsidR="00A15990" w:rsidRDefault="00686A6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58AF4DF8"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584F10F0"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vAlign w:val="center"/>
            <w:hideMark/>
          </w:tcPr>
          <w:p w14:paraId="6C49ABF7" w14:textId="77777777" w:rsidR="00A15990" w:rsidRDefault="00686A62">
            <w:pPr>
              <w:pStyle w:val="P68B1DB1-Normal8"/>
              <w:spacing w:after="0" w:line="240" w:lineRule="auto"/>
              <w:jc w:val="center"/>
              <w:rPr>
                <w:rFonts w:eastAsia="Times New Roman" w:cs="Calibri"/>
                <w:noProof/>
              </w:rPr>
            </w:pPr>
            <w:r>
              <w:rPr>
                <w:noProof/>
              </w:rPr>
              <w:t>2020</w:t>
            </w:r>
          </w:p>
        </w:tc>
        <w:tc>
          <w:tcPr>
            <w:tcW w:w="4908" w:type="dxa"/>
            <w:shd w:val="clear" w:color="auto" w:fill="C4EFCE"/>
            <w:vAlign w:val="center"/>
            <w:hideMark/>
          </w:tcPr>
          <w:p w14:paraId="61570855" w14:textId="77777777" w:rsidR="00A15990" w:rsidRDefault="00686A62">
            <w:pPr>
              <w:pStyle w:val="P68B1DB1-Normal8"/>
              <w:spacing w:after="0" w:line="240" w:lineRule="auto"/>
              <w:jc w:val="both"/>
              <w:rPr>
                <w:rFonts w:eastAsia="Times New Roman" w:cs="Calibri"/>
                <w:noProof/>
              </w:rPr>
            </w:pPr>
            <w:r>
              <w:rPr>
                <w:noProof/>
              </w:rPr>
              <w:t>Publicarea de către guvernul Republicii Portugheze și intrarea în vigoare a Decretului-lege nr. 63/2020, care reglementează activitatea și funcționarea BPF și aprobă statutul acesteia.</w:t>
            </w:r>
          </w:p>
        </w:tc>
      </w:tr>
      <w:tr w:rsidR="00A15990" w14:paraId="661774E0" w14:textId="77777777">
        <w:trPr>
          <w:trHeight w:val="1220"/>
        </w:trPr>
        <w:tc>
          <w:tcPr>
            <w:tcW w:w="1113" w:type="dxa"/>
            <w:shd w:val="clear" w:color="auto" w:fill="C4EFCE"/>
            <w:vAlign w:val="center"/>
            <w:hideMark/>
          </w:tcPr>
          <w:p w14:paraId="66190338" w14:textId="77777777" w:rsidR="00A15990" w:rsidRDefault="00686A62">
            <w:pPr>
              <w:pStyle w:val="P68B1DB1-Normal7"/>
              <w:spacing w:after="0" w:line="240" w:lineRule="auto"/>
              <w:jc w:val="center"/>
              <w:rPr>
                <w:rFonts w:eastAsia="Times New Roman" w:cs="Calibri"/>
                <w:noProof/>
              </w:rPr>
            </w:pPr>
            <w:r>
              <w:rPr>
                <w:noProof/>
              </w:rPr>
              <w:t>5.24</w:t>
            </w:r>
          </w:p>
        </w:tc>
        <w:tc>
          <w:tcPr>
            <w:tcW w:w="1246" w:type="dxa"/>
            <w:shd w:val="clear" w:color="auto" w:fill="C4EFCE"/>
            <w:vAlign w:val="center"/>
            <w:hideMark/>
          </w:tcPr>
          <w:p w14:paraId="689D69C9" w14:textId="77777777" w:rsidR="00A15990" w:rsidRDefault="00686A62">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9F03A2E"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FF4E1B6" w14:textId="77777777" w:rsidR="00A15990" w:rsidRDefault="00686A62">
            <w:pPr>
              <w:pStyle w:val="P68B1DB1-Normal8"/>
              <w:spacing w:after="0" w:line="240" w:lineRule="auto"/>
              <w:jc w:val="center"/>
              <w:rPr>
                <w:rFonts w:eastAsia="Times New Roman" w:cs="Calibri"/>
                <w:noProof/>
              </w:rPr>
            </w:pPr>
            <w:r>
              <w:rPr>
                <w:noProof/>
              </w:rPr>
              <w:t xml:space="preserve"> Intrarea în vigoare a revizuirii cadrului juridic pentru organismele de plasament colectiv </w:t>
            </w:r>
          </w:p>
        </w:tc>
        <w:tc>
          <w:tcPr>
            <w:tcW w:w="1245" w:type="dxa"/>
            <w:shd w:val="clear" w:color="auto" w:fill="C4EFCE"/>
            <w:vAlign w:val="center"/>
            <w:hideMark/>
          </w:tcPr>
          <w:p w14:paraId="4083C547" w14:textId="77777777" w:rsidR="00A15990" w:rsidRDefault="00686A62">
            <w:pPr>
              <w:pStyle w:val="P68B1DB1-Normal8"/>
              <w:spacing w:after="0" w:line="240" w:lineRule="auto"/>
              <w:jc w:val="center"/>
              <w:rPr>
                <w:rFonts w:eastAsia="Times New Roman" w:cs="Calibri"/>
                <w:noProof/>
              </w:rPr>
            </w:pPr>
            <w:r>
              <w:rPr>
                <w:noProof/>
              </w:rPr>
              <w:t xml:space="preserve">Intrarea în vigoare a revizuirii cadrului juridic pentru organismele de plasament colectiv </w:t>
            </w:r>
          </w:p>
        </w:tc>
        <w:tc>
          <w:tcPr>
            <w:tcW w:w="972" w:type="dxa"/>
            <w:shd w:val="clear" w:color="auto" w:fill="C4EFCE"/>
            <w:vAlign w:val="center"/>
            <w:hideMark/>
          </w:tcPr>
          <w:p w14:paraId="1A341D8C"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5C5E34C9" w14:textId="77777777" w:rsidR="00A15990" w:rsidRDefault="00686A6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51BF450"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3C786D1E"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vAlign w:val="center"/>
            <w:hideMark/>
          </w:tcPr>
          <w:p w14:paraId="72FED962" w14:textId="77777777" w:rsidR="00A15990" w:rsidRDefault="00686A62">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5E67B5D" w14:textId="77777777" w:rsidR="00A15990" w:rsidRDefault="00686A62">
            <w:pPr>
              <w:pStyle w:val="P68B1DB1-Normal8"/>
              <w:spacing w:after="0" w:line="240" w:lineRule="auto"/>
              <w:jc w:val="both"/>
              <w:rPr>
                <w:rFonts w:eastAsia="Times New Roman" w:cs="Calibri"/>
                <w:noProof/>
              </w:rPr>
            </w:pPr>
            <w:r>
              <w:rPr>
                <w:noProof/>
              </w:rPr>
              <w:t>Intrarea în vigoare a legii, ca urmare a adoptării legii de către Adunarea Republicii. Comisia revizuiește cadrul juridic pentru organismele de plasament colectiv în vederea simplificării normative și administrative.</w:t>
            </w:r>
          </w:p>
        </w:tc>
      </w:tr>
      <w:tr w:rsidR="00A15990" w14:paraId="7FAB8FF7" w14:textId="77777777">
        <w:trPr>
          <w:trHeight w:val="1060"/>
        </w:trPr>
        <w:tc>
          <w:tcPr>
            <w:tcW w:w="1113" w:type="dxa"/>
            <w:shd w:val="clear" w:color="auto" w:fill="C4EFCE"/>
            <w:vAlign w:val="center"/>
            <w:hideMark/>
          </w:tcPr>
          <w:p w14:paraId="2CEBAA44" w14:textId="77777777" w:rsidR="00A15990" w:rsidRDefault="00686A62">
            <w:pPr>
              <w:pStyle w:val="P68B1DB1-Normal7"/>
              <w:spacing w:after="0" w:line="240" w:lineRule="auto"/>
              <w:jc w:val="center"/>
              <w:rPr>
                <w:rFonts w:eastAsia="Times New Roman" w:cs="Calibri"/>
                <w:noProof/>
              </w:rPr>
            </w:pPr>
            <w:r>
              <w:rPr>
                <w:noProof/>
              </w:rPr>
              <w:t>5.25</w:t>
            </w:r>
          </w:p>
        </w:tc>
        <w:tc>
          <w:tcPr>
            <w:tcW w:w="1246" w:type="dxa"/>
            <w:shd w:val="clear" w:color="auto" w:fill="C4EFCE"/>
            <w:vAlign w:val="center"/>
            <w:hideMark/>
          </w:tcPr>
          <w:p w14:paraId="67EFB3F7" w14:textId="77777777" w:rsidR="00A15990" w:rsidRDefault="00686A62">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1D7EC96"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039C18E1" w14:textId="77777777" w:rsidR="00A15990" w:rsidRDefault="00686A62">
            <w:pPr>
              <w:pStyle w:val="P68B1DB1-Normal8"/>
              <w:spacing w:after="0" w:line="240" w:lineRule="auto"/>
              <w:jc w:val="center"/>
              <w:rPr>
                <w:rFonts w:eastAsia="Times New Roman" w:cs="Calibri"/>
                <w:noProof/>
              </w:rPr>
            </w:pPr>
            <w:r>
              <w:rPr>
                <w:noProof/>
              </w:rPr>
              <w:t>Intrarea în vigoare a revizuirii Legii privind Codul valorilor mobiliare</w:t>
            </w:r>
          </w:p>
        </w:tc>
        <w:tc>
          <w:tcPr>
            <w:tcW w:w="1245" w:type="dxa"/>
            <w:shd w:val="clear" w:color="auto" w:fill="C4EFCE"/>
            <w:vAlign w:val="center"/>
            <w:hideMark/>
          </w:tcPr>
          <w:p w14:paraId="16730FE3" w14:textId="77777777" w:rsidR="00A15990" w:rsidRDefault="00686A62">
            <w:pPr>
              <w:pStyle w:val="P68B1DB1-Normal8"/>
              <w:spacing w:after="0" w:line="240" w:lineRule="auto"/>
              <w:jc w:val="center"/>
              <w:rPr>
                <w:rFonts w:eastAsia="Times New Roman" w:cs="Calibri"/>
                <w:noProof/>
              </w:rPr>
            </w:pPr>
            <w:r>
              <w:rPr>
                <w:noProof/>
              </w:rPr>
              <w:t xml:space="preserve">Intrarea în vigoare a revizuirii Legii privind Codul valorilor mobiliare </w:t>
            </w:r>
          </w:p>
        </w:tc>
        <w:tc>
          <w:tcPr>
            <w:tcW w:w="972" w:type="dxa"/>
            <w:shd w:val="clear" w:color="auto" w:fill="C4EFCE"/>
            <w:vAlign w:val="center"/>
            <w:hideMark/>
          </w:tcPr>
          <w:p w14:paraId="57352804"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D4D1645" w14:textId="77777777" w:rsidR="00A15990" w:rsidRDefault="00686A6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15C0F5D"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3C62266"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vAlign w:val="center"/>
            <w:hideMark/>
          </w:tcPr>
          <w:p w14:paraId="23228510" w14:textId="77777777" w:rsidR="00A15990" w:rsidRDefault="00686A62">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7E578C3A" w14:textId="77777777" w:rsidR="00A15990" w:rsidRDefault="00686A62">
            <w:pPr>
              <w:pStyle w:val="P68B1DB1-Normal8"/>
              <w:spacing w:after="0" w:line="240" w:lineRule="auto"/>
              <w:jc w:val="both"/>
              <w:rPr>
                <w:rFonts w:eastAsia="Times New Roman" w:cs="Calibri"/>
                <w:noProof/>
              </w:rPr>
            </w:pPr>
            <w:r>
              <w:rPr>
                <w:noProof/>
              </w:rPr>
              <w:t>Intrarea în vigoare a legii, ca urmare a adoptării legii de către Adunarea Republicii. Revizuirea Codului valorilor mobiliare vizează simplificarea legislativă și administrativă în vederea alinierii cadrului național la dreptul Uniunii în ceea ce privește obiectivul de creștere a competitivității pieței de capital portugheze.</w:t>
            </w:r>
          </w:p>
        </w:tc>
      </w:tr>
      <w:tr w:rsidR="00A15990" w14:paraId="71EC5849" w14:textId="77777777">
        <w:trPr>
          <w:trHeight w:val="67"/>
        </w:trPr>
        <w:tc>
          <w:tcPr>
            <w:tcW w:w="1113" w:type="dxa"/>
            <w:shd w:val="clear" w:color="auto" w:fill="C4EFCE"/>
            <w:vAlign w:val="center"/>
            <w:hideMark/>
          </w:tcPr>
          <w:p w14:paraId="73BF0385" w14:textId="77777777" w:rsidR="00A15990" w:rsidRDefault="00686A62">
            <w:pPr>
              <w:pStyle w:val="P68B1DB1-Normal7"/>
              <w:spacing w:after="0" w:line="240" w:lineRule="auto"/>
              <w:jc w:val="center"/>
              <w:rPr>
                <w:rFonts w:eastAsia="Times New Roman" w:cs="Calibri"/>
                <w:noProof/>
              </w:rPr>
            </w:pPr>
            <w:r>
              <w:rPr>
                <w:noProof/>
              </w:rPr>
              <w:t>5.26</w:t>
            </w:r>
          </w:p>
        </w:tc>
        <w:tc>
          <w:tcPr>
            <w:tcW w:w="1246" w:type="dxa"/>
            <w:shd w:val="clear" w:color="auto" w:fill="C4EFCE"/>
            <w:vAlign w:val="center"/>
            <w:hideMark/>
          </w:tcPr>
          <w:p w14:paraId="01F6EAD9" w14:textId="77777777" w:rsidR="00A15990" w:rsidRDefault="00686A62">
            <w:pPr>
              <w:pStyle w:val="P68B1DB1-Normal8"/>
              <w:spacing w:after="0" w:line="240" w:lineRule="auto"/>
              <w:jc w:val="center"/>
              <w:rPr>
                <w:rFonts w:eastAsia="Times New Roman" w:cs="Calibri"/>
                <w:noProof/>
              </w:rPr>
            </w:pPr>
            <w:r>
              <w:rPr>
                <w:noProof/>
              </w:rPr>
              <w:t>RE-C05-r13</w:t>
            </w:r>
          </w:p>
        </w:tc>
        <w:tc>
          <w:tcPr>
            <w:tcW w:w="1108" w:type="dxa"/>
            <w:shd w:val="clear" w:color="auto" w:fill="C4EFCE"/>
            <w:vAlign w:val="center"/>
            <w:hideMark/>
          </w:tcPr>
          <w:p w14:paraId="789C3F1A"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1D2DB219" w14:textId="77777777" w:rsidR="00A15990" w:rsidRDefault="00686A62">
            <w:pPr>
              <w:pStyle w:val="P68B1DB1-Normal8"/>
              <w:spacing w:after="0" w:line="240" w:lineRule="auto"/>
              <w:jc w:val="center"/>
              <w:rPr>
                <w:rFonts w:eastAsia="Times New Roman" w:cs="Calibri"/>
                <w:noProof/>
              </w:rPr>
            </w:pPr>
            <w:r>
              <w:rPr>
                <w:noProof/>
              </w:rPr>
              <w:t xml:space="preserve">Dezvoltarea pieței de capital – intrarea în vigoare a legislației </w:t>
            </w:r>
          </w:p>
        </w:tc>
        <w:tc>
          <w:tcPr>
            <w:tcW w:w="1245" w:type="dxa"/>
            <w:shd w:val="clear" w:color="auto" w:fill="C4EFCE"/>
            <w:vAlign w:val="center"/>
            <w:hideMark/>
          </w:tcPr>
          <w:p w14:paraId="7D1637FA" w14:textId="77777777" w:rsidR="00A15990" w:rsidRDefault="00686A62">
            <w:pPr>
              <w:pStyle w:val="P68B1DB1-Normal8"/>
              <w:spacing w:after="0" w:line="240" w:lineRule="auto"/>
              <w:jc w:val="center"/>
              <w:rPr>
                <w:rFonts w:eastAsia="Times New Roman" w:cs="Calibri"/>
                <w:noProof/>
              </w:rPr>
            </w:pPr>
            <w:r>
              <w:rPr>
                <w:noProof/>
              </w:rPr>
              <w:t>Intrarea în vigoare a legislației privind dezvoltarea pieței de capital</w:t>
            </w:r>
          </w:p>
        </w:tc>
        <w:tc>
          <w:tcPr>
            <w:tcW w:w="972" w:type="dxa"/>
            <w:shd w:val="clear" w:color="auto" w:fill="C4EFCE"/>
            <w:vAlign w:val="center"/>
            <w:hideMark/>
          </w:tcPr>
          <w:p w14:paraId="586E7C49"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1A2F023" w14:textId="77777777" w:rsidR="00A15990" w:rsidRDefault="00686A6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2E32C9C"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6033117F"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vAlign w:val="center"/>
            <w:hideMark/>
          </w:tcPr>
          <w:p w14:paraId="22331127" w14:textId="77777777" w:rsidR="00A15990" w:rsidRDefault="00686A62">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hideMark/>
          </w:tcPr>
          <w:p w14:paraId="1C25D1BF" w14:textId="77777777" w:rsidR="00A15990" w:rsidRDefault="00686A62">
            <w:pPr>
              <w:pStyle w:val="P68B1DB1-Normal8"/>
              <w:spacing w:after="0" w:line="240" w:lineRule="auto"/>
              <w:jc w:val="both"/>
              <w:rPr>
                <w:rFonts w:eastAsia="Times New Roman" w:cs="Calibri"/>
                <w:noProof/>
              </w:rPr>
            </w:pPr>
            <w:r>
              <w:rPr>
                <w:noProof/>
              </w:rPr>
              <w:t>Ca urmare a contribuțiilor actorilor de pe piață, intrarea în vigoare a legislației privind dezvoltarea pieței de capital. Menținând libertatea de lucru a Grupului operativ pentru consolidarea pieței de capital (înființat de Ministerul Economiei și Tranziției Digitale și secretarul de stat pentru finanțe), se preconizează că legislația se va concentra pe crearea de stimulente pentru, printre altele, i) accesul la capital prin intermediul pieței de capital, ii) crearea unui mediu favorabil creșterii întreprinderilor, iii) finanțarea prin îndatorare pe piață, iv) participarea investitorilor.</w:t>
            </w:r>
          </w:p>
        </w:tc>
      </w:tr>
      <w:tr w:rsidR="00A15990" w14:paraId="2E453268" w14:textId="77777777">
        <w:trPr>
          <w:trHeight w:val="1984"/>
        </w:trPr>
        <w:tc>
          <w:tcPr>
            <w:tcW w:w="1113" w:type="dxa"/>
            <w:shd w:val="clear" w:color="auto" w:fill="C4EFCE"/>
            <w:vAlign w:val="center"/>
            <w:hideMark/>
          </w:tcPr>
          <w:p w14:paraId="1303E8CD" w14:textId="77777777" w:rsidR="00A15990" w:rsidRDefault="00686A62">
            <w:pPr>
              <w:pStyle w:val="P68B1DB1-Normal7"/>
              <w:spacing w:after="0" w:line="240" w:lineRule="auto"/>
              <w:jc w:val="center"/>
              <w:rPr>
                <w:rFonts w:eastAsia="Times New Roman" w:cs="Calibri"/>
                <w:noProof/>
              </w:rPr>
            </w:pPr>
            <w:r>
              <w:rPr>
                <w:noProof/>
              </w:rPr>
              <w:t>5.27</w:t>
            </w:r>
          </w:p>
        </w:tc>
        <w:tc>
          <w:tcPr>
            <w:tcW w:w="1246" w:type="dxa"/>
            <w:shd w:val="clear" w:color="auto" w:fill="C4EFCE"/>
            <w:vAlign w:val="center"/>
            <w:hideMark/>
          </w:tcPr>
          <w:p w14:paraId="1806B2C1" w14:textId="77777777" w:rsidR="00A15990" w:rsidRDefault="00686A6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4044504"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42D89F6B" w14:textId="77777777" w:rsidR="00A15990" w:rsidRDefault="00686A62">
            <w:pPr>
              <w:pStyle w:val="P68B1DB1-Normal8"/>
              <w:spacing w:after="0" w:line="240" w:lineRule="auto"/>
              <w:jc w:val="center"/>
              <w:rPr>
                <w:rFonts w:eastAsia="Times New Roman" w:cs="Calibri"/>
                <w:noProof/>
              </w:rPr>
            </w:pPr>
            <w:r>
              <w:rPr>
                <w:noProof/>
              </w:rPr>
              <w:t xml:space="preserve">Intrarea în vigoare a unui decret-lege care reglementează măsura de capitalizare a BPF </w:t>
            </w:r>
          </w:p>
        </w:tc>
        <w:tc>
          <w:tcPr>
            <w:tcW w:w="1245" w:type="dxa"/>
            <w:shd w:val="clear" w:color="auto" w:fill="C4EFCE"/>
            <w:vAlign w:val="center"/>
            <w:hideMark/>
          </w:tcPr>
          <w:p w14:paraId="0B68941B" w14:textId="77777777" w:rsidR="00A15990" w:rsidRDefault="00686A62">
            <w:pPr>
              <w:pStyle w:val="P68B1DB1-Normal8"/>
              <w:spacing w:after="0" w:line="240" w:lineRule="auto"/>
              <w:jc w:val="center"/>
              <w:rPr>
                <w:rFonts w:eastAsia="Times New Roman" w:cs="Calibri"/>
                <w:noProof/>
              </w:rPr>
            </w:pPr>
            <w:r>
              <w:rPr>
                <w:noProof/>
              </w:rPr>
              <w:t>Intrarea în vigoare a unui decret-lege care reglementează măsura de capitalizare a BPF</w:t>
            </w:r>
          </w:p>
        </w:tc>
        <w:tc>
          <w:tcPr>
            <w:tcW w:w="972" w:type="dxa"/>
            <w:shd w:val="clear" w:color="auto" w:fill="C4EFCE"/>
            <w:vAlign w:val="center"/>
            <w:hideMark/>
          </w:tcPr>
          <w:p w14:paraId="4606872E"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241F8011" w14:textId="77777777" w:rsidR="00A15990" w:rsidRDefault="00686A62">
            <w:pPr>
              <w:pStyle w:val="P68B1DB1-Normal8"/>
              <w:spacing w:after="0" w:line="240" w:lineRule="auto"/>
              <w:jc w:val="center"/>
              <w:rPr>
                <w:rFonts w:eastAsia="Times New Roman" w:cs="Calibri"/>
                <w:noProof/>
              </w:rPr>
            </w:pPr>
            <w:r>
              <w:rPr>
                <w:noProof/>
              </w:rPr>
              <w:t> </w:t>
            </w:r>
          </w:p>
          <w:p w14:paraId="568C3E8E" w14:textId="77777777" w:rsidR="00A15990" w:rsidRDefault="00A15990">
            <w:pPr>
              <w:rPr>
                <w:rFonts w:ascii="Calibri" w:eastAsia="Times New Roman" w:hAnsi="Calibri" w:cs="Calibri"/>
                <w:noProof/>
                <w:sz w:val="16"/>
              </w:rPr>
            </w:pPr>
          </w:p>
          <w:p w14:paraId="4A2BB129" w14:textId="77777777" w:rsidR="00A15990" w:rsidRDefault="00A15990">
            <w:pPr>
              <w:rPr>
                <w:rFonts w:ascii="Calibri" w:eastAsia="Times New Roman" w:hAnsi="Calibri" w:cs="Calibri"/>
                <w:noProof/>
                <w:sz w:val="16"/>
              </w:rPr>
            </w:pPr>
          </w:p>
          <w:p w14:paraId="528CDCA3" w14:textId="77777777" w:rsidR="00A15990" w:rsidRDefault="00A15990">
            <w:pPr>
              <w:rPr>
                <w:rFonts w:ascii="Calibri" w:eastAsia="Times New Roman" w:hAnsi="Calibri" w:cs="Calibri"/>
                <w:noProof/>
                <w:sz w:val="16"/>
              </w:rPr>
            </w:pPr>
          </w:p>
          <w:p w14:paraId="73EBE8F6" w14:textId="77777777" w:rsidR="00A15990" w:rsidRDefault="00A15990">
            <w:pPr>
              <w:rPr>
                <w:rFonts w:ascii="Calibri" w:eastAsia="Times New Roman" w:hAnsi="Calibri" w:cs="Calibri"/>
                <w:noProof/>
                <w:sz w:val="16"/>
              </w:rPr>
            </w:pPr>
          </w:p>
          <w:p w14:paraId="037CD278" w14:textId="00F93827" w:rsidR="00A15990" w:rsidRDefault="00A15990">
            <w:pPr>
              <w:rPr>
                <w:rFonts w:ascii="Calibri" w:eastAsia="Times New Roman" w:hAnsi="Calibri" w:cs="Calibri"/>
                <w:noProof/>
                <w:sz w:val="16"/>
              </w:rPr>
            </w:pPr>
          </w:p>
        </w:tc>
        <w:tc>
          <w:tcPr>
            <w:tcW w:w="695" w:type="dxa"/>
            <w:shd w:val="clear" w:color="auto" w:fill="C4EFCE"/>
            <w:vAlign w:val="center"/>
            <w:hideMark/>
          </w:tcPr>
          <w:p w14:paraId="66A30881"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78A1E93"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vAlign w:val="center"/>
            <w:hideMark/>
          </w:tcPr>
          <w:p w14:paraId="28C39B7C" w14:textId="77777777" w:rsidR="00A15990" w:rsidRDefault="00686A62">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7330B2B8" w14:textId="77777777" w:rsidR="00A15990" w:rsidRDefault="00686A62">
            <w:pPr>
              <w:pStyle w:val="P68B1DB1-Normal8"/>
              <w:spacing w:after="0" w:line="240" w:lineRule="auto"/>
              <w:jc w:val="both"/>
              <w:rPr>
                <w:rFonts w:eastAsia="Times New Roman" w:cs="Calibri"/>
                <w:noProof/>
              </w:rPr>
            </w:pPr>
            <w:r>
              <w:rPr>
                <w:noProof/>
              </w:rPr>
              <w:t xml:space="preserve">Intrarea în vigoare a unui decret-lege care reglementează măsura de capitalizare, stabilind necesitatea de a institui o politică de investiții care să definească, printre altele, criteriile de eligibilitate și de selecție a întreprinderilor beneficiare  </w:t>
            </w:r>
          </w:p>
        </w:tc>
      </w:tr>
      <w:tr w:rsidR="00A15990" w14:paraId="13FEB03E" w14:textId="77777777">
        <w:trPr>
          <w:trHeight w:val="1470"/>
        </w:trPr>
        <w:tc>
          <w:tcPr>
            <w:tcW w:w="1113" w:type="dxa"/>
            <w:shd w:val="clear" w:color="auto" w:fill="C4EFCE"/>
            <w:vAlign w:val="center"/>
            <w:hideMark/>
          </w:tcPr>
          <w:p w14:paraId="2FAB9979" w14:textId="77777777" w:rsidR="00A15990" w:rsidRDefault="00686A62">
            <w:pPr>
              <w:pStyle w:val="P68B1DB1-Normal7"/>
              <w:spacing w:after="0" w:line="240" w:lineRule="auto"/>
              <w:jc w:val="center"/>
              <w:rPr>
                <w:rFonts w:eastAsia="Times New Roman" w:cs="Calibri"/>
                <w:noProof/>
              </w:rPr>
            </w:pPr>
            <w:r>
              <w:rPr>
                <w:noProof/>
              </w:rPr>
              <w:t>5.28</w:t>
            </w:r>
          </w:p>
        </w:tc>
        <w:tc>
          <w:tcPr>
            <w:tcW w:w="1246" w:type="dxa"/>
            <w:shd w:val="clear" w:color="auto" w:fill="C4EFCE"/>
            <w:vAlign w:val="center"/>
            <w:hideMark/>
          </w:tcPr>
          <w:p w14:paraId="652B7AB1" w14:textId="77777777" w:rsidR="00A15990" w:rsidRDefault="00686A6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00EB9EF"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FFFD34C" w14:textId="77777777" w:rsidR="00A15990" w:rsidRDefault="00686A62">
            <w:pPr>
              <w:pStyle w:val="P68B1DB1-Normal8"/>
              <w:spacing w:after="0" w:line="240" w:lineRule="auto"/>
              <w:jc w:val="center"/>
              <w:rPr>
                <w:rFonts w:eastAsia="Times New Roman" w:cs="Calibri"/>
                <w:noProof/>
              </w:rPr>
            </w:pPr>
            <w:r>
              <w:rPr>
                <w:noProof/>
              </w:rPr>
              <w:t> </w:t>
            </w:r>
          </w:p>
          <w:p w14:paraId="745A03C4" w14:textId="77777777" w:rsidR="00A15990" w:rsidRDefault="00686A62">
            <w:pPr>
              <w:pStyle w:val="P68B1DB1-Normal8"/>
              <w:spacing w:after="0" w:line="240" w:lineRule="auto"/>
              <w:jc w:val="center"/>
              <w:rPr>
                <w:rFonts w:eastAsia="Times New Roman" w:cs="Calibri"/>
                <w:noProof/>
              </w:rPr>
            </w:pPr>
            <w:r>
              <w:rPr>
                <w:noProof/>
              </w:rPr>
              <w:t>Dezvoltarea politicii de investiții (capitalizare) și adoptarea de către administratorul vehiculului</w:t>
            </w:r>
          </w:p>
        </w:tc>
        <w:tc>
          <w:tcPr>
            <w:tcW w:w="1245" w:type="dxa"/>
            <w:shd w:val="clear" w:color="auto" w:fill="C4EFCE"/>
            <w:vAlign w:val="center"/>
            <w:hideMark/>
          </w:tcPr>
          <w:p w14:paraId="3C4F6B64" w14:textId="77777777" w:rsidR="00A15990" w:rsidRDefault="00686A62">
            <w:pPr>
              <w:pStyle w:val="P68B1DB1-Normal8"/>
              <w:spacing w:after="0" w:line="240" w:lineRule="auto"/>
              <w:jc w:val="center"/>
              <w:rPr>
                <w:rFonts w:eastAsia="Times New Roman" w:cs="Calibri"/>
                <w:noProof/>
              </w:rPr>
            </w:pPr>
            <w:r>
              <w:rPr>
                <w:noProof/>
              </w:rPr>
              <w:t>Politica de investiții (capitalizare), elaborată de BPF și adoptată de entitatea creată pentru gestionarea deținerilor rezultate din instrumentele financiare implementate</w:t>
            </w:r>
          </w:p>
        </w:tc>
        <w:tc>
          <w:tcPr>
            <w:tcW w:w="972" w:type="dxa"/>
            <w:shd w:val="clear" w:color="auto" w:fill="C4EFCE"/>
            <w:vAlign w:val="center"/>
            <w:hideMark/>
          </w:tcPr>
          <w:p w14:paraId="4DD7B877"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67CC7E9A" w14:textId="77777777" w:rsidR="00A15990" w:rsidRDefault="00686A6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2B21BDD4"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487C265D"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vAlign w:val="center"/>
            <w:hideMark/>
          </w:tcPr>
          <w:p w14:paraId="5DD8880A" w14:textId="77777777" w:rsidR="00A15990" w:rsidRDefault="00686A62">
            <w:pPr>
              <w:pStyle w:val="P68B1DB1-Normal8"/>
              <w:spacing w:after="0" w:line="240" w:lineRule="auto"/>
              <w:jc w:val="center"/>
              <w:rPr>
                <w:rFonts w:eastAsia="Times New Roman" w:cs="Calibri"/>
                <w:noProof/>
              </w:rPr>
            </w:pPr>
            <w:r>
              <w:rPr>
                <w:noProof/>
              </w:rPr>
              <w:t>2021</w:t>
            </w:r>
          </w:p>
        </w:tc>
        <w:tc>
          <w:tcPr>
            <w:tcW w:w="4908" w:type="dxa"/>
            <w:shd w:val="clear" w:color="auto" w:fill="C4EFCE"/>
            <w:vAlign w:val="center"/>
            <w:hideMark/>
          </w:tcPr>
          <w:p w14:paraId="41B0778D" w14:textId="77777777" w:rsidR="00A15990" w:rsidRDefault="00686A62">
            <w:pPr>
              <w:pStyle w:val="P68B1DB1-Normal8"/>
              <w:spacing w:after="0" w:line="240" w:lineRule="auto"/>
              <w:jc w:val="both"/>
              <w:rPr>
                <w:rFonts w:eastAsia="Times New Roman" w:cs="Calibri"/>
                <w:noProof/>
              </w:rPr>
            </w:pPr>
            <w:r>
              <w:rPr>
                <w:noProof/>
              </w:rPr>
              <w:t xml:space="preserve">Dezvoltarea politicii de investiții (capitalizare) și adoptarea de către administratorul vehiculului. Politica de investiții este elaborată și adoptată de BPF în calitate de organism de administrare a vehiculului instituit pentru a gestiona deținerile rezultate din instrumentele financiare puse în aplicare pentru a sprijini întreprinderile selectate ca beneficiari și detaliază criteriile de selecție/eligibilitate pentru întreprinderile sprijinite, asigurând respectarea cerințelor în materie de climă și mediu ale MRR, inclusiv conformitatea cu Orientările tehnice de tip DNSH (2021/C58/01) ale activelor/activităților sprijinite și/sau ale întreprinderilor și specificând obiectivele de investiții și randamentele vizate. </w:t>
            </w:r>
          </w:p>
          <w:p w14:paraId="361DDA87" w14:textId="77777777" w:rsidR="00A15990" w:rsidRDefault="00686A62">
            <w:pPr>
              <w:pStyle w:val="P68B1DB1-Normal8"/>
              <w:spacing w:after="0" w:line="240" w:lineRule="auto"/>
              <w:jc w:val="both"/>
              <w:rPr>
                <w:rFonts w:eastAsia="Times New Roman" w:cs="Calibri"/>
                <w:noProof/>
              </w:rPr>
            </w:pPr>
            <w:r>
              <w:rPr>
                <w:noProof/>
              </w:rPr>
              <w:t xml:space="preserve">Pentru conformitatea societăților care beneficiază de sprijin cu Orientările tehnice privind principiul de „a nu aduce prejudicii semnificative” (2021/C58/01), politica de investiții impune: </w:t>
            </w:r>
          </w:p>
          <w:p w14:paraId="576E7270" w14:textId="77777777" w:rsidR="00A15990" w:rsidRDefault="00686A62">
            <w:pPr>
              <w:pStyle w:val="P68B1DB1-Normal8"/>
              <w:spacing w:after="0" w:line="240" w:lineRule="auto"/>
              <w:jc w:val="both"/>
              <w:rPr>
                <w:rFonts w:eastAsia="Times New Roman" w:cs="Calibri"/>
                <w:noProof/>
              </w:rPr>
            </w:pPr>
            <w:r>
              <w:rPr>
                <w:noProof/>
              </w:rPr>
              <w:t>utilizarea evaluării durabilității</w:t>
            </w:r>
          </w:p>
          <w:p w14:paraId="35D2078D" w14:textId="77777777" w:rsidR="00A15990" w:rsidRDefault="00686A62">
            <w:pPr>
              <w:pStyle w:val="P68B1DB1-Normal8"/>
              <w:spacing w:after="0" w:line="240" w:lineRule="auto"/>
              <w:jc w:val="both"/>
              <w:rPr>
                <w:rFonts w:eastAsia="Times New Roman" w:cs="Calibri"/>
                <w:noProof/>
              </w:rPr>
            </w:pPr>
            <w:r>
              <w:rPr>
                <w:noProof/>
              </w:rPr>
              <w:t xml:space="preserve">— o listă de excludere care cuprinde următoarele elemente: </w:t>
            </w:r>
          </w:p>
          <w:p w14:paraId="4A97B8D7" w14:textId="77777777" w:rsidR="00A15990" w:rsidRDefault="00686A62">
            <w:pPr>
              <w:pStyle w:val="P68B1DB1-Normal8"/>
              <w:spacing w:after="0" w:line="240" w:lineRule="auto"/>
              <w:jc w:val="both"/>
              <w:rPr>
                <w:rFonts w:eastAsia="Times New Roman" w:cs="Calibri"/>
                <w:noProof/>
              </w:rPr>
            </w:pPr>
            <w:r>
              <w:rPr>
                <w:noProof/>
              </w:rPr>
              <w:t>Investiții legate de combustibilii fosili (inclusiv utilizarea în aval), cu excepția energiei termice/electrice pe bază de gaze naturale care respectă condițiile stabilite în anexa III la orientările privind principiul DNSH</w:t>
            </w:r>
          </w:p>
          <w:p w14:paraId="10F5B1AB" w14:textId="77777777" w:rsidR="00A15990" w:rsidRDefault="00686A62">
            <w:pPr>
              <w:pStyle w:val="P68B1DB1-Normal8"/>
              <w:spacing w:after="0" w:line="240" w:lineRule="auto"/>
              <w:jc w:val="both"/>
              <w:rPr>
                <w:rFonts w:eastAsia="Times New Roman" w:cs="Calibri"/>
                <w:noProof/>
              </w:rPr>
            </w:pPr>
            <w:r>
              <w:rPr>
                <w:noProof/>
              </w:rPr>
              <w:t>Activități din cadrul ETS cu emisii de CO2 echivalente estimate care nu sunt mai mici decât valorile de referință relevante stabilite pentru alocarea cu titlu gratuit.</w:t>
            </w:r>
          </w:p>
          <w:p w14:paraId="540A7716" w14:textId="3DF3C20F" w:rsidR="00A15990" w:rsidRDefault="00686A62">
            <w:pPr>
              <w:pStyle w:val="P68B1DB1-Normal8"/>
              <w:spacing w:after="0" w:line="240" w:lineRule="auto"/>
              <w:jc w:val="both"/>
              <w:rPr>
                <w:rFonts w:eastAsia="Times New Roman" w:cs="Calibri"/>
                <w:noProof/>
              </w:rPr>
            </w:pPr>
            <w:r>
              <w:rPr>
                <w:noProof/>
              </w:rPr>
              <w:t>Investiții în instalații de eliminare a deșeurilor în depozite de deșeuri, în instalații de tratare mecano-biologică (TMB) și în incineratoare pentru tratarea deșeurilor. Lista de excludere nu se aplică instalațiilor dedicate exclusiv tratării deșeurilor periculoase nereciclabile; instalațiilor existente, în cazul în care investiția are ca scop creșterea eficienței energetice, captarea gazelor de eșapament în vederea stocării sau utilizării sau recuperarea materialelor din cenușa de incinerare, cu condiția ca aceste investiții să nu conducă la o creștere a capacității de prelucrare a deșeurilor a instalației sau la o prelungire a duratei de viață a instalației.</w:t>
            </w:r>
          </w:p>
          <w:p w14:paraId="2D69FDF2" w14:textId="77777777" w:rsidR="00A15990" w:rsidRDefault="00686A62">
            <w:pPr>
              <w:pStyle w:val="P68B1DB1-Normal8"/>
              <w:spacing w:after="0" w:line="240" w:lineRule="auto"/>
              <w:jc w:val="both"/>
              <w:rPr>
                <w:rFonts w:eastAsia="Times New Roman" w:cs="Calibri"/>
                <w:noProof/>
              </w:rPr>
            </w:pPr>
            <w:r>
              <w:rPr>
                <w:noProof/>
              </w:rPr>
              <w:t>Activități în cazul cărora eliminarea pe termen lung a deșeurilor poate cauza daune pe termen lung mediului (de exemplu, deșeuri nucleare).</w:t>
            </w:r>
          </w:p>
          <w:p w14:paraId="23225360" w14:textId="77777777" w:rsidR="00A15990" w:rsidRDefault="00686A62">
            <w:pPr>
              <w:pStyle w:val="P68B1DB1-Normal8"/>
              <w:spacing w:after="0" w:line="240" w:lineRule="auto"/>
              <w:jc w:val="both"/>
              <w:rPr>
                <w:rFonts w:eastAsia="Times New Roman" w:cs="Calibri"/>
                <w:noProof/>
              </w:rPr>
            </w:pPr>
            <w:r>
              <w:rPr>
                <w:noProof/>
              </w:rPr>
              <w:t>C &amp;D&amp;Idedicată activelor și activităților de mai sus.</w:t>
            </w:r>
          </w:p>
          <w:p w14:paraId="7D9E0256" w14:textId="77777777" w:rsidR="00A15990" w:rsidRDefault="00686A62">
            <w:pPr>
              <w:pStyle w:val="P68B1DB1-Normal8"/>
              <w:spacing w:after="0" w:line="240" w:lineRule="auto"/>
              <w:jc w:val="both"/>
              <w:rPr>
                <w:rFonts w:eastAsia="Times New Roman" w:cs="Calibri"/>
                <w:noProof/>
              </w:rPr>
            </w:pPr>
            <w:r>
              <w:rPr>
                <w:noProof/>
              </w:rPr>
              <w:t>verificări obligatorii ale conformității juridice prin intermediul BPF și/sau al intermediarilor financiari selectați de acesta pentru tranzacțiile exceptate de la evaluarea durabilității</w:t>
            </w:r>
          </w:p>
          <w:p w14:paraId="56E7C1B2" w14:textId="3ECBA876" w:rsidR="00A15990" w:rsidRDefault="00686A62">
            <w:pPr>
              <w:pStyle w:val="P68B1DB1-Normal8"/>
              <w:spacing w:after="0" w:line="240" w:lineRule="auto"/>
              <w:jc w:val="both"/>
              <w:rPr>
                <w:rFonts w:eastAsia="Times New Roman" w:cs="Calibri"/>
                <w:noProof/>
              </w:rPr>
            </w:pPr>
            <w:r>
              <w:rPr>
                <w:noProof/>
              </w:rPr>
              <w:t>— beneficiarii sprijinului sub formă de capitaluri proprii care obțin cel puțin 50 % din veniturile lor din activitățile enumerate în lista de excludere pentru a adopta și a publica planuri pentru tranziția verde;</w:t>
            </w:r>
          </w:p>
        </w:tc>
      </w:tr>
      <w:tr w:rsidR="00A15990" w14:paraId="58DAC7D8" w14:textId="77777777">
        <w:trPr>
          <w:trHeight w:val="1470"/>
        </w:trPr>
        <w:tc>
          <w:tcPr>
            <w:tcW w:w="1113" w:type="dxa"/>
            <w:shd w:val="clear" w:color="auto" w:fill="C4EFCE"/>
            <w:vAlign w:val="center"/>
          </w:tcPr>
          <w:p w14:paraId="7AAF1C31" w14:textId="2324AB83" w:rsidR="00A15990" w:rsidRDefault="00686A62">
            <w:pPr>
              <w:pStyle w:val="P68B1DB1-Normal7"/>
              <w:spacing w:after="0" w:line="240" w:lineRule="auto"/>
              <w:jc w:val="center"/>
              <w:rPr>
                <w:rFonts w:eastAsia="Times New Roman" w:cs="Calibri"/>
                <w:noProof/>
              </w:rPr>
            </w:pPr>
            <w:r>
              <w:rPr>
                <w:noProof/>
              </w:rPr>
              <w:t>5.43</w:t>
            </w:r>
          </w:p>
        </w:tc>
        <w:tc>
          <w:tcPr>
            <w:tcW w:w="1246" w:type="dxa"/>
            <w:shd w:val="clear" w:color="auto" w:fill="C4EFCE"/>
            <w:vAlign w:val="center"/>
          </w:tcPr>
          <w:p w14:paraId="2AD97864" w14:textId="565E1FAF" w:rsidR="00A15990" w:rsidRDefault="00686A6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tcPr>
          <w:p w14:paraId="73EC6014" w14:textId="73F26BD7" w:rsidR="00A15990" w:rsidRDefault="00686A62">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tcPr>
          <w:p w14:paraId="4E2ED19B" w14:textId="06E68B56" w:rsidR="00A15990" w:rsidRDefault="00686A62">
            <w:pPr>
              <w:pStyle w:val="P68B1DB1-Normal9"/>
              <w:spacing w:after="0" w:line="240" w:lineRule="auto"/>
              <w:jc w:val="center"/>
              <w:rPr>
                <w:rFonts w:eastAsia="Times New Roman" w:cs="Calibri"/>
                <w:noProof/>
                <w:sz w:val="16"/>
              </w:rPr>
            </w:pPr>
            <w:r>
              <w:rPr>
                <w:noProof/>
                <w:sz w:val="18"/>
              </w:rPr>
              <w:t>Prin instrumentul de capitalizare, în valoare totală de 650 000 000 EUR, societățile nefinanciare portugheze beneficiază de sprijin sub formă de capital propriu și cvasicapital, în conformitate cu politica sa de investiții</w:t>
            </w:r>
          </w:p>
        </w:tc>
        <w:tc>
          <w:tcPr>
            <w:tcW w:w="1245" w:type="dxa"/>
            <w:shd w:val="clear" w:color="auto" w:fill="C4EFCE"/>
            <w:vAlign w:val="center"/>
          </w:tcPr>
          <w:p w14:paraId="752C0856" w14:textId="06A6F4D5" w:rsidR="00A15990" w:rsidRDefault="00686A62">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tcPr>
          <w:p w14:paraId="3548D410" w14:textId="4E0B55A9" w:rsidR="00A15990" w:rsidRDefault="00686A62">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tcPr>
          <w:p w14:paraId="45FC375D" w14:textId="23E21CC6" w:rsidR="00A15990" w:rsidRDefault="00686A62">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tcPr>
          <w:p w14:paraId="77E4C48C" w14:textId="34768C61" w:rsidR="00A15990" w:rsidRDefault="00686A62">
            <w:pPr>
              <w:pStyle w:val="P68B1DB1-Normal8"/>
              <w:spacing w:after="0" w:line="240" w:lineRule="auto"/>
              <w:jc w:val="center"/>
              <w:rPr>
                <w:rFonts w:eastAsia="Times New Roman" w:cs="Calibri"/>
                <w:noProof/>
              </w:rPr>
            </w:pPr>
            <w:r>
              <w:rPr>
                <w:noProof/>
              </w:rPr>
              <w:t>650 000 000</w:t>
            </w:r>
          </w:p>
        </w:tc>
        <w:tc>
          <w:tcPr>
            <w:tcW w:w="557" w:type="dxa"/>
            <w:shd w:val="clear" w:color="auto" w:fill="C4EFCE"/>
            <w:vAlign w:val="center"/>
          </w:tcPr>
          <w:p w14:paraId="1E551FEE" w14:textId="42F444C6"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vAlign w:val="center"/>
          </w:tcPr>
          <w:p w14:paraId="42B6A4AF" w14:textId="2FFF2A1C" w:rsidR="00A15990" w:rsidRDefault="00686A62">
            <w:pPr>
              <w:pStyle w:val="P68B1DB1-Normal8"/>
              <w:spacing w:after="0" w:line="240" w:lineRule="auto"/>
              <w:jc w:val="center"/>
              <w:rPr>
                <w:rFonts w:eastAsia="Times New Roman" w:cs="Calibri"/>
                <w:noProof/>
              </w:rPr>
            </w:pPr>
            <w:r>
              <w:rPr>
                <w:noProof/>
              </w:rPr>
              <w:t>2023</w:t>
            </w:r>
          </w:p>
        </w:tc>
        <w:tc>
          <w:tcPr>
            <w:tcW w:w="4908" w:type="dxa"/>
            <w:shd w:val="clear" w:color="auto" w:fill="C4EFCE"/>
            <w:vAlign w:val="center"/>
          </w:tcPr>
          <w:p w14:paraId="73D8A264" w14:textId="5E5DE666" w:rsidR="00A15990" w:rsidRDefault="00686A62">
            <w:pPr>
              <w:pStyle w:val="P68B1DB1-Normal8"/>
              <w:spacing w:after="0" w:line="240" w:lineRule="auto"/>
              <w:jc w:val="both"/>
              <w:rPr>
                <w:rFonts w:eastAsia="Times New Roman" w:cs="Calibri"/>
                <w:noProof/>
              </w:rPr>
            </w:pPr>
            <w:r>
              <w:rPr>
                <w:noProof/>
              </w:rPr>
              <w:t xml:space="preserve">Furnizarea unei sume totale de 650 000 000 EUR societăților nefinanciare portugheze sub formă de participații și cvasi-participații, în conformitate cu politica de investiții definită anterior elaborată de BPF, inclusiv sumele plătite societăților nefinanciare sub formă de investiții directe și cele alocate intermediarilor financiari ca investiții indirecte. </w:t>
            </w:r>
          </w:p>
        </w:tc>
      </w:tr>
      <w:tr w:rsidR="00A15990" w14:paraId="5D9E6171" w14:textId="77777777">
        <w:trPr>
          <w:trHeight w:val="1960"/>
        </w:trPr>
        <w:tc>
          <w:tcPr>
            <w:tcW w:w="1113" w:type="dxa"/>
            <w:shd w:val="clear" w:color="auto" w:fill="C4EFCE"/>
            <w:vAlign w:val="center"/>
            <w:hideMark/>
          </w:tcPr>
          <w:p w14:paraId="4495AE84" w14:textId="77777777" w:rsidR="00A15990" w:rsidRDefault="00686A62">
            <w:pPr>
              <w:pStyle w:val="P68B1DB1-Normal7"/>
              <w:spacing w:after="0" w:line="240" w:lineRule="auto"/>
              <w:jc w:val="center"/>
              <w:rPr>
                <w:rFonts w:eastAsia="Times New Roman" w:cs="Calibri"/>
                <w:noProof/>
              </w:rPr>
            </w:pPr>
            <w:r>
              <w:rPr>
                <w:noProof/>
              </w:rPr>
              <w:t>5.29</w:t>
            </w:r>
          </w:p>
        </w:tc>
        <w:tc>
          <w:tcPr>
            <w:tcW w:w="1246" w:type="dxa"/>
            <w:shd w:val="clear" w:color="auto" w:fill="C4EFCE"/>
            <w:vAlign w:val="center"/>
            <w:hideMark/>
          </w:tcPr>
          <w:p w14:paraId="3D54CD9A" w14:textId="77777777" w:rsidR="00A15990" w:rsidRDefault="00686A6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79606A01" w14:textId="77777777" w:rsidR="00A15990" w:rsidRDefault="00686A62">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02CF9922" w14:textId="4B68928A" w:rsidR="00A15990" w:rsidRDefault="00686A62">
            <w:pPr>
              <w:pStyle w:val="P68B1DB1-Normal9"/>
              <w:spacing w:after="0" w:line="240" w:lineRule="auto"/>
              <w:jc w:val="center"/>
              <w:rPr>
                <w:rFonts w:eastAsia="Times New Roman" w:cs="Calibri"/>
                <w:noProof/>
                <w:sz w:val="18"/>
              </w:rPr>
            </w:pPr>
            <w:r>
              <w:rPr>
                <w:noProof/>
                <w:sz w:val="18"/>
              </w:rPr>
              <w:t>Prin instrumentul de capitalizare, în valoare totală de 1 300 000 000 EUR, societățile nefinanciare portugheze beneficiază de sprijin sub formă de capital propriu și cvasicapital, în conformitate cu politica sa de investiții</w:t>
            </w:r>
          </w:p>
        </w:tc>
        <w:tc>
          <w:tcPr>
            <w:tcW w:w="1245" w:type="dxa"/>
            <w:shd w:val="clear" w:color="auto" w:fill="C4EFCE"/>
            <w:vAlign w:val="center"/>
            <w:hideMark/>
          </w:tcPr>
          <w:p w14:paraId="71326F10" w14:textId="77777777" w:rsidR="00A15990" w:rsidRDefault="00686A62">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36DB9E1E" w14:textId="77777777" w:rsidR="00A15990" w:rsidRDefault="00686A62">
            <w:pPr>
              <w:pStyle w:val="P68B1DB1-Normal8"/>
              <w:spacing w:after="0" w:line="240" w:lineRule="auto"/>
              <w:jc w:val="center"/>
              <w:rPr>
                <w:rFonts w:eastAsia="Times New Roman" w:cs="Calibri"/>
                <w:noProof/>
              </w:rPr>
            </w:pPr>
            <w:r>
              <w:rPr>
                <w:noProof/>
              </w:rPr>
              <w:t xml:space="preserve">EUR </w:t>
            </w:r>
          </w:p>
        </w:tc>
        <w:tc>
          <w:tcPr>
            <w:tcW w:w="971" w:type="dxa"/>
            <w:shd w:val="clear" w:color="auto" w:fill="C4EFCE"/>
            <w:vAlign w:val="center"/>
            <w:hideMark/>
          </w:tcPr>
          <w:p w14:paraId="224DC5A2" w14:textId="05CA90DA" w:rsidR="00A15990" w:rsidRDefault="00686A62">
            <w:pPr>
              <w:pStyle w:val="P68B1DB1-Normal8"/>
              <w:spacing w:after="0" w:line="240" w:lineRule="auto"/>
              <w:jc w:val="center"/>
              <w:rPr>
                <w:rFonts w:eastAsia="Times New Roman" w:cs="Calibri"/>
                <w:noProof/>
              </w:rPr>
            </w:pPr>
            <w:r>
              <w:rPr>
                <w:noProof/>
              </w:rPr>
              <w:t>650 000 000</w:t>
            </w:r>
          </w:p>
        </w:tc>
        <w:tc>
          <w:tcPr>
            <w:tcW w:w="695" w:type="dxa"/>
            <w:shd w:val="clear" w:color="auto" w:fill="C4EFCE"/>
            <w:vAlign w:val="center"/>
            <w:hideMark/>
          </w:tcPr>
          <w:p w14:paraId="1CA39E70" w14:textId="25FFDE82" w:rsidR="00A15990" w:rsidRDefault="00686A62">
            <w:pPr>
              <w:pStyle w:val="P68B1DB1-Normal8"/>
              <w:spacing w:after="0" w:line="240" w:lineRule="auto"/>
              <w:jc w:val="center"/>
              <w:rPr>
                <w:rFonts w:eastAsia="Times New Roman" w:cs="Calibri"/>
                <w:noProof/>
              </w:rPr>
            </w:pPr>
            <w:r>
              <w:rPr>
                <w:noProof/>
              </w:rPr>
              <w:t>1 300 000 000</w:t>
            </w:r>
          </w:p>
        </w:tc>
        <w:tc>
          <w:tcPr>
            <w:tcW w:w="557" w:type="dxa"/>
            <w:shd w:val="clear" w:color="auto" w:fill="C4EFCE"/>
            <w:vAlign w:val="center"/>
            <w:hideMark/>
          </w:tcPr>
          <w:p w14:paraId="4C01E635"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vAlign w:val="center"/>
            <w:hideMark/>
          </w:tcPr>
          <w:p w14:paraId="7FE96FF1" w14:textId="4723B112" w:rsidR="00A15990" w:rsidRDefault="00686A62">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397877F2" w14:textId="3F4CCA05" w:rsidR="00A15990" w:rsidRDefault="00686A62">
            <w:pPr>
              <w:pStyle w:val="P68B1DB1-Normal8"/>
              <w:spacing w:after="0" w:line="240" w:lineRule="auto"/>
              <w:jc w:val="both"/>
              <w:rPr>
                <w:rFonts w:eastAsia="Times New Roman" w:cs="Calibri"/>
                <w:noProof/>
              </w:rPr>
            </w:pPr>
            <w:r>
              <w:rPr>
                <w:noProof/>
              </w:rPr>
              <w:t>Furnizarea unei sume totale de 1 300 000 000 EUR (inclusiv 650 000 000 EUR din obiectivul 5.43) către societățile nefinanciare portugheze sub formă de capital propriu și cvasi-capital propriu, în conformitate cu politica de investiții definită anterior, elaborată de BPF și adoptată de vehiculul creat pentru gestionarea deținerilor rezultate din instrumentele financiare implementate. Cu titlu indicativ, se estimează că 1300 de întreprinderi vor fi sprijinite prin finalizarea planului.</w:t>
            </w:r>
          </w:p>
        </w:tc>
      </w:tr>
      <w:tr w:rsidR="00A15990" w14:paraId="549D7570" w14:textId="77777777">
        <w:trPr>
          <w:trHeight w:val="1817"/>
        </w:trPr>
        <w:tc>
          <w:tcPr>
            <w:tcW w:w="1113" w:type="dxa"/>
            <w:shd w:val="clear" w:color="auto" w:fill="C4EFCE"/>
            <w:vAlign w:val="center"/>
            <w:hideMark/>
          </w:tcPr>
          <w:p w14:paraId="200D26C9" w14:textId="77777777" w:rsidR="00A15990" w:rsidRDefault="00686A62">
            <w:pPr>
              <w:pStyle w:val="P68B1DB1-Normal7"/>
              <w:spacing w:after="0" w:line="240" w:lineRule="auto"/>
              <w:jc w:val="center"/>
              <w:rPr>
                <w:rFonts w:eastAsia="Times New Roman" w:cs="Calibri"/>
                <w:noProof/>
              </w:rPr>
            </w:pPr>
            <w:r>
              <w:rPr>
                <w:noProof/>
              </w:rPr>
              <w:t>5.30</w:t>
            </w:r>
          </w:p>
        </w:tc>
        <w:tc>
          <w:tcPr>
            <w:tcW w:w="1246" w:type="dxa"/>
            <w:shd w:val="clear" w:color="auto" w:fill="C4EFCE"/>
            <w:vAlign w:val="center"/>
            <w:hideMark/>
          </w:tcPr>
          <w:p w14:paraId="3395B4BA" w14:textId="77777777" w:rsidR="00A15990" w:rsidRDefault="00686A6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114316E5"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74A62CD3" w14:textId="77777777" w:rsidR="00A15990" w:rsidRDefault="00686A62">
            <w:pPr>
              <w:pStyle w:val="P68B1DB1-Normal8"/>
              <w:spacing w:after="0" w:line="240" w:lineRule="auto"/>
              <w:jc w:val="center"/>
              <w:rPr>
                <w:rFonts w:eastAsia="Times New Roman" w:cs="Calibri"/>
                <w:noProof/>
              </w:rPr>
            </w:pPr>
            <w:r>
              <w:rPr>
                <w:noProof/>
              </w:rPr>
              <w:t>Notificarea Comisiei Europene cu privire la trecerea cu succes a evaluării bazate pe piloni pentru BPF</w:t>
            </w:r>
          </w:p>
        </w:tc>
        <w:tc>
          <w:tcPr>
            <w:tcW w:w="1245" w:type="dxa"/>
            <w:shd w:val="clear" w:color="auto" w:fill="C4EFCE"/>
            <w:vAlign w:val="center"/>
            <w:hideMark/>
          </w:tcPr>
          <w:p w14:paraId="31EB5F65" w14:textId="77777777" w:rsidR="00A15990" w:rsidRDefault="00686A62">
            <w:pPr>
              <w:pStyle w:val="P68B1DB1-Normal8"/>
              <w:spacing w:after="0" w:line="240" w:lineRule="auto"/>
              <w:jc w:val="center"/>
              <w:rPr>
                <w:rFonts w:eastAsia="Times New Roman" w:cs="Calibri"/>
                <w:noProof/>
              </w:rPr>
            </w:pPr>
            <w:r>
              <w:rPr>
                <w:noProof/>
              </w:rPr>
              <w:t>Notificarea Comisiei Europene cu privire la trecerea cu succes a evaluării bazate pe piloni pentru BPF</w:t>
            </w:r>
          </w:p>
        </w:tc>
        <w:tc>
          <w:tcPr>
            <w:tcW w:w="972" w:type="dxa"/>
            <w:shd w:val="clear" w:color="auto" w:fill="C4EFCE"/>
            <w:vAlign w:val="center"/>
            <w:hideMark/>
          </w:tcPr>
          <w:p w14:paraId="2DB76E39"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710C53F3" w14:textId="77777777" w:rsidR="00A15990" w:rsidRDefault="00686A6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00FD89EB"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19A09A92" w14:textId="77777777" w:rsidR="00A15990" w:rsidRDefault="00686A62">
            <w:pPr>
              <w:pStyle w:val="P68B1DB1-Normal8"/>
              <w:spacing w:after="0" w:line="240" w:lineRule="auto"/>
              <w:jc w:val="center"/>
              <w:rPr>
                <w:rFonts w:eastAsia="Times New Roman" w:cs="Calibri"/>
                <w:noProof/>
              </w:rPr>
            </w:pPr>
            <w:r>
              <w:rPr>
                <w:noProof/>
              </w:rPr>
              <w:t>TRIMESTRUL 1</w:t>
            </w:r>
          </w:p>
        </w:tc>
        <w:tc>
          <w:tcPr>
            <w:tcW w:w="694" w:type="dxa"/>
            <w:shd w:val="clear" w:color="auto" w:fill="C4EFCE"/>
            <w:vAlign w:val="center"/>
            <w:hideMark/>
          </w:tcPr>
          <w:p w14:paraId="41568E3C" w14:textId="77777777" w:rsidR="00A15990" w:rsidRDefault="00686A62">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309B65CF" w14:textId="1D35D77D" w:rsidR="00A15990" w:rsidRDefault="00686A62">
            <w:pPr>
              <w:pStyle w:val="P68B1DB1-Normal8"/>
              <w:spacing w:after="0" w:line="240" w:lineRule="auto"/>
              <w:jc w:val="both"/>
              <w:rPr>
                <w:rFonts w:eastAsia="Times New Roman" w:cs="Calibri"/>
                <w:noProof/>
              </w:rPr>
            </w:pPr>
            <w:r>
              <w:rPr>
                <w:noProof/>
              </w:rPr>
              <w:t>Notificarea Comisiei Europene cu privire la trecerea cu succes a evaluării bazate pe piloni pentru BPF</w:t>
            </w:r>
          </w:p>
        </w:tc>
      </w:tr>
      <w:tr w:rsidR="00A15990" w14:paraId="56A32DB7" w14:textId="77777777">
        <w:trPr>
          <w:trHeight w:val="290"/>
        </w:trPr>
        <w:tc>
          <w:tcPr>
            <w:tcW w:w="1113" w:type="dxa"/>
            <w:shd w:val="clear" w:color="auto" w:fill="C4EFCE"/>
            <w:vAlign w:val="center"/>
            <w:hideMark/>
          </w:tcPr>
          <w:p w14:paraId="70D94B9B" w14:textId="77777777" w:rsidR="00A15990" w:rsidRDefault="00686A62">
            <w:pPr>
              <w:pStyle w:val="P68B1DB1-Normal7"/>
              <w:spacing w:after="0" w:line="240" w:lineRule="auto"/>
              <w:jc w:val="center"/>
              <w:rPr>
                <w:rFonts w:eastAsia="Times New Roman" w:cs="Calibri"/>
                <w:noProof/>
              </w:rPr>
            </w:pPr>
            <w:r>
              <w:rPr>
                <w:noProof/>
              </w:rPr>
              <w:t>5.31</w:t>
            </w:r>
          </w:p>
        </w:tc>
        <w:tc>
          <w:tcPr>
            <w:tcW w:w="1246" w:type="dxa"/>
            <w:shd w:val="clear" w:color="auto" w:fill="C4EFCE"/>
            <w:vAlign w:val="center"/>
            <w:hideMark/>
          </w:tcPr>
          <w:p w14:paraId="5B366953" w14:textId="77777777" w:rsidR="00A15990" w:rsidRDefault="00686A6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51738445" w14:textId="77777777" w:rsidR="00A15990" w:rsidRDefault="00686A62">
            <w:pPr>
              <w:pStyle w:val="P68B1DB1-Normal8"/>
              <w:spacing w:after="0" w:line="240" w:lineRule="auto"/>
              <w:jc w:val="center"/>
              <w:rPr>
                <w:rFonts w:eastAsia="Times New Roman" w:cs="Calibri"/>
                <w:noProof/>
              </w:rPr>
            </w:pPr>
            <w:r>
              <w:rPr>
                <w:noProof/>
              </w:rPr>
              <w:t>M</w:t>
            </w:r>
          </w:p>
        </w:tc>
        <w:tc>
          <w:tcPr>
            <w:tcW w:w="1659" w:type="dxa"/>
            <w:shd w:val="clear" w:color="auto" w:fill="C4EFCE"/>
            <w:vAlign w:val="center"/>
            <w:hideMark/>
          </w:tcPr>
          <w:p w14:paraId="57A63337" w14:textId="4B6CFB1F" w:rsidR="00A15990" w:rsidRDefault="00686A62">
            <w:pPr>
              <w:pStyle w:val="P68B1DB1-Normal8"/>
              <w:spacing w:after="0" w:line="240" w:lineRule="auto"/>
              <w:jc w:val="center"/>
              <w:rPr>
                <w:rFonts w:eastAsia="Times New Roman" w:cs="Calibri"/>
                <w:noProof/>
              </w:rPr>
            </w:pPr>
            <w:r>
              <w:rPr>
                <w:noProof/>
              </w:rPr>
              <w:t> Transferul de capital în valoare de 250 000 000 EUR de la guvernul portughez către BPF și adoptarea politicii de investiții pentru BPF</w:t>
            </w:r>
          </w:p>
        </w:tc>
        <w:tc>
          <w:tcPr>
            <w:tcW w:w="1245" w:type="dxa"/>
            <w:shd w:val="clear" w:color="auto" w:fill="C4EFCE"/>
            <w:vAlign w:val="center"/>
            <w:hideMark/>
          </w:tcPr>
          <w:p w14:paraId="1E07B141" w14:textId="77777777" w:rsidR="00A15990" w:rsidRDefault="00686A62">
            <w:pPr>
              <w:pStyle w:val="P68B1DB1-Normal8"/>
              <w:spacing w:after="0" w:line="240" w:lineRule="auto"/>
              <w:jc w:val="center"/>
              <w:rPr>
                <w:rFonts w:eastAsia="Times New Roman" w:cs="Calibri"/>
                <w:noProof/>
              </w:rPr>
            </w:pPr>
            <w:r>
              <w:rPr>
                <w:noProof/>
              </w:rPr>
              <w:t>Majorarea capitalului și dezvoltarea politicii de investiții pentru BPF în vederea punerii în aplicare a InvestEU, stabilind un set de criterii de eligibilitate pentru a asigura îndeplinirea obiectivelor Mecanismului de redresare și reziliență</w:t>
            </w:r>
          </w:p>
        </w:tc>
        <w:tc>
          <w:tcPr>
            <w:tcW w:w="972" w:type="dxa"/>
            <w:shd w:val="clear" w:color="auto" w:fill="C4EFCE"/>
            <w:vAlign w:val="center"/>
            <w:hideMark/>
          </w:tcPr>
          <w:p w14:paraId="2827D026"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vAlign w:val="center"/>
            <w:hideMark/>
          </w:tcPr>
          <w:p w14:paraId="1A690ADD" w14:textId="77777777" w:rsidR="00A15990" w:rsidRDefault="00686A62">
            <w:pPr>
              <w:pStyle w:val="P68B1DB1-Normal8"/>
              <w:spacing w:after="0" w:line="240" w:lineRule="auto"/>
              <w:jc w:val="center"/>
              <w:rPr>
                <w:rFonts w:eastAsia="Times New Roman" w:cs="Calibri"/>
                <w:noProof/>
              </w:rPr>
            </w:pPr>
            <w:r>
              <w:rPr>
                <w:noProof/>
              </w:rPr>
              <w:t> </w:t>
            </w:r>
          </w:p>
        </w:tc>
        <w:tc>
          <w:tcPr>
            <w:tcW w:w="695" w:type="dxa"/>
            <w:shd w:val="clear" w:color="auto" w:fill="C4EFCE"/>
            <w:vAlign w:val="center"/>
            <w:hideMark/>
          </w:tcPr>
          <w:p w14:paraId="4AD27795" w14:textId="77777777" w:rsidR="00A15990" w:rsidRDefault="00686A62">
            <w:pPr>
              <w:pStyle w:val="P68B1DB1-Normal8"/>
              <w:spacing w:after="0" w:line="240" w:lineRule="auto"/>
              <w:jc w:val="center"/>
              <w:rPr>
                <w:rFonts w:eastAsia="Times New Roman" w:cs="Calibri"/>
                <w:noProof/>
              </w:rPr>
            </w:pPr>
            <w:r>
              <w:rPr>
                <w:noProof/>
              </w:rPr>
              <w:t> </w:t>
            </w:r>
          </w:p>
        </w:tc>
        <w:tc>
          <w:tcPr>
            <w:tcW w:w="557" w:type="dxa"/>
            <w:shd w:val="clear" w:color="auto" w:fill="C4EFCE"/>
            <w:vAlign w:val="center"/>
            <w:hideMark/>
          </w:tcPr>
          <w:p w14:paraId="07426AEB" w14:textId="77777777" w:rsidR="00A15990" w:rsidRDefault="00686A62">
            <w:pPr>
              <w:pStyle w:val="P68B1DB1-Normal8"/>
              <w:spacing w:after="0" w:line="240" w:lineRule="auto"/>
              <w:jc w:val="center"/>
              <w:rPr>
                <w:rFonts w:eastAsia="Times New Roman" w:cs="Calibri"/>
                <w:noProof/>
              </w:rPr>
            </w:pPr>
            <w:r>
              <w:rPr>
                <w:noProof/>
              </w:rPr>
              <w:t>TRIMESTRUL 1</w:t>
            </w:r>
          </w:p>
        </w:tc>
        <w:tc>
          <w:tcPr>
            <w:tcW w:w="694" w:type="dxa"/>
            <w:shd w:val="clear" w:color="auto" w:fill="C4EFCE"/>
            <w:vAlign w:val="center"/>
            <w:hideMark/>
          </w:tcPr>
          <w:p w14:paraId="1A0C8068" w14:textId="77777777" w:rsidR="00A15990" w:rsidRDefault="00686A62">
            <w:pPr>
              <w:pStyle w:val="P68B1DB1-Normal8"/>
              <w:spacing w:after="0" w:line="240" w:lineRule="auto"/>
              <w:jc w:val="center"/>
              <w:rPr>
                <w:rFonts w:eastAsia="Times New Roman" w:cs="Calibri"/>
                <w:noProof/>
              </w:rPr>
            </w:pPr>
            <w:r>
              <w:rPr>
                <w:noProof/>
              </w:rPr>
              <w:t>2022</w:t>
            </w:r>
          </w:p>
        </w:tc>
        <w:tc>
          <w:tcPr>
            <w:tcW w:w="4908" w:type="dxa"/>
            <w:shd w:val="clear" w:color="auto" w:fill="C4EFCE"/>
            <w:vAlign w:val="center"/>
            <w:hideMark/>
          </w:tcPr>
          <w:p w14:paraId="6CA6D0BF" w14:textId="7FA936EF" w:rsidR="00A15990" w:rsidRDefault="00686A62">
            <w:pPr>
              <w:pStyle w:val="P68B1DB1-Normal8"/>
              <w:spacing w:after="0" w:line="240" w:lineRule="auto"/>
              <w:jc w:val="both"/>
              <w:rPr>
                <w:rFonts w:eastAsia="Times New Roman" w:cs="Calibri"/>
                <w:noProof/>
              </w:rPr>
            </w:pPr>
            <w:r>
              <w:rPr>
                <w:noProof/>
              </w:rPr>
              <w:t>Transferul de capital în valoare de 250 000 000 EUR de la guvernul portughez către BPF și adoptarea politicii de investiții pentru ca BPF să pună în aplicare InvestEU, stabilind un set de criterii de eligibilitate în conformitate cu obiectivele Mecanismului de redresare și reziliență, inclusiv cu principiul DNSH, în contextul semnării unui „acord de garantare InvestEU”.</w:t>
            </w:r>
          </w:p>
        </w:tc>
      </w:tr>
      <w:tr w:rsidR="00A15990" w14:paraId="79CBF608" w14:textId="77777777">
        <w:trPr>
          <w:trHeight w:val="687"/>
        </w:trPr>
        <w:tc>
          <w:tcPr>
            <w:tcW w:w="1113" w:type="dxa"/>
            <w:shd w:val="clear" w:color="auto" w:fill="C4EFCE"/>
            <w:vAlign w:val="center"/>
            <w:hideMark/>
          </w:tcPr>
          <w:p w14:paraId="62505207" w14:textId="4798763F" w:rsidR="00A15990" w:rsidRDefault="00686A62">
            <w:pPr>
              <w:pStyle w:val="P68B1DB1-Normal7"/>
              <w:spacing w:after="0" w:line="240" w:lineRule="auto"/>
              <w:jc w:val="center"/>
              <w:rPr>
                <w:rFonts w:eastAsia="Times New Roman" w:cs="Calibri"/>
                <w:noProof/>
              </w:rPr>
            </w:pPr>
            <w:r>
              <w:rPr>
                <w:noProof/>
              </w:rPr>
              <w:t>5.32</w:t>
            </w:r>
          </w:p>
        </w:tc>
        <w:tc>
          <w:tcPr>
            <w:tcW w:w="1246" w:type="dxa"/>
            <w:shd w:val="clear" w:color="auto" w:fill="C4EFCE"/>
            <w:vAlign w:val="center"/>
            <w:hideMark/>
          </w:tcPr>
          <w:p w14:paraId="3E67B2B5" w14:textId="77777777" w:rsidR="00A15990" w:rsidRDefault="00686A62">
            <w:pPr>
              <w:pStyle w:val="P68B1DB1-Normal8"/>
              <w:spacing w:after="0" w:line="240" w:lineRule="auto"/>
              <w:jc w:val="center"/>
              <w:rPr>
                <w:rFonts w:eastAsia="Times New Roman" w:cs="Calibri"/>
                <w:noProof/>
              </w:rPr>
            </w:pPr>
            <w:r>
              <w:rPr>
                <w:noProof/>
              </w:rPr>
              <w:t>RE-C05-i06</w:t>
            </w:r>
          </w:p>
        </w:tc>
        <w:tc>
          <w:tcPr>
            <w:tcW w:w="1108" w:type="dxa"/>
            <w:shd w:val="clear" w:color="auto" w:fill="C4EFCE"/>
            <w:vAlign w:val="center"/>
            <w:hideMark/>
          </w:tcPr>
          <w:p w14:paraId="2B3F8D44" w14:textId="77777777" w:rsidR="00A15990" w:rsidRDefault="00686A62">
            <w:pPr>
              <w:pStyle w:val="P68B1DB1-Normal8"/>
              <w:spacing w:after="0" w:line="240" w:lineRule="auto"/>
              <w:jc w:val="center"/>
              <w:rPr>
                <w:rFonts w:eastAsia="Times New Roman" w:cs="Calibri"/>
                <w:noProof/>
              </w:rPr>
            </w:pPr>
            <w:r>
              <w:rPr>
                <w:noProof/>
              </w:rPr>
              <w:t>T</w:t>
            </w:r>
          </w:p>
        </w:tc>
        <w:tc>
          <w:tcPr>
            <w:tcW w:w="1659" w:type="dxa"/>
            <w:shd w:val="clear" w:color="auto" w:fill="C4EFCE"/>
            <w:vAlign w:val="center"/>
            <w:hideMark/>
          </w:tcPr>
          <w:p w14:paraId="401B366E" w14:textId="77777777" w:rsidR="00A15990" w:rsidRDefault="00686A62">
            <w:pPr>
              <w:pStyle w:val="P68B1DB1-Normal8"/>
              <w:spacing w:after="0" w:line="240" w:lineRule="auto"/>
              <w:jc w:val="center"/>
              <w:rPr>
                <w:rFonts w:eastAsia="Times New Roman" w:cs="Calibri"/>
                <w:noProof/>
              </w:rPr>
            </w:pPr>
            <w:r>
              <w:rPr>
                <w:noProof/>
              </w:rPr>
              <w:t>100 % din garanțiile puse la dispoziție prin majorarea de capital au fost semnate. </w:t>
            </w:r>
          </w:p>
        </w:tc>
        <w:tc>
          <w:tcPr>
            <w:tcW w:w="1245" w:type="dxa"/>
            <w:shd w:val="clear" w:color="auto" w:fill="C4EFCE"/>
            <w:vAlign w:val="center"/>
            <w:hideMark/>
          </w:tcPr>
          <w:p w14:paraId="6F03F3CC" w14:textId="77777777" w:rsidR="00A15990" w:rsidRDefault="00686A62">
            <w:pPr>
              <w:pStyle w:val="P68B1DB1-Normal8"/>
              <w:spacing w:after="0" w:line="240" w:lineRule="auto"/>
              <w:jc w:val="center"/>
              <w:rPr>
                <w:rFonts w:eastAsia="Times New Roman" w:cs="Calibri"/>
                <w:noProof/>
              </w:rPr>
            </w:pPr>
            <w:r>
              <w:rPr>
                <w:noProof/>
              </w:rPr>
              <w:t> </w:t>
            </w:r>
          </w:p>
        </w:tc>
        <w:tc>
          <w:tcPr>
            <w:tcW w:w="972" w:type="dxa"/>
            <w:shd w:val="clear" w:color="auto" w:fill="C4EFCE"/>
            <w:vAlign w:val="center"/>
            <w:hideMark/>
          </w:tcPr>
          <w:p w14:paraId="05ACD126" w14:textId="77777777" w:rsidR="00A15990" w:rsidRDefault="00686A62">
            <w:pPr>
              <w:pStyle w:val="P68B1DB1-Normal8"/>
              <w:spacing w:after="0" w:line="240" w:lineRule="auto"/>
              <w:jc w:val="center"/>
              <w:rPr>
                <w:rFonts w:eastAsia="Times New Roman" w:cs="Calibri"/>
                <w:noProof/>
              </w:rPr>
            </w:pPr>
            <w:r>
              <w:rPr>
                <w:noProof/>
              </w:rPr>
              <w:t>%</w:t>
            </w:r>
          </w:p>
        </w:tc>
        <w:tc>
          <w:tcPr>
            <w:tcW w:w="971" w:type="dxa"/>
            <w:shd w:val="clear" w:color="auto" w:fill="C4EFCE"/>
            <w:vAlign w:val="center"/>
            <w:hideMark/>
          </w:tcPr>
          <w:p w14:paraId="51E051FB" w14:textId="77777777" w:rsidR="00A15990" w:rsidRDefault="00686A62">
            <w:pPr>
              <w:pStyle w:val="P68B1DB1-Normal8"/>
              <w:spacing w:after="0" w:line="240" w:lineRule="auto"/>
              <w:jc w:val="center"/>
              <w:rPr>
                <w:rFonts w:eastAsia="Times New Roman" w:cs="Calibri"/>
                <w:noProof/>
              </w:rPr>
            </w:pPr>
            <w:r>
              <w:rPr>
                <w:noProof/>
              </w:rPr>
              <w:t>0</w:t>
            </w:r>
          </w:p>
        </w:tc>
        <w:tc>
          <w:tcPr>
            <w:tcW w:w="695" w:type="dxa"/>
            <w:shd w:val="clear" w:color="auto" w:fill="C4EFCE"/>
            <w:vAlign w:val="center"/>
            <w:hideMark/>
          </w:tcPr>
          <w:p w14:paraId="25B5E659" w14:textId="77777777" w:rsidR="00A15990" w:rsidRDefault="00686A62">
            <w:pPr>
              <w:pStyle w:val="P68B1DB1-Normal8"/>
              <w:spacing w:after="0" w:line="240" w:lineRule="auto"/>
              <w:jc w:val="center"/>
              <w:rPr>
                <w:rFonts w:eastAsia="Times New Roman" w:cs="Calibri"/>
                <w:noProof/>
              </w:rPr>
            </w:pPr>
            <w:r>
              <w:rPr>
                <w:noProof/>
              </w:rPr>
              <w:t>100</w:t>
            </w:r>
          </w:p>
        </w:tc>
        <w:tc>
          <w:tcPr>
            <w:tcW w:w="557" w:type="dxa"/>
            <w:shd w:val="clear" w:color="auto" w:fill="C4EFCE"/>
            <w:vAlign w:val="center"/>
            <w:hideMark/>
          </w:tcPr>
          <w:p w14:paraId="4E52A7D8"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vAlign w:val="center"/>
            <w:hideMark/>
          </w:tcPr>
          <w:p w14:paraId="53FDD632" w14:textId="77777777" w:rsidR="00A15990" w:rsidRDefault="00686A62">
            <w:pPr>
              <w:pStyle w:val="P68B1DB1-Normal8"/>
              <w:spacing w:after="0" w:line="240" w:lineRule="auto"/>
              <w:jc w:val="center"/>
              <w:rPr>
                <w:rFonts w:eastAsia="Times New Roman" w:cs="Calibri"/>
                <w:noProof/>
              </w:rPr>
            </w:pPr>
            <w:r>
              <w:rPr>
                <w:noProof/>
              </w:rPr>
              <w:t>2025</w:t>
            </w:r>
          </w:p>
        </w:tc>
        <w:tc>
          <w:tcPr>
            <w:tcW w:w="4908" w:type="dxa"/>
            <w:shd w:val="clear" w:color="auto" w:fill="C4EFCE"/>
            <w:vAlign w:val="center"/>
            <w:hideMark/>
          </w:tcPr>
          <w:p w14:paraId="4C0F1601" w14:textId="21F43E55" w:rsidR="00A15990" w:rsidRDefault="00686A62">
            <w:pPr>
              <w:pStyle w:val="P68B1DB1-Normal8"/>
              <w:spacing w:after="0" w:line="240" w:lineRule="auto"/>
              <w:jc w:val="both"/>
              <w:rPr>
                <w:rFonts w:eastAsia="Times New Roman" w:cs="Calibri"/>
                <w:noProof/>
              </w:rPr>
            </w:pPr>
            <w:r>
              <w:rPr>
                <w:noProof/>
              </w:rPr>
              <w:t>100 % din garanțiile puse la dispoziție prin majorarea de capital au fost semnate.</w:t>
            </w:r>
          </w:p>
        </w:tc>
      </w:tr>
      <w:tr w:rsidR="00A15990" w14:paraId="05356182" w14:textId="77777777">
        <w:trPr>
          <w:trHeight w:val="687"/>
        </w:trPr>
        <w:tc>
          <w:tcPr>
            <w:tcW w:w="1113" w:type="dxa"/>
            <w:shd w:val="clear" w:color="auto" w:fill="C4EFCE"/>
            <w:vAlign w:val="center"/>
          </w:tcPr>
          <w:p w14:paraId="3090E32F" w14:textId="6FE74260" w:rsidR="00A15990" w:rsidRDefault="00686A62">
            <w:pPr>
              <w:pStyle w:val="P68B1DB1-Normal11"/>
              <w:spacing w:after="0" w:line="240" w:lineRule="auto"/>
              <w:jc w:val="center"/>
              <w:rPr>
                <w:rFonts w:eastAsia="Times New Roman" w:cstheme="minorHAnsi"/>
                <w:noProof/>
              </w:rPr>
            </w:pPr>
            <w:r>
              <w:rPr>
                <w:noProof/>
              </w:rPr>
              <w:t>5.44</w:t>
            </w:r>
          </w:p>
        </w:tc>
        <w:tc>
          <w:tcPr>
            <w:tcW w:w="1246" w:type="dxa"/>
            <w:shd w:val="clear" w:color="auto" w:fill="C4EFCE"/>
            <w:vAlign w:val="center"/>
          </w:tcPr>
          <w:p w14:paraId="41683FBE" w14:textId="030829FE" w:rsidR="00A15990" w:rsidRDefault="00686A62">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5762224E" w14:textId="108F9BEC" w:rsidR="00A15990" w:rsidRDefault="00686A62">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6ACAF2B5" w14:textId="51C13B47" w:rsidR="00A15990" w:rsidRDefault="00686A62">
            <w:pPr>
              <w:pStyle w:val="P68B1DB1-Normal12"/>
              <w:spacing w:after="0" w:line="240" w:lineRule="auto"/>
              <w:jc w:val="center"/>
              <w:rPr>
                <w:rFonts w:eastAsia="Times New Roman" w:cstheme="minorHAnsi"/>
                <w:noProof/>
              </w:rPr>
            </w:pPr>
            <w:r>
              <w:rPr>
                <w:noProof/>
              </w:rPr>
              <w:t xml:space="preserve"> Încheierea de contracte pentru dezvoltarea de noi produse, procese sau servicii în domenii strategice relevante (agende de inovare).</w:t>
            </w:r>
          </w:p>
        </w:tc>
        <w:tc>
          <w:tcPr>
            <w:tcW w:w="1245" w:type="dxa"/>
            <w:shd w:val="clear" w:color="auto" w:fill="C4EFCE"/>
            <w:vAlign w:val="center"/>
          </w:tcPr>
          <w:p w14:paraId="06CE0AEF" w14:textId="1878EFC3" w:rsidR="00A15990" w:rsidRDefault="00A15990">
            <w:pPr>
              <w:spacing w:after="0" w:line="240" w:lineRule="auto"/>
              <w:jc w:val="center"/>
              <w:rPr>
                <w:rFonts w:eastAsia="Times New Roman" w:cstheme="minorHAnsi"/>
                <w:noProof/>
                <w:sz w:val="16"/>
              </w:rPr>
            </w:pPr>
          </w:p>
        </w:tc>
        <w:tc>
          <w:tcPr>
            <w:tcW w:w="972" w:type="dxa"/>
            <w:shd w:val="clear" w:color="auto" w:fill="C4EFCE"/>
            <w:vAlign w:val="center"/>
          </w:tcPr>
          <w:p w14:paraId="29862BFF" w14:textId="4B1AB547" w:rsidR="00A15990" w:rsidRDefault="00686A62">
            <w:pPr>
              <w:pStyle w:val="P68B1DB1-Normal12"/>
              <w:spacing w:after="0" w:line="240" w:lineRule="auto"/>
              <w:jc w:val="center"/>
              <w:rPr>
                <w:rFonts w:eastAsia="Times New Roman" w:cstheme="minorHAnsi"/>
                <w:noProof/>
              </w:rPr>
            </w:pPr>
            <w:r>
              <w:rPr>
                <w:noProof/>
              </w:rPr>
              <w:t>Numărul</w:t>
            </w:r>
          </w:p>
        </w:tc>
        <w:tc>
          <w:tcPr>
            <w:tcW w:w="971" w:type="dxa"/>
            <w:shd w:val="clear" w:color="auto" w:fill="C4EFCE"/>
            <w:vAlign w:val="center"/>
          </w:tcPr>
          <w:p w14:paraId="1B529FD1" w14:textId="362CE58C" w:rsidR="00A15990" w:rsidRDefault="00686A62">
            <w:pPr>
              <w:pStyle w:val="P68B1DB1-Normal12"/>
              <w:spacing w:after="0" w:line="240" w:lineRule="auto"/>
              <w:jc w:val="center"/>
              <w:rPr>
                <w:rFonts w:eastAsia="Times New Roman" w:cstheme="minorHAnsi"/>
                <w:noProof/>
              </w:rPr>
            </w:pPr>
            <w:r>
              <w:rPr>
                <w:noProof/>
              </w:rPr>
              <w:t>12</w:t>
            </w:r>
          </w:p>
        </w:tc>
        <w:tc>
          <w:tcPr>
            <w:tcW w:w="695" w:type="dxa"/>
            <w:shd w:val="clear" w:color="auto" w:fill="C4EFCE"/>
            <w:vAlign w:val="center"/>
          </w:tcPr>
          <w:p w14:paraId="4BC9E805" w14:textId="18636895" w:rsidR="00A15990" w:rsidRDefault="00686A62">
            <w:pPr>
              <w:pStyle w:val="P68B1DB1-Normal12"/>
              <w:spacing w:after="0" w:line="240" w:lineRule="auto"/>
              <w:jc w:val="center"/>
              <w:rPr>
                <w:rFonts w:eastAsia="Times New Roman" w:cstheme="minorHAnsi"/>
                <w:noProof/>
              </w:rPr>
            </w:pPr>
            <w:r>
              <w:rPr>
                <w:noProof/>
              </w:rPr>
              <w:t>28</w:t>
            </w:r>
          </w:p>
        </w:tc>
        <w:tc>
          <w:tcPr>
            <w:tcW w:w="557" w:type="dxa"/>
            <w:shd w:val="clear" w:color="auto" w:fill="C4EFCE"/>
            <w:vAlign w:val="center"/>
          </w:tcPr>
          <w:p w14:paraId="1BD6F284" w14:textId="712C7DF4" w:rsidR="00A15990" w:rsidRDefault="00686A62">
            <w:pPr>
              <w:pStyle w:val="P68B1DB1-Normal12"/>
              <w:spacing w:after="0" w:line="240" w:lineRule="auto"/>
              <w:jc w:val="center"/>
              <w:rPr>
                <w:rFonts w:eastAsia="Times New Roman"/>
                <w:noProof/>
              </w:rPr>
            </w:pPr>
            <w:r>
              <w:rPr>
                <w:noProof/>
              </w:rPr>
              <w:t>TRIMESTRUL 2</w:t>
            </w:r>
          </w:p>
        </w:tc>
        <w:tc>
          <w:tcPr>
            <w:tcW w:w="694" w:type="dxa"/>
            <w:shd w:val="clear" w:color="auto" w:fill="C4EFCE"/>
            <w:vAlign w:val="center"/>
          </w:tcPr>
          <w:p w14:paraId="20227E9B" w14:textId="71A93C0E" w:rsidR="00A15990" w:rsidRDefault="00686A62">
            <w:pPr>
              <w:pStyle w:val="P68B1DB1-Normal12"/>
              <w:spacing w:after="0" w:line="240" w:lineRule="auto"/>
              <w:jc w:val="center"/>
              <w:rPr>
                <w:rFonts w:eastAsia="Times New Roman" w:cstheme="minorHAnsi"/>
                <w:noProof/>
              </w:rPr>
            </w:pPr>
            <w:r>
              <w:rPr>
                <w:noProof/>
              </w:rPr>
              <w:t>2023</w:t>
            </w:r>
          </w:p>
        </w:tc>
        <w:tc>
          <w:tcPr>
            <w:tcW w:w="4908" w:type="dxa"/>
            <w:shd w:val="clear" w:color="auto" w:fill="C4EFCE"/>
            <w:vAlign w:val="center"/>
          </w:tcPr>
          <w:p w14:paraId="0471D376" w14:textId="7728B231" w:rsidR="00A15990" w:rsidRDefault="00686A62">
            <w:pPr>
              <w:pStyle w:val="P68B1DB1-Bodytext1013"/>
              <w:spacing w:after="0"/>
              <w:jc w:val="both"/>
              <w:rPr>
                <w:rFonts w:cstheme="minorHAnsi"/>
                <w:noProof/>
              </w:rPr>
            </w:pPr>
            <w:r>
              <w:rPr>
                <w:noProof/>
              </w:rPr>
              <w:t>Încheierea a 16 contracte suplimentare (pacte de inovare sau mobilizare de proiecte) cu consorții, care includ:</w:t>
            </w:r>
          </w:p>
          <w:p w14:paraId="1DC9F869" w14:textId="77777777" w:rsidR="00A15990" w:rsidRDefault="00686A62">
            <w:pPr>
              <w:pStyle w:val="P68B1DB1-Bodytext1013"/>
              <w:spacing w:after="0"/>
              <w:jc w:val="both"/>
              <w:rPr>
                <w:rFonts w:cstheme="minorHAnsi"/>
                <w:noProof/>
              </w:rPr>
            </w:pPr>
            <w:r>
              <w:rPr>
                <w:noProof/>
              </w:rPr>
              <w:t>• Identificarea entităților constitutive ale consorțiului;</w:t>
            </w:r>
          </w:p>
          <w:p w14:paraId="684BA3DE" w14:textId="77777777" w:rsidR="00A15990" w:rsidRDefault="00686A62">
            <w:pPr>
              <w:pStyle w:val="P68B1DB1-Bodytext1013"/>
              <w:spacing w:after="0"/>
              <w:jc w:val="both"/>
              <w:rPr>
                <w:rFonts w:cstheme="minorHAnsi"/>
                <w:noProof/>
              </w:rPr>
            </w:pPr>
            <w:r>
              <w:rPr>
                <w:noProof/>
              </w:rPr>
              <w:t>• Planul de afaceri/investiția;</w:t>
            </w:r>
          </w:p>
          <w:p w14:paraId="38DA5FAE" w14:textId="77777777" w:rsidR="00A15990" w:rsidRDefault="00686A62">
            <w:pPr>
              <w:pStyle w:val="P68B1DB1-Bodytext1013"/>
              <w:spacing w:after="0"/>
              <w:jc w:val="both"/>
              <w:rPr>
                <w:rFonts w:cstheme="minorHAnsi"/>
                <w:noProof/>
              </w:rPr>
            </w:pPr>
            <w:r>
              <w:rPr>
                <w:noProof/>
              </w:rPr>
              <w:t>• valoarea finanțării;</w:t>
            </w:r>
          </w:p>
          <w:p w14:paraId="2C955C7F" w14:textId="77777777" w:rsidR="00A15990" w:rsidRDefault="00686A62">
            <w:pPr>
              <w:pStyle w:val="P68B1DB1-Bodytext1013"/>
              <w:spacing w:after="0"/>
              <w:jc w:val="both"/>
              <w:rPr>
                <w:rFonts w:cstheme="minorHAnsi"/>
                <w:noProof/>
              </w:rPr>
            </w:pPr>
            <w:r>
              <w:rPr>
                <w:noProof/>
              </w:rPr>
              <w:t>• Obiectivele pe care beneficiarul trebuie să le îndeplinească;</w:t>
            </w:r>
          </w:p>
          <w:p w14:paraId="790A3625" w14:textId="77777777" w:rsidR="00A15990" w:rsidRDefault="00686A62">
            <w:pPr>
              <w:pStyle w:val="P68B1DB1-Bodytext1013"/>
              <w:spacing w:after="0"/>
              <w:jc w:val="both"/>
              <w:rPr>
                <w:rFonts w:cstheme="minorHAnsi"/>
                <w:noProof/>
              </w:rPr>
            </w:pPr>
            <w:r>
              <w:rPr>
                <w:noProof/>
              </w:rPr>
              <w:t xml:space="preserve">• Forma monitorizării. </w:t>
            </w:r>
          </w:p>
          <w:p w14:paraId="17CC2A9F" w14:textId="76A7D5F0" w:rsidR="00A15990" w:rsidRDefault="00686A62">
            <w:pPr>
              <w:pStyle w:val="P68B1DB1-Bodytext1013"/>
              <w:spacing w:after="0"/>
              <w:jc w:val="both"/>
              <w:rPr>
                <w:rFonts w:cstheme="minorHAnsi"/>
                <w:noProof/>
              </w:rPr>
            </w:pPr>
            <w:r>
              <w:rPr>
                <w:noProof/>
              </w:rPr>
              <w:t>Contractele sprijină în total cel puțin 446 de produse, procese sau servicii (SPC). Termenii de referință includ criterii de eligibilitate care garantează că proiectele selectate respectă Orientările tehnice de „a nu prejudicia în mod semnificativ” (2021/C58/01) prin utilizarea unei liste de excludere și a cerinței de conformitate cu legislația UE și națională relevantă în materie de mediu.</w:t>
            </w:r>
          </w:p>
          <w:p w14:paraId="0E8BCEEF" w14:textId="6D75360C" w:rsidR="00A15990" w:rsidRDefault="00686A62">
            <w:pPr>
              <w:pStyle w:val="P68B1DB1-Bodytext1013"/>
              <w:spacing w:after="0"/>
              <w:jc w:val="both"/>
              <w:rPr>
                <w:rFonts w:cstheme="minorHAnsi"/>
                <w:noProof/>
              </w:rPr>
            </w:pPr>
            <w:r>
              <w:rPr>
                <w:noProof/>
              </w:rPr>
              <w:t>Contractele se adaugă contractelor puse în aplicare în RE-C05-i01.01 și RE-C05-i09.</w:t>
            </w:r>
          </w:p>
          <w:p w14:paraId="665FD32D" w14:textId="15DAACE9" w:rsidR="00A15990" w:rsidRDefault="00686A62">
            <w:pPr>
              <w:pStyle w:val="P68B1DB1-Normal12"/>
              <w:spacing w:after="0" w:line="240" w:lineRule="auto"/>
              <w:jc w:val="both"/>
              <w:rPr>
                <w:rFonts w:eastAsia="Times New Roman" w:cstheme="minorHAnsi"/>
                <w:noProof/>
              </w:rPr>
            </w:pPr>
            <w:r>
              <w:rPr>
                <w:noProof/>
              </w:rPr>
              <w:t>Cel puțin 366 din SPC se aliniază cu domeniul de intervenție 021 (Transferul de tehnologie și cooperarea între întreprinderi, centre de cercetare și sectorul educației).</w:t>
            </w:r>
          </w:p>
        </w:tc>
      </w:tr>
      <w:tr w:rsidR="00A15990" w14:paraId="400ED1E3" w14:textId="77777777">
        <w:trPr>
          <w:trHeight w:val="687"/>
        </w:trPr>
        <w:tc>
          <w:tcPr>
            <w:tcW w:w="1113" w:type="dxa"/>
            <w:shd w:val="clear" w:color="auto" w:fill="C4EFCE"/>
            <w:vAlign w:val="center"/>
          </w:tcPr>
          <w:p w14:paraId="44700B14" w14:textId="1C6F6D95" w:rsidR="00A15990" w:rsidRDefault="00686A62">
            <w:pPr>
              <w:pStyle w:val="P68B1DB1-Normal11"/>
              <w:spacing w:after="0" w:line="240" w:lineRule="auto"/>
              <w:jc w:val="center"/>
              <w:rPr>
                <w:rFonts w:eastAsia="Times New Roman" w:cstheme="minorHAnsi"/>
                <w:noProof/>
              </w:rPr>
            </w:pPr>
            <w:r>
              <w:rPr>
                <w:noProof/>
              </w:rPr>
              <w:t>5.45</w:t>
            </w:r>
          </w:p>
        </w:tc>
        <w:tc>
          <w:tcPr>
            <w:tcW w:w="1246" w:type="dxa"/>
            <w:shd w:val="clear" w:color="auto" w:fill="C4EFCE"/>
            <w:vAlign w:val="center"/>
          </w:tcPr>
          <w:p w14:paraId="1965DF86" w14:textId="22F6F593" w:rsidR="00A15990" w:rsidRDefault="00686A62">
            <w:pPr>
              <w:pStyle w:val="P68B1DB1-Normal12"/>
              <w:spacing w:after="0" w:line="240" w:lineRule="auto"/>
              <w:jc w:val="center"/>
              <w:rPr>
                <w:rFonts w:eastAsia="Times New Roman" w:cstheme="minorHAnsi"/>
                <w:noProof/>
              </w:rPr>
            </w:pPr>
            <w:r>
              <w:rPr>
                <w:noProof/>
              </w:rPr>
              <w:t>RE-C05-i11</w:t>
            </w:r>
          </w:p>
        </w:tc>
        <w:tc>
          <w:tcPr>
            <w:tcW w:w="1108" w:type="dxa"/>
            <w:shd w:val="clear" w:color="auto" w:fill="C4EFCE"/>
            <w:vAlign w:val="center"/>
          </w:tcPr>
          <w:p w14:paraId="743CE8AD" w14:textId="093BC448" w:rsidR="00A15990" w:rsidRDefault="00686A62">
            <w:pPr>
              <w:pStyle w:val="P68B1DB1-Normal12"/>
              <w:spacing w:after="0" w:line="240" w:lineRule="auto"/>
              <w:jc w:val="center"/>
              <w:rPr>
                <w:rFonts w:eastAsia="Times New Roman" w:cstheme="minorHAnsi"/>
                <w:noProof/>
              </w:rPr>
            </w:pPr>
            <w:r>
              <w:rPr>
                <w:noProof/>
              </w:rPr>
              <w:t>T</w:t>
            </w:r>
          </w:p>
        </w:tc>
        <w:tc>
          <w:tcPr>
            <w:tcW w:w="1659" w:type="dxa"/>
            <w:shd w:val="clear" w:color="auto" w:fill="C4EFCE"/>
            <w:vAlign w:val="center"/>
          </w:tcPr>
          <w:p w14:paraId="5FB71C3F" w14:textId="67C84415" w:rsidR="00A15990" w:rsidRDefault="00686A62">
            <w:pPr>
              <w:pStyle w:val="P68B1DB1-Normal12"/>
              <w:spacing w:after="0" w:line="240" w:lineRule="auto"/>
              <w:jc w:val="center"/>
              <w:rPr>
                <w:rFonts w:eastAsia="Times New Roman" w:cstheme="minorHAnsi"/>
                <w:noProof/>
              </w:rPr>
            </w:pPr>
            <w:r>
              <w:rPr>
                <w:noProof/>
              </w:rPr>
              <w:t xml:space="preserve">Finalizarea a 446 produse, procese sau servicii.  </w:t>
            </w:r>
          </w:p>
        </w:tc>
        <w:tc>
          <w:tcPr>
            <w:tcW w:w="1245" w:type="dxa"/>
            <w:shd w:val="clear" w:color="auto" w:fill="C4EFCE"/>
            <w:vAlign w:val="center"/>
          </w:tcPr>
          <w:p w14:paraId="0EC39034" w14:textId="02271F16" w:rsidR="00A15990" w:rsidRDefault="00A15990">
            <w:pPr>
              <w:spacing w:after="0" w:line="240" w:lineRule="auto"/>
              <w:jc w:val="center"/>
              <w:rPr>
                <w:rFonts w:eastAsia="Times New Roman" w:cstheme="minorHAnsi"/>
                <w:noProof/>
                <w:sz w:val="16"/>
              </w:rPr>
            </w:pPr>
          </w:p>
        </w:tc>
        <w:tc>
          <w:tcPr>
            <w:tcW w:w="972" w:type="dxa"/>
            <w:shd w:val="clear" w:color="auto" w:fill="C4EFCE"/>
            <w:vAlign w:val="center"/>
          </w:tcPr>
          <w:p w14:paraId="7F7FE345" w14:textId="61337074" w:rsidR="00A15990" w:rsidRDefault="00686A62">
            <w:pPr>
              <w:pStyle w:val="P68B1DB1-Normal12"/>
              <w:spacing w:after="0" w:line="240" w:lineRule="auto"/>
              <w:jc w:val="center"/>
              <w:rPr>
                <w:rFonts w:eastAsia="Times New Roman" w:cstheme="minorHAnsi"/>
                <w:noProof/>
              </w:rPr>
            </w:pPr>
            <w:r>
              <w:rPr>
                <w:noProof/>
              </w:rPr>
              <w:t>Numărul</w:t>
            </w:r>
          </w:p>
        </w:tc>
        <w:tc>
          <w:tcPr>
            <w:tcW w:w="971" w:type="dxa"/>
            <w:shd w:val="clear" w:color="auto" w:fill="C4EFCE"/>
            <w:vAlign w:val="center"/>
          </w:tcPr>
          <w:p w14:paraId="683EB9BC" w14:textId="43DAD693" w:rsidR="00A15990" w:rsidRDefault="00686A62">
            <w:pPr>
              <w:pStyle w:val="P68B1DB1-Normal12"/>
              <w:spacing w:after="0" w:line="240" w:lineRule="auto"/>
              <w:jc w:val="center"/>
              <w:rPr>
                <w:rFonts w:eastAsia="Times New Roman" w:cstheme="minorHAnsi"/>
                <w:noProof/>
              </w:rPr>
            </w:pPr>
            <w:r>
              <w:rPr>
                <w:noProof/>
              </w:rPr>
              <w:t>228</w:t>
            </w:r>
          </w:p>
        </w:tc>
        <w:tc>
          <w:tcPr>
            <w:tcW w:w="695" w:type="dxa"/>
            <w:shd w:val="clear" w:color="auto" w:fill="C4EFCE"/>
            <w:vAlign w:val="center"/>
          </w:tcPr>
          <w:p w14:paraId="49686240" w14:textId="4EF220DE" w:rsidR="00A15990" w:rsidRDefault="00686A62">
            <w:pPr>
              <w:pStyle w:val="P68B1DB1-Normal12"/>
              <w:spacing w:after="0" w:line="240" w:lineRule="auto"/>
              <w:jc w:val="center"/>
              <w:rPr>
                <w:rFonts w:eastAsia="Times New Roman" w:cstheme="minorHAnsi"/>
                <w:noProof/>
              </w:rPr>
            </w:pPr>
            <w:r>
              <w:rPr>
                <w:noProof/>
              </w:rPr>
              <w:t>674</w:t>
            </w:r>
          </w:p>
        </w:tc>
        <w:tc>
          <w:tcPr>
            <w:tcW w:w="557" w:type="dxa"/>
            <w:shd w:val="clear" w:color="auto" w:fill="C4EFCE"/>
            <w:vAlign w:val="center"/>
          </w:tcPr>
          <w:p w14:paraId="448DFBE1" w14:textId="16712C51" w:rsidR="00A15990" w:rsidRDefault="00686A62">
            <w:pPr>
              <w:pStyle w:val="P68B1DB1-Normal12"/>
              <w:spacing w:after="0" w:line="240" w:lineRule="auto"/>
              <w:jc w:val="center"/>
              <w:rPr>
                <w:rFonts w:eastAsia="Times New Roman" w:cstheme="minorHAnsi"/>
                <w:noProof/>
              </w:rPr>
            </w:pPr>
            <w:r>
              <w:rPr>
                <w:noProof/>
              </w:rPr>
              <w:t>TRIMESTRUL 4</w:t>
            </w:r>
          </w:p>
        </w:tc>
        <w:tc>
          <w:tcPr>
            <w:tcW w:w="694" w:type="dxa"/>
            <w:shd w:val="clear" w:color="auto" w:fill="C4EFCE"/>
            <w:vAlign w:val="center"/>
          </w:tcPr>
          <w:p w14:paraId="1604BD49" w14:textId="0EBDE02B" w:rsidR="00A15990" w:rsidRDefault="00686A62">
            <w:pPr>
              <w:pStyle w:val="P68B1DB1-Normal12"/>
              <w:spacing w:after="0" w:line="240" w:lineRule="auto"/>
              <w:jc w:val="center"/>
              <w:rPr>
                <w:rFonts w:eastAsia="Times New Roman" w:cstheme="minorHAnsi"/>
                <w:noProof/>
              </w:rPr>
            </w:pPr>
            <w:r>
              <w:rPr>
                <w:noProof/>
              </w:rPr>
              <w:t>2025</w:t>
            </w:r>
          </w:p>
        </w:tc>
        <w:tc>
          <w:tcPr>
            <w:tcW w:w="4908" w:type="dxa"/>
            <w:shd w:val="clear" w:color="auto" w:fill="C4EFCE"/>
            <w:vAlign w:val="center"/>
          </w:tcPr>
          <w:p w14:paraId="5A087616" w14:textId="5F4C7337" w:rsidR="00A15990" w:rsidRDefault="00686A62">
            <w:pPr>
              <w:pStyle w:val="P68B1DB1-Normal12"/>
              <w:spacing w:after="0" w:line="240" w:lineRule="auto"/>
              <w:jc w:val="both"/>
              <w:rPr>
                <w:noProof/>
              </w:rPr>
            </w:pPr>
            <w:r>
              <w:rPr>
                <w:noProof/>
              </w:rPr>
              <w:t xml:space="preserve">Finalizarea a 446 de produse, procese sau servicii (SPC) în domenii strategice relevante, rezultate din punerea în aplicare a contractelor (pacte de inovare sau de mobilizare a proiectelor) încheiate cu consorții. </w:t>
            </w:r>
          </w:p>
          <w:p w14:paraId="5870609D" w14:textId="5F4C7337" w:rsidR="00A15990" w:rsidRDefault="00686A62">
            <w:pPr>
              <w:pStyle w:val="P68B1DB1-Bodytext1013"/>
              <w:spacing w:after="0"/>
              <w:jc w:val="both"/>
              <w:rPr>
                <w:rFonts w:cstheme="minorBidi"/>
                <w:noProof/>
              </w:rPr>
            </w:pPr>
            <w:r>
              <w:rPr>
                <w:noProof/>
              </w:rPr>
              <w:t>PPS va fi suplimentar față de PPS implementat în RE-C05-i01.01 și RE-C05-i09.</w:t>
            </w:r>
          </w:p>
          <w:p w14:paraId="4EDE4521" w14:textId="4E974DF6" w:rsidR="00A15990" w:rsidRDefault="00686A62">
            <w:pPr>
              <w:pStyle w:val="P68B1DB1-Bodytext1013"/>
              <w:spacing w:after="0"/>
              <w:jc w:val="both"/>
              <w:rPr>
                <w:rFonts w:cstheme="minorBidi"/>
                <w:noProof/>
              </w:rPr>
            </w:pPr>
            <w:r>
              <w:rPr>
                <w:noProof/>
              </w:rPr>
              <w:t>Cel puțin 366 din SPC trebuie să se alinieze la domeniul de intervenție 021.</w:t>
            </w:r>
          </w:p>
        </w:tc>
      </w:tr>
      <w:tr w:rsidR="00A15990" w14:paraId="1381D009" w14:textId="77777777">
        <w:trPr>
          <w:trHeight w:val="687"/>
        </w:trPr>
        <w:tc>
          <w:tcPr>
            <w:tcW w:w="1113" w:type="dxa"/>
            <w:shd w:val="clear" w:color="auto" w:fill="C4EFCE"/>
            <w:vAlign w:val="center"/>
          </w:tcPr>
          <w:p w14:paraId="0CB16054" w14:textId="510C0E6F" w:rsidR="00A15990" w:rsidRDefault="00686A62">
            <w:pPr>
              <w:pStyle w:val="P68B1DB1-Normal11"/>
              <w:spacing w:after="0" w:line="240" w:lineRule="auto"/>
              <w:jc w:val="center"/>
              <w:rPr>
                <w:rFonts w:cstheme="minorHAnsi"/>
                <w:noProof/>
              </w:rPr>
            </w:pPr>
            <w:r>
              <w:rPr>
                <w:noProof/>
              </w:rPr>
              <w:t>5.46</w:t>
            </w:r>
          </w:p>
        </w:tc>
        <w:tc>
          <w:tcPr>
            <w:tcW w:w="1246" w:type="dxa"/>
            <w:shd w:val="clear" w:color="auto" w:fill="C4EFCE"/>
            <w:vAlign w:val="center"/>
          </w:tcPr>
          <w:p w14:paraId="0BC93575" w14:textId="3FBAAA80" w:rsidR="00A15990" w:rsidRDefault="00686A62">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41149329" w14:textId="1C872CA1" w:rsidR="00A15990" w:rsidRDefault="00686A62">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4D5E5493" w14:textId="40D04039" w:rsidR="00A15990" w:rsidRDefault="00686A62">
            <w:pPr>
              <w:pStyle w:val="P68B1DB1-Normal12"/>
              <w:spacing w:after="0" w:line="240" w:lineRule="auto"/>
              <w:jc w:val="center"/>
              <w:rPr>
                <w:rFonts w:cstheme="minorHAnsi"/>
                <w:noProof/>
              </w:rPr>
            </w:pPr>
            <w:r>
              <w:rPr>
                <w:noProof/>
              </w:rPr>
              <w:t>Încheierea de contracte pentru dezvoltarea de noi produse, procese sau servicii în domenii strategice relevante pentru economia cu emisii scăzute de dioxid de carbon, reziliența și adaptarea la schimbările climatice.</w:t>
            </w:r>
          </w:p>
        </w:tc>
        <w:tc>
          <w:tcPr>
            <w:tcW w:w="1245" w:type="dxa"/>
            <w:shd w:val="clear" w:color="auto" w:fill="C4EFCE"/>
            <w:vAlign w:val="center"/>
          </w:tcPr>
          <w:p w14:paraId="36DF6C96" w14:textId="790B5427" w:rsidR="00A15990" w:rsidRDefault="00686A62">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34558086" w14:textId="42A84CA3" w:rsidR="00A15990" w:rsidRDefault="00686A62">
            <w:pPr>
              <w:pStyle w:val="P68B1DB1-Normal12"/>
              <w:spacing w:after="0" w:line="240" w:lineRule="auto"/>
              <w:jc w:val="center"/>
              <w:rPr>
                <w:rFonts w:cstheme="minorHAnsi"/>
                <w:noProof/>
              </w:rPr>
            </w:pPr>
            <w:r>
              <w:rPr>
                <w:noProof/>
              </w:rPr>
              <w:t>Numărul</w:t>
            </w:r>
          </w:p>
        </w:tc>
        <w:tc>
          <w:tcPr>
            <w:tcW w:w="971" w:type="dxa"/>
            <w:shd w:val="clear" w:color="auto" w:fill="C4EFCE"/>
            <w:vAlign w:val="center"/>
          </w:tcPr>
          <w:p w14:paraId="4F3059D7" w14:textId="4D90D56B" w:rsidR="00A15990" w:rsidRDefault="00686A62">
            <w:pPr>
              <w:pStyle w:val="P68B1DB1-Normal12"/>
              <w:spacing w:after="0" w:line="240" w:lineRule="auto"/>
              <w:jc w:val="center"/>
              <w:rPr>
                <w:rFonts w:cstheme="minorHAnsi"/>
                <w:noProof/>
              </w:rPr>
            </w:pPr>
            <w:r>
              <w:rPr>
                <w:noProof/>
              </w:rPr>
              <w:t>10</w:t>
            </w:r>
          </w:p>
        </w:tc>
        <w:tc>
          <w:tcPr>
            <w:tcW w:w="695" w:type="dxa"/>
            <w:shd w:val="clear" w:color="auto" w:fill="C4EFCE"/>
            <w:vAlign w:val="center"/>
          </w:tcPr>
          <w:p w14:paraId="0CF359B0" w14:textId="59145B12" w:rsidR="00A15990" w:rsidRDefault="00686A62">
            <w:pPr>
              <w:pStyle w:val="P68B1DB1-Normal12"/>
              <w:spacing w:after="0" w:line="240" w:lineRule="auto"/>
              <w:jc w:val="center"/>
              <w:rPr>
                <w:rFonts w:cstheme="minorHAnsi"/>
                <w:noProof/>
              </w:rPr>
            </w:pPr>
            <w:r>
              <w:rPr>
                <w:noProof/>
              </w:rPr>
              <w:t>20</w:t>
            </w:r>
          </w:p>
        </w:tc>
        <w:tc>
          <w:tcPr>
            <w:tcW w:w="557" w:type="dxa"/>
            <w:shd w:val="clear" w:color="auto" w:fill="C4EFCE"/>
            <w:vAlign w:val="center"/>
          </w:tcPr>
          <w:p w14:paraId="6EC45A79" w14:textId="7FEEEA6B" w:rsidR="00A15990" w:rsidRDefault="00686A62">
            <w:pPr>
              <w:pStyle w:val="P68B1DB1-Normal12"/>
              <w:spacing w:after="0" w:line="240" w:lineRule="auto"/>
              <w:jc w:val="center"/>
              <w:rPr>
                <w:noProof/>
              </w:rPr>
            </w:pPr>
            <w:r>
              <w:rPr>
                <w:noProof/>
              </w:rPr>
              <w:t>TRIMESTRUL 3</w:t>
            </w:r>
          </w:p>
        </w:tc>
        <w:tc>
          <w:tcPr>
            <w:tcW w:w="694" w:type="dxa"/>
            <w:shd w:val="clear" w:color="auto" w:fill="C4EFCE"/>
            <w:vAlign w:val="center"/>
          </w:tcPr>
          <w:p w14:paraId="7DCFD43B" w14:textId="7189AC27" w:rsidR="00A15990" w:rsidRDefault="00686A62">
            <w:pPr>
              <w:pStyle w:val="P68B1DB1-Normal12"/>
              <w:spacing w:after="0" w:line="240" w:lineRule="auto"/>
              <w:jc w:val="center"/>
              <w:rPr>
                <w:rFonts w:cstheme="minorHAnsi"/>
                <w:noProof/>
              </w:rPr>
            </w:pPr>
            <w:r>
              <w:rPr>
                <w:noProof/>
              </w:rPr>
              <w:t>2023</w:t>
            </w:r>
          </w:p>
        </w:tc>
        <w:tc>
          <w:tcPr>
            <w:tcW w:w="4908" w:type="dxa"/>
            <w:shd w:val="clear" w:color="auto" w:fill="C4EFCE"/>
            <w:vAlign w:val="center"/>
          </w:tcPr>
          <w:p w14:paraId="499E39FF" w14:textId="08A34CB6" w:rsidR="00A15990" w:rsidRDefault="00686A62">
            <w:pPr>
              <w:pStyle w:val="P68B1DB1-Bodytext1013"/>
              <w:spacing w:after="0"/>
              <w:rPr>
                <w:rFonts w:cstheme="minorHAnsi"/>
                <w:noProof/>
              </w:rPr>
            </w:pPr>
            <w:r>
              <w:rPr>
                <w:noProof/>
              </w:rPr>
              <w:t>Încheierea a zece contracte suplimentare (pacte de inovare sau mobilizare de proiecte) cu consorții, care includ:</w:t>
            </w:r>
          </w:p>
          <w:p w14:paraId="5623BFC8" w14:textId="77777777" w:rsidR="00A15990" w:rsidRDefault="00686A62">
            <w:pPr>
              <w:pStyle w:val="P68B1DB1-Bodytext1013"/>
              <w:spacing w:after="0"/>
              <w:rPr>
                <w:rFonts w:cstheme="minorHAnsi"/>
                <w:noProof/>
              </w:rPr>
            </w:pPr>
            <w:r>
              <w:rPr>
                <w:noProof/>
              </w:rPr>
              <w:t>• Identificarea entităților constitutive ale consorțiului;</w:t>
            </w:r>
          </w:p>
          <w:p w14:paraId="348134D2" w14:textId="77777777" w:rsidR="00A15990" w:rsidRDefault="00686A62">
            <w:pPr>
              <w:pStyle w:val="P68B1DB1-Bodytext1013"/>
              <w:spacing w:after="0"/>
              <w:rPr>
                <w:rFonts w:cstheme="minorHAnsi"/>
                <w:noProof/>
              </w:rPr>
            </w:pPr>
            <w:r>
              <w:rPr>
                <w:noProof/>
              </w:rPr>
              <w:t>• Planul de afaceri/investiția;</w:t>
            </w:r>
          </w:p>
          <w:p w14:paraId="5BD43BF9" w14:textId="77777777" w:rsidR="00A15990" w:rsidRDefault="00686A62">
            <w:pPr>
              <w:pStyle w:val="P68B1DB1-Bodytext1013"/>
              <w:spacing w:after="0"/>
              <w:rPr>
                <w:rFonts w:cstheme="minorHAnsi"/>
                <w:noProof/>
              </w:rPr>
            </w:pPr>
            <w:r>
              <w:rPr>
                <w:noProof/>
              </w:rPr>
              <w:t>• Valoarea finanțării;</w:t>
            </w:r>
          </w:p>
          <w:p w14:paraId="780D9792" w14:textId="77777777" w:rsidR="00A15990" w:rsidRDefault="00686A62">
            <w:pPr>
              <w:pStyle w:val="P68B1DB1-Bodytext1013"/>
              <w:spacing w:after="0"/>
              <w:rPr>
                <w:rFonts w:cstheme="minorHAnsi"/>
                <w:noProof/>
              </w:rPr>
            </w:pPr>
            <w:r>
              <w:rPr>
                <w:noProof/>
              </w:rPr>
              <w:t>• Obiectivele pe care beneficiarul trebuie să le îndeplinească;</w:t>
            </w:r>
          </w:p>
          <w:p w14:paraId="3C7CAD42" w14:textId="77777777" w:rsidR="00A15990" w:rsidRDefault="00686A62">
            <w:pPr>
              <w:pStyle w:val="P68B1DB1-Bodytext1013"/>
              <w:spacing w:after="0"/>
              <w:rPr>
                <w:rFonts w:cstheme="minorHAnsi"/>
                <w:noProof/>
              </w:rPr>
            </w:pPr>
            <w:r>
              <w:rPr>
                <w:noProof/>
              </w:rPr>
              <w:t xml:space="preserve">• Forma monitorizării. </w:t>
            </w:r>
          </w:p>
          <w:p w14:paraId="160F8223" w14:textId="6794DDB5" w:rsidR="00A15990" w:rsidRDefault="00686A62">
            <w:pPr>
              <w:pStyle w:val="P68B1DB1-Bodytext1013"/>
              <w:spacing w:after="0"/>
              <w:rPr>
                <w:rFonts w:cstheme="minorHAnsi"/>
                <w:noProof/>
              </w:rPr>
            </w:pPr>
            <w:r>
              <w:rPr>
                <w:noProof/>
              </w:rPr>
              <w:t xml:space="preserve">Contractele sprijină în total cel puțin 147 de produse, procese sau servicii și se aliniază la domeniul de intervenție 022 (Proceduri de cercetare și inovare, transfer de tehnologie și cooperare între întreprinderi, cu accent pe economia cu emisii scăzute de dioxid de carbon și pe reziliența și adaptarea la schimbările climatice). </w:t>
            </w:r>
          </w:p>
          <w:p w14:paraId="6C00454A" w14:textId="77777777" w:rsidR="00A15990" w:rsidRDefault="00686A62">
            <w:pPr>
              <w:pStyle w:val="P68B1DB1-Bodytext1013"/>
              <w:spacing w:after="0"/>
              <w:rPr>
                <w:rFonts w:cstheme="minorHAnsi"/>
                <w:noProof/>
              </w:rPr>
            </w:pPr>
            <w:r>
              <w:rPr>
                <w:noProof/>
              </w:rPr>
              <w:t>Termenii de referință includ criterii de eligibilitate care garantează că proiectele selectate respectă Orientările tehnice de „a nu prejudicia în mod semnificativ” (2021/C58/01) prin utilizarea unei liste de excludere și a cerinței de conformitate cu legislația UE și națională relevantă în materie de mediu.</w:t>
            </w:r>
          </w:p>
          <w:p w14:paraId="290DDA70" w14:textId="5F629E0E" w:rsidR="00A15990" w:rsidRDefault="00686A62">
            <w:pPr>
              <w:pStyle w:val="P68B1DB1-Normal12"/>
              <w:spacing w:after="0" w:line="240" w:lineRule="auto"/>
              <w:jc w:val="both"/>
              <w:rPr>
                <w:rFonts w:cstheme="minorHAnsi"/>
                <w:noProof/>
              </w:rPr>
            </w:pPr>
            <w:r>
              <w:rPr>
                <w:noProof/>
              </w:rPr>
              <w:t>Contractele se adaugă contractelor puse în aplicare în RE-C05-i01.02 și RE-C05-i10.</w:t>
            </w:r>
          </w:p>
        </w:tc>
      </w:tr>
      <w:tr w:rsidR="00A15990" w14:paraId="7431C32C" w14:textId="77777777">
        <w:trPr>
          <w:trHeight w:val="274"/>
        </w:trPr>
        <w:tc>
          <w:tcPr>
            <w:tcW w:w="1113" w:type="dxa"/>
            <w:shd w:val="clear" w:color="auto" w:fill="C4EFCE"/>
            <w:vAlign w:val="center"/>
          </w:tcPr>
          <w:p w14:paraId="32CF2A49" w14:textId="78E07266" w:rsidR="00A15990" w:rsidRDefault="00686A62">
            <w:pPr>
              <w:pStyle w:val="P68B1DB1-Normal11"/>
              <w:spacing w:after="0" w:line="240" w:lineRule="auto"/>
              <w:jc w:val="center"/>
              <w:rPr>
                <w:rFonts w:cstheme="minorHAnsi"/>
                <w:noProof/>
              </w:rPr>
            </w:pPr>
            <w:r>
              <w:rPr>
                <w:noProof/>
              </w:rPr>
              <w:t>5.47</w:t>
            </w:r>
          </w:p>
        </w:tc>
        <w:tc>
          <w:tcPr>
            <w:tcW w:w="1246" w:type="dxa"/>
            <w:shd w:val="clear" w:color="auto" w:fill="C4EFCE"/>
            <w:vAlign w:val="center"/>
          </w:tcPr>
          <w:p w14:paraId="509613B3" w14:textId="1F733358" w:rsidR="00A15990" w:rsidRDefault="00686A62">
            <w:pPr>
              <w:pStyle w:val="P68B1DB1-Normal12"/>
              <w:spacing w:after="0" w:line="240" w:lineRule="auto"/>
              <w:jc w:val="center"/>
              <w:rPr>
                <w:rFonts w:cstheme="minorHAnsi"/>
                <w:noProof/>
              </w:rPr>
            </w:pPr>
            <w:r>
              <w:rPr>
                <w:noProof/>
              </w:rPr>
              <w:t>RE-C05-i12</w:t>
            </w:r>
          </w:p>
        </w:tc>
        <w:tc>
          <w:tcPr>
            <w:tcW w:w="1108" w:type="dxa"/>
            <w:shd w:val="clear" w:color="auto" w:fill="C4EFCE"/>
            <w:vAlign w:val="center"/>
          </w:tcPr>
          <w:p w14:paraId="287EAA6C" w14:textId="37007893" w:rsidR="00A15990" w:rsidRDefault="00686A62">
            <w:pPr>
              <w:pStyle w:val="P68B1DB1-Normal12"/>
              <w:spacing w:after="0" w:line="240" w:lineRule="auto"/>
              <w:jc w:val="center"/>
              <w:rPr>
                <w:rFonts w:cstheme="minorHAnsi"/>
                <w:noProof/>
              </w:rPr>
            </w:pPr>
            <w:r>
              <w:rPr>
                <w:noProof/>
              </w:rPr>
              <w:t>T</w:t>
            </w:r>
          </w:p>
        </w:tc>
        <w:tc>
          <w:tcPr>
            <w:tcW w:w="1659" w:type="dxa"/>
            <w:shd w:val="clear" w:color="auto" w:fill="C4EFCE"/>
            <w:vAlign w:val="center"/>
          </w:tcPr>
          <w:p w14:paraId="1E5CB665" w14:textId="105B9A4D" w:rsidR="00A15990" w:rsidRDefault="00686A62">
            <w:pPr>
              <w:pStyle w:val="P68B1DB1-Normal12"/>
              <w:spacing w:after="0" w:line="240" w:lineRule="auto"/>
              <w:jc w:val="center"/>
              <w:rPr>
                <w:rFonts w:cstheme="minorHAnsi"/>
                <w:noProof/>
              </w:rPr>
            </w:pPr>
            <w:r>
              <w:rPr>
                <w:noProof/>
              </w:rPr>
              <w:t>Produse, procese sau servicii finalizate relevante pentru economia cu emisii scăzute de dioxid de carbon, reziliența și adaptarea la schimbările climatice.</w:t>
            </w:r>
          </w:p>
        </w:tc>
        <w:tc>
          <w:tcPr>
            <w:tcW w:w="1245" w:type="dxa"/>
            <w:shd w:val="clear" w:color="auto" w:fill="C4EFCE"/>
            <w:vAlign w:val="center"/>
          </w:tcPr>
          <w:p w14:paraId="65CE0D44" w14:textId="2FFC40CA" w:rsidR="00A15990" w:rsidRDefault="00686A62">
            <w:pPr>
              <w:pStyle w:val="P68B1DB1-Normal12"/>
              <w:spacing w:after="0" w:line="240" w:lineRule="auto"/>
              <w:jc w:val="center"/>
              <w:rPr>
                <w:rFonts w:eastAsia="Times New Roman" w:cstheme="minorHAnsi"/>
                <w:noProof/>
              </w:rPr>
            </w:pPr>
            <w:r>
              <w:rPr>
                <w:noProof/>
              </w:rPr>
              <w:t> </w:t>
            </w:r>
          </w:p>
        </w:tc>
        <w:tc>
          <w:tcPr>
            <w:tcW w:w="972" w:type="dxa"/>
            <w:shd w:val="clear" w:color="auto" w:fill="C4EFCE"/>
            <w:vAlign w:val="center"/>
          </w:tcPr>
          <w:p w14:paraId="2CDFDBF8" w14:textId="7B4E4CC9" w:rsidR="00A15990" w:rsidRDefault="00686A62">
            <w:pPr>
              <w:pStyle w:val="P68B1DB1-Normal12"/>
              <w:spacing w:after="0" w:line="240" w:lineRule="auto"/>
              <w:jc w:val="center"/>
              <w:rPr>
                <w:rFonts w:cstheme="minorHAnsi"/>
                <w:noProof/>
              </w:rPr>
            </w:pPr>
            <w:r>
              <w:rPr>
                <w:noProof/>
              </w:rPr>
              <w:t>Numărul</w:t>
            </w:r>
          </w:p>
        </w:tc>
        <w:tc>
          <w:tcPr>
            <w:tcW w:w="971" w:type="dxa"/>
            <w:shd w:val="clear" w:color="auto" w:fill="C4EFCE"/>
            <w:vAlign w:val="center"/>
          </w:tcPr>
          <w:p w14:paraId="23069303" w14:textId="0D9C234C" w:rsidR="00A15990" w:rsidRDefault="00686A62">
            <w:pPr>
              <w:pStyle w:val="P68B1DB1-Normal12"/>
              <w:spacing w:after="0" w:line="240" w:lineRule="auto"/>
              <w:jc w:val="center"/>
              <w:rPr>
                <w:rFonts w:cstheme="minorHAnsi"/>
                <w:noProof/>
              </w:rPr>
            </w:pPr>
            <w:r>
              <w:rPr>
                <w:noProof/>
              </w:rPr>
              <w:t>138</w:t>
            </w:r>
          </w:p>
        </w:tc>
        <w:tc>
          <w:tcPr>
            <w:tcW w:w="695" w:type="dxa"/>
            <w:shd w:val="clear" w:color="auto" w:fill="C4EFCE"/>
            <w:vAlign w:val="center"/>
          </w:tcPr>
          <w:p w14:paraId="4E428C5E" w14:textId="639B2AE1" w:rsidR="00A15990" w:rsidRDefault="00686A62">
            <w:pPr>
              <w:pStyle w:val="P68B1DB1-Normal12"/>
              <w:spacing w:after="0" w:line="240" w:lineRule="auto"/>
              <w:jc w:val="center"/>
              <w:rPr>
                <w:rFonts w:cstheme="minorHAnsi"/>
                <w:noProof/>
              </w:rPr>
            </w:pPr>
            <w:r>
              <w:rPr>
                <w:noProof/>
              </w:rPr>
              <w:t>285</w:t>
            </w:r>
          </w:p>
        </w:tc>
        <w:tc>
          <w:tcPr>
            <w:tcW w:w="557" w:type="dxa"/>
            <w:shd w:val="clear" w:color="auto" w:fill="C4EFCE"/>
            <w:vAlign w:val="center"/>
          </w:tcPr>
          <w:p w14:paraId="6A0FC76A" w14:textId="3251ADDE" w:rsidR="00A15990" w:rsidRDefault="00686A62">
            <w:pPr>
              <w:pStyle w:val="P68B1DB1-Normal12"/>
              <w:spacing w:after="0" w:line="240" w:lineRule="auto"/>
              <w:jc w:val="center"/>
              <w:rPr>
                <w:rFonts w:cstheme="minorHAnsi"/>
                <w:noProof/>
              </w:rPr>
            </w:pPr>
            <w:r>
              <w:rPr>
                <w:noProof/>
              </w:rPr>
              <w:t>TRIMESTRUL 4</w:t>
            </w:r>
          </w:p>
        </w:tc>
        <w:tc>
          <w:tcPr>
            <w:tcW w:w="694" w:type="dxa"/>
            <w:shd w:val="clear" w:color="auto" w:fill="C4EFCE"/>
            <w:vAlign w:val="center"/>
          </w:tcPr>
          <w:p w14:paraId="7A622278" w14:textId="0287DEB1" w:rsidR="00A15990" w:rsidRDefault="00686A62">
            <w:pPr>
              <w:pStyle w:val="P68B1DB1-Normal12"/>
              <w:spacing w:after="0" w:line="240" w:lineRule="auto"/>
              <w:jc w:val="center"/>
              <w:rPr>
                <w:rFonts w:cstheme="minorHAnsi"/>
                <w:noProof/>
              </w:rPr>
            </w:pPr>
            <w:r>
              <w:rPr>
                <w:noProof/>
              </w:rPr>
              <w:t>2025</w:t>
            </w:r>
          </w:p>
        </w:tc>
        <w:tc>
          <w:tcPr>
            <w:tcW w:w="4908" w:type="dxa"/>
            <w:shd w:val="clear" w:color="auto" w:fill="C4EFCE"/>
            <w:vAlign w:val="center"/>
          </w:tcPr>
          <w:p w14:paraId="1F263104" w14:textId="3DB158C4" w:rsidR="00A15990" w:rsidRDefault="00686A62">
            <w:pPr>
              <w:pStyle w:val="P68B1DB1-Normal12"/>
              <w:spacing w:after="0" w:line="240" w:lineRule="auto"/>
              <w:jc w:val="both"/>
              <w:rPr>
                <w:noProof/>
              </w:rPr>
            </w:pPr>
            <w:r>
              <w:rPr>
                <w:noProof/>
              </w:rPr>
              <w:t>Finalizarea a 147 de produse, procese sau servicii (SPC) rezultate din punerea în aplicare a contractelor (pacte de inovare sau de mobilizare a proiectelor) încheiate cu consorții, aliniindu-se la domeniul de intervenție 022 (Proceduri de cercetare și inovare, transfer de tehnologie și cooperare între întreprinderi, cu accent pe economia cu emisii scăzute de dioxid de carbon și pe reziliența și adaptarea la schimbările climatice).</w:t>
            </w:r>
          </w:p>
          <w:p w14:paraId="21D14431" w14:textId="0F5CE763" w:rsidR="00A15990" w:rsidRDefault="00686A62">
            <w:pPr>
              <w:pStyle w:val="P68B1DB1-Normal12"/>
              <w:spacing w:after="0" w:line="240" w:lineRule="auto"/>
              <w:jc w:val="both"/>
              <w:rPr>
                <w:noProof/>
              </w:rPr>
            </w:pPr>
            <w:r>
              <w:rPr>
                <w:noProof/>
              </w:rPr>
              <w:t>PPS va fi suplimentar față de PPS implementat în RE-C05-i01.02 și RE-C05-i10.</w:t>
            </w:r>
          </w:p>
        </w:tc>
      </w:tr>
    </w:tbl>
    <w:p w14:paraId="58F116A2" w14:textId="5535E252"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114"/>
          <w:headerReference w:type="default" r:id="rId115"/>
          <w:footerReference w:type="even" r:id="rId116"/>
          <w:footerReference w:type="default" r:id="rId117"/>
          <w:headerReference w:type="first" r:id="rId118"/>
          <w:footerReference w:type="first" r:id="rId119"/>
          <w:pgSz w:w="16839" w:h="11907" w:orient="landscape"/>
          <w:pgMar w:top="1134" w:right="1134" w:bottom="1134" w:left="1134" w:header="567" w:footer="567" w:gutter="0"/>
          <w:cols w:space="720"/>
          <w:docGrid w:linePitch="360"/>
        </w:sectPr>
      </w:pPr>
    </w:p>
    <w:p w14:paraId="33FE1FD1"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F. COMPONENTA 6: Calificări și competențe</w:t>
      </w:r>
    </w:p>
    <w:p w14:paraId="37175C09"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În Portugalia, 44,5 % din populația cu vârste cuprinse între 25 și 64 de ani avea un nivel scăzut de educație în 2020, cu mult peste media UE de 25,0 %. În plus, proporția populației cu competențe digitale de bază sau care nu a utilizat niciodată internetul este foarte ridicată. De asemenea, segmentarea pieței forței de muncă și dezechilibrele de gen în ceea ce privește remunerarea și oportunitățile de carieră rămân ridicate în conformitate cu standardele UE. </w:t>
      </w:r>
    </w:p>
    <w:p w14:paraId="1632873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componentă abordează provocări multiple legate de nivelurile relativ scăzute de educație și de absolvire a calificărilor, participarea la învățarea pe tot parcursul vieții, segmentarea pieței forței de muncă, eliminarea barierelor administrative în domeniul profesiilor foarte reglementate, pregătirea pentru provocările legate de viitorul muncii, egalitatea de gen și egalitatea de șanse. </w:t>
      </w:r>
    </w:p>
    <w:p w14:paraId="2B79D01A"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componentei sunt ample, incluzând calificarea și perfecționarea, unele blocaje în mediul de afaceri, segmentarea pieței forței de muncă, echilibrul de gen și egalitatea de șanse. În ceea ce privește potențialul de producție, această componentă se axează pe măsuri de creștere a nivelurilor scăzute de calificare și de îmbunătățire a participării la învățarea pe tot parcursul vieții prin reforma sistemelor de educație și educație și formare profesională (EFP), de promovare a transferului de cunoștințe între universități/organizații publice de cercetare și întreprinderi și de reducere a restricțiilor în profesiile foarte reglementate, sporind în același timp competitivitatea în ceea ce privește furnizarea de servicii pentru întreprinderi. Componenta prezintă, de asemenea, măsuri de abordare a diferitelor principii ale Pilonului european al drepturilor sociale (PEDS), cum ar fi relațiile de muncă și drepturile de acces ale lucrătorilor cu contracte de muncă atipice, sprijinul financiar pentru promovarea incluziunii șomerilor cu locuri de muncă permanente de calitate și dezvoltarea normei portugheze privind un sistem de gestionare a egalității de remunerare. </w:t>
      </w:r>
    </w:p>
    <w:p w14:paraId="7B3132B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componentă este aliniată la principalele inițiative de politică ale UE, cum ar fi Agenda pentru competențe în Europa, Recomandarea Consiliului privind parcursurile de actualizare a competențelor: Noi oportunități pentru adulți” (Recomandarea Consiliului 2016/C 484/01), Recomandarea Consiliului privind „EFP pentru competitivitate durabilă, echitate socială și reziliență” (Recomandarea 2020/C 417/01 a Consiliului) și Garanția pentru tineret consolidată, precum și inițiativele privind Spațiul european al educației și Spațiul european al cercetării. </w:t>
      </w:r>
    </w:p>
    <w:p w14:paraId="29744677" w14:textId="77777777" w:rsidR="00A15990" w:rsidRDefault="00686A62">
      <w:pPr>
        <w:pStyle w:val="P68B1DB1-Normal4"/>
        <w:keepNext/>
        <w:spacing w:before="40" w:after="0" w:line="259" w:lineRule="auto"/>
        <w:jc w:val="both"/>
        <w:rPr>
          <w:rFonts w:eastAsiaTheme="minorEastAsia" w:cs="Times New Roman"/>
          <w:noProof/>
        </w:rPr>
      </w:pPr>
      <w:r>
        <w:rPr>
          <w:noProof/>
        </w:rPr>
        <w:t>Componenta abordează recomandările specifice fiecărei țări de a lua toate măsurile necesare pentru a combate în mod eficace pandemia, a susține economia și a sprijini redresarea ulterioară (recomandarea specifică fiecărei țări 1 2020); să adopte măsuri de abordare a segmentării pieței forței de muncă (recomandarea specifică fiecărei țări 2 2019); îmbunătățirea nivelului de competențe al populației, în special a alfabetizării sale digitale, inclusiv prin sporirea relevanței învățării în rândul adulților pentru nevoile pieței forței de muncă (recomandarea specifică fiecărei țări 2 2019); creșterea numărului de absolvenți de învățământ superior, în special în domeniul științei și tehnologiei informației (recomandarea specifică fiecărei țări 2 2019); sprijinirea utilizării tehnologiilor digitale pentru a asigura accesul egal la educație și formare de calitate (recomandarea specifică fiecărei țări 2 2020); stimularea competitivității întreprinderilor (recomandarea specifică fiecărei țări nr. 2 2020); să se concentreze asupra politicii economice legate de investiții în cercetare și inovare (recomandarea specifică fiecărei țări 3 2019); și elaborarea unei foi de parcurs pentru reducerea restricțiilor în profesiile cu un grad ridicat de reglementare (recomandarea specifică fiecărei țări 4 2019).</w:t>
      </w:r>
    </w:p>
    <w:p w14:paraId="6CC019E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20AF52A5" w14:textId="17B25CD3" w:rsidR="00A15990" w:rsidRDefault="00A15990">
      <w:pPr>
        <w:keepNext/>
        <w:spacing w:before="40" w:after="0" w:line="259" w:lineRule="auto"/>
        <w:jc w:val="both"/>
        <w:rPr>
          <w:rFonts w:ascii="Times New Roman" w:eastAsiaTheme="minorEastAsia" w:hAnsi="Times New Roman" w:cs="Times New Roman"/>
          <w:noProof/>
          <w:sz w:val="24"/>
        </w:rPr>
      </w:pPr>
    </w:p>
    <w:p w14:paraId="309FC685" w14:textId="7C8FBB2C" w:rsidR="00A15990" w:rsidRDefault="00A15990">
      <w:pPr>
        <w:keepNext/>
        <w:spacing w:before="40" w:after="0" w:line="259" w:lineRule="auto"/>
        <w:jc w:val="both"/>
        <w:rPr>
          <w:rFonts w:ascii="Times New Roman" w:eastAsiaTheme="minorEastAsia" w:hAnsi="Times New Roman" w:cs="Times New Roman"/>
          <w:noProof/>
          <w:sz w:val="24"/>
        </w:rPr>
      </w:pPr>
    </w:p>
    <w:p w14:paraId="310C858A" w14:textId="486BD107" w:rsidR="00A15990" w:rsidRDefault="00A15990">
      <w:pPr>
        <w:keepNext/>
        <w:spacing w:before="40" w:after="0" w:line="259" w:lineRule="auto"/>
        <w:jc w:val="both"/>
        <w:rPr>
          <w:rFonts w:ascii="Times New Roman" w:eastAsiaTheme="minorEastAsia" w:hAnsi="Times New Roman" w:cs="Times New Roman"/>
          <w:noProof/>
          <w:sz w:val="24"/>
        </w:rPr>
      </w:pPr>
    </w:p>
    <w:p w14:paraId="6B3EE7D6"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1024A9A" w14:textId="77777777" w:rsidR="00A15990" w:rsidRDefault="00686A62">
      <w:pPr>
        <w:pStyle w:val="P68B1DB1-Normal3"/>
        <w:spacing w:before="40" w:after="0" w:line="259" w:lineRule="auto"/>
        <w:ind w:left="130" w:firstLine="720"/>
        <w:jc w:val="both"/>
        <w:outlineLvl w:val="2"/>
        <w:rPr>
          <w:rFonts w:eastAsiaTheme="minorEastAsia" w:cs="Times New Roman"/>
          <w:i/>
          <w:noProof/>
        </w:rPr>
      </w:pPr>
      <w:r>
        <w:rPr>
          <w:noProof/>
        </w:rPr>
        <w:t>F.1. Descrierea reformelor și a investițiilor pentru sprijinul financiar nerambursabil</w:t>
      </w:r>
    </w:p>
    <w:p w14:paraId="4FF4B46F"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Reforma RE-r14: Reforma educației și formării profesionale</w:t>
      </w:r>
    </w:p>
    <w:p w14:paraId="79BAF2E5"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acestei reforme este de a moderniza sistemele de educație și de educație și formare profesională pentru a îmbunătăți nivelurile scăzute de educație și calificare și incidența ridicată a lucrătorilor care nu dispun de competențe de bază și digitale, de a adapta oferta de competențe la nevoile actuale și viitoare ale pieței forței de muncă și de a extinde oportunitățile de educație, formare și învățare pe tot parcursul vieții. </w:t>
      </w:r>
    </w:p>
    <w:p w14:paraId="14052811" w14:textId="77777777" w:rsidR="00A15990" w:rsidRDefault="00686A62">
      <w:pPr>
        <w:pStyle w:val="P68B1DB1-Normal4"/>
        <w:spacing w:before="40" w:after="0" w:line="259" w:lineRule="auto"/>
        <w:jc w:val="both"/>
        <w:rPr>
          <w:rFonts w:eastAsiaTheme="minorEastAsia" w:cs="Times New Roman"/>
          <w:noProof/>
        </w:rPr>
      </w:pPr>
      <w:r>
        <w:rPr>
          <w:noProof/>
        </w:rPr>
        <w:t xml:space="preserve">Reforma constă în acțiuni menite: </w:t>
      </w:r>
    </w:p>
    <w:p w14:paraId="24DEC4CE" w14:textId="77777777" w:rsidR="00A15990" w:rsidRDefault="00686A62">
      <w:pPr>
        <w:pStyle w:val="P68B1DB1-Normal4"/>
        <w:keepNext/>
        <w:numPr>
          <w:ilvl w:val="0"/>
          <w:numId w:val="43"/>
        </w:numPr>
        <w:spacing w:before="40" w:after="160" w:line="259" w:lineRule="auto"/>
        <w:contextualSpacing/>
        <w:jc w:val="both"/>
        <w:rPr>
          <w:rFonts w:eastAsiaTheme="minorEastAsia" w:cs="Times New Roman"/>
          <w:noProof/>
        </w:rPr>
      </w:pPr>
      <w:r>
        <w:rPr>
          <w:noProof/>
        </w:rPr>
        <w:t>consolidarea coordonării generale a politicilor în materie de educație și educație și formare profesională;</w:t>
      </w:r>
    </w:p>
    <w:p w14:paraId="1130E842" w14:textId="77777777" w:rsidR="00A15990" w:rsidRDefault="00686A62">
      <w:pPr>
        <w:pStyle w:val="P68B1DB1-Normal4"/>
        <w:keepNext/>
        <w:numPr>
          <w:ilvl w:val="0"/>
          <w:numId w:val="43"/>
        </w:numPr>
        <w:spacing w:before="40" w:after="160" w:line="259" w:lineRule="auto"/>
        <w:contextualSpacing/>
        <w:jc w:val="both"/>
        <w:rPr>
          <w:rFonts w:eastAsiaTheme="minorEastAsia" w:cs="Times New Roman"/>
          <w:noProof/>
        </w:rPr>
      </w:pPr>
      <w:r>
        <w:rPr>
          <w:noProof/>
        </w:rPr>
        <w:t>modernizarea ofertei VET reglementate de catalogul național al calificărilor (CNQ) pe baza sistemului de anticipare a nevoilor de calificări, a diagnosticului prospectiv pentru a sprijini actualizarea CNQ și raționalizarea consiliilor sectoriale pentru calificare;</w:t>
      </w:r>
    </w:p>
    <w:p w14:paraId="1C4AE227" w14:textId="77777777" w:rsidR="00A15990" w:rsidRDefault="00686A62">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luarea în considerare a nevoilor pieței forței de muncă și apariția de noi competențe/profesii; </w:t>
      </w:r>
    </w:p>
    <w:p w14:paraId="51098704" w14:textId="6BB416EA" w:rsidR="00A15990" w:rsidRDefault="00686A62">
      <w:pPr>
        <w:pStyle w:val="P68B1DB1-Normal4"/>
        <w:keepNext/>
        <w:numPr>
          <w:ilvl w:val="0"/>
          <w:numId w:val="43"/>
        </w:numPr>
        <w:spacing w:before="40" w:after="160" w:line="259" w:lineRule="auto"/>
        <w:contextualSpacing/>
        <w:jc w:val="both"/>
        <w:rPr>
          <w:rFonts w:eastAsiaTheme="minorEastAsia" w:cs="Times New Roman"/>
          <w:noProof/>
        </w:rPr>
      </w:pPr>
      <w:r>
        <w:rPr>
          <w:noProof/>
        </w:rPr>
        <w:t xml:space="preserve">îmbunătățirea perspectivelor populației slab calificate prin conceperea unei oferte de formare axate pe alfabetizarea adulților (care urmează să fie pusă în aplicare în cadrul C06-I03: Stimulente pentru adulți); </w:t>
      </w:r>
    </w:p>
    <w:p w14:paraId="1EF91E24" w14:textId="77777777" w:rsidR="00A15990" w:rsidRDefault="00686A62">
      <w:pPr>
        <w:pStyle w:val="P68B1DB1-Normal4"/>
        <w:keepNext/>
        <w:numPr>
          <w:ilvl w:val="0"/>
          <w:numId w:val="43"/>
        </w:numPr>
        <w:spacing w:before="40" w:after="160" w:line="259" w:lineRule="auto"/>
        <w:contextualSpacing/>
        <w:jc w:val="both"/>
        <w:rPr>
          <w:rFonts w:eastAsiaTheme="minorEastAsia" w:cs="Times New Roman"/>
          <w:noProof/>
        </w:rPr>
      </w:pPr>
      <w:r>
        <w:rPr>
          <w:noProof/>
        </w:rPr>
        <w:t>promovarea dezvoltării locale și a coeziunii teritoriale și reducerea inegalităților socioeconomice prin redistribuirea rețelei EFP.</w:t>
      </w:r>
    </w:p>
    <w:p w14:paraId="758D803D" w14:textId="77777777" w:rsidR="00A15990" w:rsidRDefault="00686A62">
      <w:pPr>
        <w:pStyle w:val="P68B1DB1-Normal4"/>
        <w:spacing w:before="40" w:after="0" w:line="259" w:lineRule="auto"/>
        <w:jc w:val="both"/>
        <w:rPr>
          <w:rFonts w:eastAsiaTheme="minorEastAsia" w:cs="Times New Roman"/>
          <w:noProof/>
        </w:rPr>
      </w:pPr>
      <w:r>
        <w:rPr>
          <w:noProof/>
        </w:rPr>
        <w:t xml:space="preserve">Punerea în aplicare a reformei se finalizează până la 31 decembrie 2025. </w:t>
      </w:r>
    </w:p>
    <w:p w14:paraId="507D918E"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Reforma RE-r15: Reforma cooperării dintre învățământul superior și administrația publică și întreprinderi</w:t>
      </w:r>
    </w:p>
    <w:p w14:paraId="7C45D5EA"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acestei reforme este de a stimula acordurile de colaborare public-privat în programele de educație și formare pentru a răspunde nevoilor pieței forței de muncă și dublei tranziții, inclusiv dezvoltarea de cursuri postuniversitare cu caracter profesional (diplome de masterat profesional) exclusiv pentru studenții cu experiență profesională anterioară și oferta de cursuri terțiare de scurtă durată în politehnică (cunoscute sub denumirea de cursuri tehnice profesionale superioare). </w:t>
      </w:r>
    </w:p>
    <w:p w14:paraId="1E2C7057" w14:textId="77777777" w:rsidR="00A15990" w:rsidRDefault="00686A62">
      <w:pPr>
        <w:pStyle w:val="P68B1DB1-Normal4"/>
        <w:spacing w:before="40" w:after="0" w:line="259" w:lineRule="auto"/>
        <w:jc w:val="both"/>
        <w:rPr>
          <w:rFonts w:eastAsiaTheme="minorEastAsia" w:cs="Times New Roman"/>
          <w:noProof/>
        </w:rPr>
      </w:pPr>
      <w:r>
        <w:rPr>
          <w:noProof/>
        </w:rPr>
        <w:t>Reforma constă în:</w:t>
      </w:r>
    </w:p>
    <w:p w14:paraId="29DE76AC" w14:textId="77777777" w:rsidR="00A15990" w:rsidRDefault="00686A62">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un act normativ care să creeze concursuri speciale de admitere la învățământul superior pentru titularii de învățământ secundar dual și de cursuri artistice specializate;</w:t>
      </w:r>
    </w:p>
    <w:p w14:paraId="567B7FBF" w14:textId="77777777" w:rsidR="00A15990" w:rsidRDefault="00686A62">
      <w:pPr>
        <w:pStyle w:val="P68B1DB1-Normal4"/>
        <w:numPr>
          <w:ilvl w:val="0"/>
          <w:numId w:val="44"/>
        </w:numPr>
        <w:spacing w:before="40" w:after="160" w:line="259" w:lineRule="auto"/>
        <w:ind w:left="714" w:hanging="357"/>
        <w:contextualSpacing/>
        <w:jc w:val="both"/>
        <w:rPr>
          <w:rFonts w:eastAsiaTheme="minorEastAsia" w:cs="Times New Roman"/>
          <w:noProof/>
        </w:rPr>
      </w:pPr>
      <w:r>
        <w:rPr>
          <w:noProof/>
        </w:rPr>
        <w:t>revizuirea cadrului juridic și instituțional care reglementează cooperarea instituțiilor de învățământ superior cu administrația publică și cu întreprinderile, inclusiv măsuri pentru:</w:t>
      </w:r>
    </w:p>
    <w:p w14:paraId="5AE0A55E" w14:textId="77777777" w:rsidR="00A15990" w:rsidRDefault="00686A62">
      <w:pPr>
        <w:pStyle w:val="P68B1DB1-Normal4"/>
        <w:numPr>
          <w:ilvl w:val="1"/>
          <w:numId w:val="44"/>
        </w:numPr>
        <w:spacing w:before="40" w:after="160" w:line="259" w:lineRule="auto"/>
        <w:contextualSpacing/>
        <w:jc w:val="both"/>
        <w:rPr>
          <w:rFonts w:eastAsiaTheme="minorEastAsia" w:cs="Times New Roman"/>
          <w:noProof/>
        </w:rPr>
      </w:pPr>
      <w:r>
        <w:rPr>
          <w:noProof/>
        </w:rPr>
        <w:t>să încurajeze colaborarea interinstituțională între instituțiile de învățământ superior și întreprinderi, precum și atragerea studenților adulți și extinderea acoperirii la zonele interioare;</w:t>
      </w:r>
    </w:p>
    <w:p w14:paraId="7734DEF6" w14:textId="77777777" w:rsidR="00A15990" w:rsidRDefault="00686A62">
      <w:pPr>
        <w:pStyle w:val="P68B1DB1-Normal4"/>
        <w:numPr>
          <w:ilvl w:val="1"/>
          <w:numId w:val="44"/>
        </w:numPr>
        <w:spacing w:before="40" w:after="160" w:line="259" w:lineRule="auto"/>
        <w:contextualSpacing/>
        <w:jc w:val="both"/>
        <w:rPr>
          <w:rFonts w:eastAsiaTheme="minorEastAsia" w:cs="Times New Roman"/>
          <w:noProof/>
        </w:rPr>
      </w:pPr>
      <w:r>
        <w:rPr>
          <w:noProof/>
        </w:rPr>
        <w:t>parteneriate de colaborare care încurajează o ofertă largă de cursuri de învățământ superior, inclusiv cursuri de formare de scurtă durată, cursuri universitare, masterat și doctorat;</w:t>
      </w:r>
    </w:p>
    <w:p w14:paraId="425A7F13" w14:textId="77777777" w:rsidR="00A15990" w:rsidRDefault="00686A62">
      <w:pPr>
        <w:pStyle w:val="P68B1DB1-Normal4"/>
        <w:numPr>
          <w:ilvl w:val="1"/>
          <w:numId w:val="44"/>
        </w:numPr>
        <w:spacing w:before="40" w:after="160" w:line="259" w:lineRule="auto"/>
        <w:contextualSpacing/>
        <w:jc w:val="both"/>
        <w:rPr>
          <w:rFonts w:eastAsiaTheme="minorEastAsia" w:cs="Times New Roman"/>
          <w:noProof/>
        </w:rPr>
      </w:pPr>
      <w:r>
        <w:rPr>
          <w:noProof/>
        </w:rPr>
        <w:t>să sporească oferta de cursuri profesionale de nivel înalt pe termen scurt, gestionate de instituții politehnice de învățământ superior, în strânsă cooperare cu entități publice și private;</w:t>
      </w:r>
    </w:p>
    <w:p w14:paraId="24C9D18C" w14:textId="77777777" w:rsidR="00A15990" w:rsidRDefault="00686A62">
      <w:pPr>
        <w:pStyle w:val="P68B1DB1-Normal4"/>
        <w:keepNext/>
        <w:numPr>
          <w:ilvl w:val="1"/>
          <w:numId w:val="44"/>
        </w:numPr>
        <w:spacing w:before="40" w:after="160" w:line="259" w:lineRule="auto"/>
        <w:contextualSpacing/>
        <w:jc w:val="both"/>
        <w:rPr>
          <w:rFonts w:eastAsiaTheme="minorEastAsia" w:cs="Times New Roman"/>
          <w:noProof/>
        </w:rPr>
      </w:pPr>
      <w:r>
        <w:rPr>
          <w:noProof/>
        </w:rPr>
        <w:t>extinderea în continuare a bazei de sprijin a învățământului terțiar prin facilitarea accesului studenților din învățământul secundar din domeniul profesional și artistic la instituțiile de învățământ superior;</w:t>
      </w:r>
    </w:p>
    <w:p w14:paraId="6D78B2EF" w14:textId="77777777" w:rsidR="00A15990" w:rsidRDefault="00686A62">
      <w:pPr>
        <w:pStyle w:val="P68B1DB1-Normal4"/>
        <w:keepNext/>
        <w:numPr>
          <w:ilvl w:val="1"/>
          <w:numId w:val="44"/>
        </w:numPr>
        <w:spacing w:before="40" w:after="160" w:line="259" w:lineRule="auto"/>
        <w:contextualSpacing/>
        <w:jc w:val="both"/>
        <w:rPr>
          <w:rFonts w:eastAsiaTheme="minorEastAsia" w:cs="Times New Roman"/>
          <w:noProof/>
        </w:rPr>
      </w:pPr>
      <w:r>
        <w:rPr>
          <w:noProof/>
        </w:rPr>
        <w:t>să consolideze înscrierea la cursurile de învățământ superior în domeniile digitale, în special prin intermediul programului Portugal Digital INCoDe2030, în strânsă cooperare cu entitățile publice și private;</w:t>
      </w:r>
    </w:p>
    <w:p w14:paraId="4A757B2D" w14:textId="77777777" w:rsidR="00A15990" w:rsidRDefault="00686A62">
      <w:pPr>
        <w:pStyle w:val="P68B1DB1-Normal4"/>
        <w:keepNext/>
        <w:numPr>
          <w:ilvl w:val="1"/>
          <w:numId w:val="44"/>
        </w:numPr>
        <w:spacing w:before="40" w:after="160" w:line="259" w:lineRule="auto"/>
        <w:contextualSpacing/>
        <w:jc w:val="both"/>
        <w:rPr>
          <w:rFonts w:eastAsiaTheme="minorEastAsia" w:cs="Times New Roman"/>
          <w:noProof/>
        </w:rPr>
      </w:pPr>
      <w:r>
        <w:rPr>
          <w:noProof/>
        </w:rPr>
        <w:t>să stimuleze formarea modulară, care promovează învățarea continuă și dobândirea de noi competențe cu „microcertificate/microdiplome”, în strânsă colaborare cu entități publice și private;</w:t>
      </w:r>
    </w:p>
    <w:p w14:paraId="18034D09" w14:textId="77777777" w:rsidR="00A15990" w:rsidRDefault="00686A62">
      <w:pPr>
        <w:pStyle w:val="P68B1DB1-Normal4"/>
        <w:keepNext/>
        <w:numPr>
          <w:ilvl w:val="1"/>
          <w:numId w:val="44"/>
        </w:numPr>
        <w:spacing w:before="40" w:after="160" w:line="259" w:lineRule="auto"/>
        <w:contextualSpacing/>
        <w:jc w:val="both"/>
        <w:rPr>
          <w:rFonts w:eastAsiaTheme="minorEastAsia" w:cs="Times New Roman"/>
          <w:noProof/>
        </w:rPr>
      </w:pPr>
      <w:r>
        <w:rPr>
          <w:noProof/>
        </w:rPr>
        <w:t>să extindă cooperarea dintre instituțiile de învățământ superior și laboratoare și centrele de interfață tehnologică;</w:t>
      </w:r>
    </w:p>
    <w:p w14:paraId="51AF0405" w14:textId="77777777" w:rsidR="00A15990" w:rsidRDefault="00686A62">
      <w:pPr>
        <w:pStyle w:val="P68B1DB1-Normal4"/>
        <w:keepNext/>
        <w:numPr>
          <w:ilvl w:val="1"/>
          <w:numId w:val="42"/>
        </w:numPr>
        <w:spacing w:before="40" w:after="160" w:line="259" w:lineRule="auto"/>
        <w:contextualSpacing/>
        <w:jc w:val="both"/>
        <w:rPr>
          <w:rFonts w:eastAsiaTheme="minorEastAsia" w:cs="Times New Roman"/>
          <w:noProof/>
        </w:rPr>
      </w:pPr>
      <w:r>
        <w:rPr>
          <w:noProof/>
        </w:rPr>
        <w:t>modificarea statutului juridic pentru a clarifica condițiile în care un specialist extern poate exercita funcții didactice sau manageriale în instituțiile de învățământ superior, pentru a promova mobilitatea între mediul academic și cel de afaceri; și</w:t>
      </w:r>
    </w:p>
    <w:p w14:paraId="423A2509" w14:textId="77777777" w:rsidR="00A15990" w:rsidRDefault="00686A62">
      <w:pPr>
        <w:pStyle w:val="P68B1DB1-Normal4"/>
        <w:keepNext/>
        <w:numPr>
          <w:ilvl w:val="1"/>
          <w:numId w:val="42"/>
        </w:numPr>
        <w:spacing w:before="40" w:after="160" w:line="259" w:lineRule="auto"/>
        <w:contextualSpacing/>
        <w:jc w:val="both"/>
        <w:rPr>
          <w:rFonts w:eastAsiaTheme="minorEastAsia" w:cs="Times New Roman"/>
          <w:noProof/>
        </w:rPr>
      </w:pPr>
      <w:r>
        <w:rPr>
          <w:noProof/>
        </w:rPr>
        <w:t>consolidarea cadrului juridic al consorțiilor cu gestiune partajată între instituții de învățământ superior și întreprinderi.</w:t>
      </w:r>
    </w:p>
    <w:p w14:paraId="4BAB8F5A"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30 iunie 2021.</w:t>
      </w:r>
    </w:p>
    <w:p w14:paraId="0FA75BAC"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RE-r16: Reducerea restricțiilor în profesiile cu un grad ridicat de reglementare</w:t>
      </w:r>
    </w:p>
    <w:p w14:paraId="22747F26"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acestei reforme este de a reduce restricțiile impuse profesiilor cu un grad ridicat de reglementare, în special pentru a încuraja concurența în furnizarea de servicii pentru întreprinderi. </w:t>
      </w:r>
    </w:p>
    <w:p w14:paraId="6A3E87FA" w14:textId="77777777" w:rsidR="00A15990" w:rsidRDefault="00686A62">
      <w:pPr>
        <w:pStyle w:val="P68B1DB1-Normal4"/>
        <w:spacing w:before="40" w:after="0" w:line="259" w:lineRule="auto"/>
        <w:jc w:val="both"/>
        <w:rPr>
          <w:rFonts w:eastAsiaTheme="minorEastAsia" w:cs="Times New Roman"/>
          <w:noProof/>
        </w:rPr>
      </w:pPr>
      <w:r>
        <w:rPr>
          <w:noProof/>
        </w:rPr>
        <w:t xml:space="preserve">În 2018, OCDE, în cooperare cu Autoritatea portugheză în domeniul concurenței (AdC), a efectuat o evaluare pentru un număr limitat de profesii autoreglementate, cum ar fi avocații, avocații consultanți, inginerii, arhitecții, auditorii, contabilii, economiștii, farmaciștii și nutriționiștii. În urma evaluării efectuate, a fost elaborată o listă de recomandări. Prin această reformă, Portugalia dă curs recomandărilor OCDE și ale AdC. </w:t>
      </w:r>
    </w:p>
    <w:p w14:paraId="7BF38458" w14:textId="5F5B573E" w:rsidR="00A15990" w:rsidRDefault="00686A62">
      <w:pPr>
        <w:pStyle w:val="P68B1DB1-Normal4"/>
        <w:spacing w:before="40" w:after="0" w:line="259" w:lineRule="auto"/>
        <w:jc w:val="both"/>
        <w:rPr>
          <w:rFonts w:eastAsiaTheme="minorEastAsia" w:cs="Times New Roman"/>
          <w:noProof/>
        </w:rPr>
      </w:pPr>
      <w:r>
        <w:rPr>
          <w:noProof/>
        </w:rPr>
        <w:t xml:space="preserve">Reforma trebuie cel puțin: I) separarea funcțiilor de reglementare și de reprezentare în cadrul asociațiilor profesionale; II) reducerea listei activităților rezervate (accesul la activitățile rezervate poate fi restricționat numai pentru a proteja interesele constituționale, în conformitate cu principiile necesității și proporționalității); să pună capăt restricțiilor privind proprietatea și administrarea firmelor de servicii pentru întreprinderi, cu condiția ca administratorii să respecte regimul juridic pentru prevenirea „conflictelor de interese”; și iv) permiterea firmelor multidisciplinare de servicii pentru întreprinderi. </w:t>
      </w:r>
    </w:p>
    <w:p w14:paraId="48290DD8" w14:textId="77777777" w:rsidR="00A15990" w:rsidRDefault="00686A62">
      <w:pPr>
        <w:pStyle w:val="P68B1DB1-Normal4"/>
        <w:spacing w:before="40" w:after="0" w:line="259" w:lineRule="auto"/>
        <w:jc w:val="both"/>
        <w:rPr>
          <w:rFonts w:eastAsiaTheme="minorEastAsia" w:cs="Times New Roman"/>
          <w:noProof/>
        </w:rPr>
      </w:pPr>
      <w:r>
        <w:rPr>
          <w:noProof/>
        </w:rPr>
        <w:t xml:space="preserve">AdC va fi, de asemenea, însărcinat să prezinte un raport privind eficacitatea noii legi privind profesiile reglementate. </w:t>
      </w:r>
    </w:p>
    <w:p w14:paraId="6A04E445" w14:textId="77777777" w:rsidR="00A15990" w:rsidRDefault="00686A62">
      <w:pPr>
        <w:pStyle w:val="P68B1DB1-Normal4"/>
        <w:spacing w:before="40" w:after="0" w:line="259" w:lineRule="auto"/>
        <w:jc w:val="both"/>
        <w:rPr>
          <w:rFonts w:eastAsiaTheme="minorEastAsia" w:cs="Times New Roman"/>
          <w:noProof/>
        </w:rPr>
      </w:pPr>
      <w:r>
        <w:rPr>
          <w:noProof/>
        </w:rPr>
        <w:t>Punerea în aplicare a reformei se finalizează până la 31 decembrie 2022.</w:t>
      </w:r>
    </w:p>
    <w:p w14:paraId="58B60BDF"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RE-r17: Agenda pentru promovarea muncii decente</w:t>
      </w:r>
    </w:p>
    <w:p w14:paraId="5AF25DED" w14:textId="77777777" w:rsidR="00A15990" w:rsidRDefault="00686A62">
      <w:pPr>
        <w:pStyle w:val="P68B1DB1-Normal4"/>
        <w:spacing w:before="40" w:after="0" w:line="259" w:lineRule="auto"/>
        <w:jc w:val="both"/>
        <w:rPr>
          <w:rFonts w:eastAsiaTheme="minorEastAsia" w:cs="Times New Roman"/>
          <w:noProof/>
        </w:rPr>
      </w:pPr>
      <w:r>
        <w:rPr>
          <w:noProof/>
        </w:rPr>
        <w:t>Obiectivul acestei reforme este de a se baza pe măsurile adoptate în ultimii ani (cum ar fi cele care abordează segmentarea pieței forței de muncă și încurajează negocierile colective) pentru a proteja drepturile lucrătorilor.</w:t>
      </w:r>
    </w:p>
    <w:p w14:paraId="1EF0875A" w14:textId="7D73539B" w:rsidR="00A15990" w:rsidRDefault="00686A62">
      <w:pPr>
        <w:pStyle w:val="P68B1DB1-Normal4"/>
        <w:spacing w:before="40" w:after="0" w:line="259" w:lineRule="auto"/>
        <w:jc w:val="both"/>
        <w:rPr>
          <w:rFonts w:eastAsiaTheme="minorEastAsia" w:cs="Times New Roman"/>
          <w:noProof/>
        </w:rPr>
      </w:pPr>
      <w:r>
        <w:rPr>
          <w:noProof/>
        </w:rPr>
        <w:t xml:space="preserve">După prezentarea de către guvern a Cărții verzi privind viitorul muncii, această reformă va cuprinde un act legislativ de reglementare a muncii pe platforme pentru a aborda noile provocări create de relațiile de muncă atipice, în conformitate cu principiile Pilonului european al drepturilor sociale. Aceasta consolidează calitatea relațiilor de muncă și îmbunătățește accesul la drepturi și la protecție socială. </w:t>
      </w:r>
    </w:p>
    <w:p w14:paraId="0255E56D"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31 martie 2023.</w:t>
      </w:r>
    </w:p>
    <w:p w14:paraId="344F2E16"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RE-r18: Combaterea inegalității dintre femei și bărbați</w:t>
      </w:r>
    </w:p>
    <w:p w14:paraId="5CA7D144" w14:textId="77777777" w:rsidR="00A15990" w:rsidRDefault="00686A62">
      <w:pPr>
        <w:pStyle w:val="P68B1DB1-Normal4"/>
        <w:spacing w:before="40" w:after="0" w:line="259" w:lineRule="auto"/>
        <w:jc w:val="both"/>
        <w:rPr>
          <w:rFonts w:eastAsiaTheme="minorEastAsia" w:cs="Times New Roman"/>
          <w:noProof/>
        </w:rPr>
      </w:pPr>
      <w:r>
        <w:rPr>
          <w:noProof/>
        </w:rPr>
        <w:t>Obiectivul acestei reforme este de a promova egalitatea de remunerare între femei și bărbați, egalitatea de șanse în carieră și de a combate stereotipurile de gen și segregarea în alegerea carierelor profesionale. Acesta se bazează în mare măsură pe legislația existentă, în special pe egalitatea de remunerare (Legea nr. 60/2018) și pe o reprezentare echilibrată în consiliile de administrație (legile nr. 62/2017 și nr. 26/2019).</w:t>
      </w:r>
    </w:p>
    <w:p w14:paraId="6089F955" w14:textId="6C5F614E" w:rsidR="00A15990" w:rsidRDefault="00686A62">
      <w:pPr>
        <w:pStyle w:val="P68B1DB1-Normal4"/>
        <w:spacing w:before="40" w:after="0" w:line="259" w:lineRule="auto"/>
        <w:jc w:val="both"/>
        <w:rPr>
          <w:rFonts w:eastAsiaTheme="minorEastAsia" w:cs="Times New Roman"/>
          <w:noProof/>
        </w:rPr>
      </w:pPr>
      <w:r>
        <w:rPr>
          <w:noProof/>
        </w:rPr>
        <w:t xml:space="preserve">Legislația privind egalitatea de remunerare a creat mecanisme de punere în aplicare a principiului egalității de remunerare pentru aceeași muncă sau pentru o muncă de aceeași valoare, obligând întreprinderile să aibă politici de remunerare transparente. Începând din 2021, un departament al Ministerului Ocupării Forței de Muncă și Securității Sociale a elaborat un raport privind diferențele de remunerare între femei și bărbați pentru fiecare întreprindere cu peste 50 de lucrători, care acoperă diferențele de remunerare între femei și bărbați. </w:t>
      </w:r>
    </w:p>
    <w:p w14:paraId="2D14154A" w14:textId="2BB01CB6" w:rsidR="00A15990" w:rsidRDefault="00686A62">
      <w:pPr>
        <w:pStyle w:val="P68B1DB1-Normal4"/>
        <w:spacing w:before="40" w:after="0" w:line="259" w:lineRule="auto"/>
        <w:jc w:val="both"/>
        <w:rPr>
          <w:rFonts w:eastAsiaTheme="minorEastAsia" w:cs="Times New Roman"/>
          <w:noProof/>
        </w:rPr>
      </w:pPr>
      <w:r>
        <w:rPr>
          <w:noProof/>
        </w:rPr>
        <w:t xml:space="preserve">Începând cu anul 2025, întreprinderile cu peste 50 de lucrători care au diferențe semnificative în ceea ce privește nivelurile de remunerare între femei și bărbați pentru aceleași locuri de muncă au obligația de a prezenta Direcției Inspecției Muncii un plan de acțiune pentru a remedia aceste disparități prin punerea în aplicare a planului de acțiune. </w:t>
      </w:r>
    </w:p>
    <w:p w14:paraId="76818DD3" w14:textId="77777777" w:rsidR="00A15990" w:rsidRDefault="00686A62">
      <w:pPr>
        <w:pStyle w:val="P68B1DB1-Normal4"/>
        <w:spacing w:before="40" w:after="0" w:line="259" w:lineRule="auto"/>
        <w:jc w:val="both"/>
        <w:rPr>
          <w:rFonts w:eastAsiaTheme="minorEastAsia" w:cs="Times New Roman"/>
          <w:noProof/>
        </w:rPr>
      </w:pPr>
      <w:r>
        <w:rPr>
          <w:noProof/>
        </w:rPr>
        <w:t>Reforma include, de asemenea, un sistem voluntar bazat pe Islanda Norm ÍST 85: 2012, acordarea recunoașterii publice întreprinderilor care au pus efectiv în aplicare politici privind egalitatea de remunerare. Certificatul trebuie să fie conceput astfel încât să confirme că, atunci când se iau decizii privind salariile, acestea se bazează în întregime pe considerente relevante.</w:t>
      </w:r>
    </w:p>
    <w:p w14:paraId="632ABE9A" w14:textId="77777777" w:rsidR="00A15990" w:rsidRDefault="00686A62">
      <w:pPr>
        <w:pStyle w:val="P68B1DB1-Normal4"/>
        <w:spacing w:before="40" w:after="0" w:line="259" w:lineRule="auto"/>
        <w:jc w:val="both"/>
        <w:rPr>
          <w:rFonts w:eastAsiaTheme="minorEastAsia" w:cs="Times New Roman"/>
          <w:noProof/>
        </w:rPr>
      </w:pPr>
      <w:r>
        <w:rPr>
          <w:noProof/>
        </w:rPr>
        <w:t>Punerea în aplicare a reformei se finalizează până la 31 decembrie 2024.</w:t>
      </w:r>
    </w:p>
    <w:p w14:paraId="79DF09F6" w14:textId="3D240655"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RE-C06-i01: Modernizarea instituțiilor de educație și formare profesională</w:t>
      </w:r>
    </w:p>
    <w:p w14:paraId="7C8E1168" w14:textId="2C3A9FEC" w:rsidR="00A15990" w:rsidRDefault="00686A62">
      <w:pPr>
        <w:pStyle w:val="P68B1DB1-Normal4"/>
        <w:jc w:val="both"/>
        <w:rPr>
          <w:rFonts w:eastAsiaTheme="minorEastAsia" w:cs="Times New Roman"/>
          <w:noProof/>
        </w:rPr>
      </w:pPr>
      <w:r>
        <w:rPr>
          <w:noProof/>
        </w:rPr>
        <w:t xml:space="preserve">Obiectivele acestei investiții includ instalarea și modernizarea centrelor tehnologice specializate în liceele publice cu cursuri profesionale și școli profesionale, precum și în instituțiile de învățământ private și cooperative care oferă educație profesională. În plus, obiectivele includ extinderea și modernizarea rețelei de centre de formare profesională ale serviciului public de ocupare a forței de muncă (IEFP), rețeaua de școli a Autorității Naționale pentru Turism (Turismo de Portugal) și pentru ca formarea să devină mai relevantă pentru piață și mai aliniată la transformarea ecologică, digitală, demografică și industrială. </w:t>
      </w:r>
    </w:p>
    <w:p w14:paraId="713ECA79" w14:textId="77777777" w:rsidR="00A15990" w:rsidRDefault="00686A62">
      <w:pPr>
        <w:pStyle w:val="P68B1DB1-Normal4"/>
        <w:spacing w:before="40" w:after="0" w:line="259" w:lineRule="auto"/>
        <w:jc w:val="both"/>
        <w:rPr>
          <w:rFonts w:eastAsiaTheme="minorEastAsia" w:cs="Times New Roman"/>
          <w:noProof/>
        </w:rPr>
      </w:pPr>
      <w:r>
        <w:rPr>
          <w:noProof/>
        </w:rPr>
        <w:t xml:space="preserve">Această investiție constă în: </w:t>
      </w:r>
    </w:p>
    <w:p w14:paraId="65A279D3" w14:textId="59E91174" w:rsidR="00A15990" w:rsidRDefault="00686A62">
      <w:pPr>
        <w:pStyle w:val="P68B1DB1-Normal4"/>
        <w:numPr>
          <w:ilvl w:val="0"/>
          <w:numId w:val="43"/>
        </w:numPr>
        <w:spacing w:before="40" w:after="160" w:line="259" w:lineRule="auto"/>
        <w:ind w:left="714" w:hanging="357"/>
        <w:jc w:val="both"/>
        <w:rPr>
          <w:rFonts w:eastAsiaTheme="minorEastAsia" w:cs="Times New Roman"/>
          <w:noProof/>
        </w:rPr>
      </w:pPr>
      <w:r>
        <w:rPr>
          <w:noProof/>
        </w:rPr>
        <w:t>instalarea și modernizarea a 365 centre tehnologice specializate în licee care oferă cursuri profesionale și școli profesionale, dintre care 115 (centre industriale), 30 (centre pentru energie regenerabilă), 195 (centre de informatică) și 25 (centre digitale și multimedia). Centrele tehnologice specializate sunt gestionate de directorii școlilor din rețeaua publică sau de entități private. Această investiție implică modernizarea și reabilitarea instalațiilor și a infrastructurii existente, precum și achiziționarea de resurse educaționale tehnologice (echipamente), extinderea și modernizarea rețelei de centre de formare profesională ale serviciului public de ocupare a forței de muncă (IEFP), gestionate direct sau prin concesiuni și a rețelei de școli a Autorității Naționale pentru Turism (Turismo de Portugal) din Portugalia. Planul de modernizare a echipamentelor rețelei centrelor de formare profesională IEFP implică achiziționarea următoarelor tipuri de echipamente, și anume: I) energia din surse regenerabile; II) digitalizarea industriei; III) aeronautică; IV) digitalizarea comerțului; și v) simulatoare „terestre”. Se preconizează că această subinvestiție va permite modernizarea a 22 000 de locuri de formare.</w:t>
      </w:r>
    </w:p>
    <w:p w14:paraId="5288888F" w14:textId="77777777" w:rsidR="00A15990" w:rsidRDefault="00686A62">
      <w:pPr>
        <w:pStyle w:val="P68B1DB1-Normal4"/>
        <w:spacing w:before="120" w:after="0" w:line="259" w:lineRule="auto"/>
        <w:jc w:val="both"/>
        <w:rPr>
          <w:rFonts w:eastAsiaTheme="minorEastAsia" w:cs="Times New Roman"/>
          <w:noProof/>
        </w:rPr>
      </w:pPr>
      <w:r>
        <w:rPr>
          <w:noProof/>
        </w:rPr>
        <w:t>Punerea în aplicare a investiției se va finaliza până la 31 decembrie 2025.</w:t>
      </w:r>
    </w:p>
    <w:p w14:paraId="5AEBBD6D" w14:textId="0B50F649"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RE-C06-i02: Angajamentul privind ocuparea durabilă a forței de muncă</w:t>
      </w:r>
    </w:p>
    <w:p w14:paraId="20CED285" w14:textId="5D4F76FD" w:rsidR="00A15990" w:rsidRDefault="00686A62">
      <w:pPr>
        <w:pStyle w:val="P68B1DB1-Normal4"/>
        <w:spacing w:before="40" w:after="0" w:line="259" w:lineRule="auto"/>
        <w:jc w:val="both"/>
        <w:rPr>
          <w:rFonts w:eastAsiaTheme="minorEastAsia" w:cs="Times New Roman"/>
          <w:noProof/>
        </w:rPr>
      </w:pPr>
      <w:r>
        <w:rPr>
          <w:noProof/>
        </w:rPr>
        <w:t>Obiectivele acestei investiții sunt crearea de contracte de muncă permanente și de calitate în cadrul programului „Angajamente privind ocuparea durabilă a forței de muncă” și reducerea segmentării pieței forței de muncă în rândul tuturor grupurilor, inclusiv al tinerilor.</w:t>
      </w:r>
    </w:p>
    <w:p w14:paraId="396EFC94" w14:textId="3882AB7D" w:rsidR="00A15990" w:rsidRDefault="00686A62">
      <w:pPr>
        <w:pStyle w:val="P68B1DB1-Normal4"/>
        <w:spacing w:before="40" w:after="0" w:line="259" w:lineRule="auto"/>
        <w:jc w:val="both"/>
        <w:rPr>
          <w:rFonts w:eastAsiaTheme="minorEastAsia" w:cs="Times New Roman"/>
          <w:noProof/>
        </w:rPr>
      </w:pPr>
      <w:r>
        <w:rPr>
          <w:noProof/>
        </w:rPr>
        <w:t xml:space="preserve">Pentru a accelera revenirea la locul de muncă, angajatorilor li se acordă subvenții temporare în schimbul oferirii unor contracte pe durată nedeterminată care să plătească salarii adecvate. Angajatorul primește un minim de 5 266 EUR (de 12 ori indicele de sprijin social, care servește drept referință pentru calcularea diferitelor prestații de securitate socială) pentru fiecare post de muncă creat. Această sumă poate fi majorată în funcție de evoluția și de nevoile pieței forței de muncă, inclusiv de diferitele categorii de public-țintă, în special de tineri, astfel cum sunt definite în Angajamentul privind ocuparea durabilă a forței de muncă (-Ordonanța Guvernului nr. 38/2022, astfel cum a fost modificată). Majorările sunt cumulative în conformitate cu Ordonanța de Guvern menționată mai sus. . În plus, sprijinul financiar ar putea fi suplimentat pentru angajarea unei persoane din genul subreprezentat în profesia respectivă. Suplimentările sunt cumulative. În plus, angajatorii primesc un sprijin în valoare de 50 % din contribuția lor la asigurările sociale pe o perioadă de un an (14 luni). Se preconizează că această măsură va sprijini crearea a 30 000 de locuri de muncă permanente. Se preconizează că măsura va dura un an, dar ar putea fi prelungită pentru încă doi. Având în vedere necesitatea de a asigura participarea sectorului privat la schemă, punerea sa în aplicare începe în momentul redresării economice. </w:t>
      </w:r>
    </w:p>
    <w:p w14:paraId="71DC7F72" w14:textId="07F99994"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decembrie 2024.</w:t>
      </w:r>
    </w:p>
    <w:p w14:paraId="331235C5"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RE-C06-i03: Stimulente pentru adulți</w:t>
      </w:r>
    </w:p>
    <w:p w14:paraId="5CA59C0F" w14:textId="0D857AF7" w:rsidR="00A15990" w:rsidRDefault="00686A62">
      <w:pPr>
        <w:pStyle w:val="P68B1DB1-Normal4"/>
        <w:spacing w:before="40" w:after="0" w:line="259" w:lineRule="auto"/>
        <w:jc w:val="both"/>
        <w:rPr>
          <w:rFonts w:eastAsiaTheme="minorEastAsia" w:cs="Times New Roman"/>
          <w:noProof/>
        </w:rPr>
      </w:pPr>
      <w:r>
        <w:rPr>
          <w:noProof/>
        </w:rPr>
        <w:t xml:space="preserve">Obiectivul acestei investiții este de a pune în aplicare o abordare multiplă pentru a spori calificarea populației adulte cu vârsta de cel puțin 18 de ani, care să implice: I) să promoveze învățarea în rândul adulților prin extinderea Planului național pentru alfabetizarea adulților pentru a îmbunătăți alfabetizarea de bază, competențele numerice și competențele digitale; creșterea ratei de participare și de absolvire a adulților în procesele de recunoaștere, validare și certificare a competențelor (RVCC); și iii) dezvoltarea ofertelor de învățământ terțiar pentru adulți, cum ar fi cursurile de scurtă durată. </w:t>
      </w:r>
    </w:p>
    <w:p w14:paraId="5860CEF4" w14:textId="3F0B0075"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w:t>
      </w:r>
    </w:p>
    <w:p w14:paraId="14F048E0" w14:textId="77777777" w:rsidR="00A15990" w:rsidRDefault="00686A62">
      <w:pPr>
        <w:pStyle w:val="P68B1DB1-Normal4"/>
        <w:keepNext/>
        <w:numPr>
          <w:ilvl w:val="0"/>
          <w:numId w:val="45"/>
        </w:numPr>
        <w:spacing w:before="40" w:after="160" w:line="259" w:lineRule="auto"/>
        <w:contextualSpacing/>
        <w:jc w:val="both"/>
        <w:rPr>
          <w:rFonts w:eastAsiaTheme="minorEastAsia" w:cs="Times New Roman"/>
          <w:noProof/>
        </w:rPr>
      </w:pPr>
      <w:r>
        <w:rPr>
          <w:noProof/>
        </w:rPr>
        <w:t>în cadrul programului „Califica</w:t>
      </w:r>
      <w:r>
        <w:rPr>
          <w:i/>
          <w:noProof/>
        </w:rPr>
        <w:t>”</w:t>
      </w:r>
      <w:r>
        <w:rPr>
          <w:noProof/>
        </w:rPr>
        <w:t>, extinderea Planului național pentru alfabetizarea adulților, prin desfășurarea a 225 proiecte locale care conduc la nivelurile B1/B2/B3. Această măsură este gestionată de Agenția Națională pentru Calificări și Educație și Formare Profesională (ANQEP). Fiecare proiect are capacitatea de a deschide 100 de posturi vacante, generând un număr total de participanți de aproximativ 22 500 de persoane. Pe lângă achiziționarea de echipamente pedagogice și consumabile și plata personalului de formare, această subinvestiție va oferi, atunci când este necesar, unele subvenții participanților, angajatorilor și mediatorilor comunitari;</w:t>
      </w:r>
    </w:p>
    <w:p w14:paraId="612871DF" w14:textId="0B0AB797" w:rsidR="00A15990" w:rsidRDefault="00686A62">
      <w:pPr>
        <w:pStyle w:val="P68B1DB1-Normal4"/>
        <w:keepNext/>
        <w:numPr>
          <w:ilvl w:val="0"/>
          <w:numId w:val="45"/>
        </w:numPr>
        <w:spacing w:before="40" w:after="160" w:line="259" w:lineRule="auto"/>
        <w:contextualSpacing/>
        <w:jc w:val="both"/>
        <w:rPr>
          <w:rFonts w:eastAsiaTheme="minorEastAsia" w:cs="Times New Roman"/>
          <w:noProof/>
        </w:rPr>
      </w:pPr>
      <w:r>
        <w:rPr>
          <w:noProof/>
        </w:rPr>
        <w:t xml:space="preserve">în cadrul programului </w:t>
      </w:r>
      <w:r>
        <w:rPr>
          <w:i/>
          <w:noProof/>
        </w:rPr>
        <w:t>Qualifica</w:t>
      </w:r>
      <w:r>
        <w:rPr>
          <w:noProof/>
        </w:rPr>
        <w:t xml:space="preserve">, acelerador qualific a </w:t>
      </w:r>
      <w:r>
        <w:rPr>
          <w:i/>
          <w:noProof/>
        </w:rPr>
        <w:t>este o</w:t>
      </w:r>
      <w:r>
        <w:rPr>
          <w:noProof/>
        </w:rPr>
        <w:t>nouă măsură menită să ofere sprijin financiar adulților pe parcursul proceselor lor RVCC. Această măsură este gestionată de Agenția Națională pentru Calificare și Educație și Formare Profesională (ANQEP). Fiecare adult participant primește un sprijin financiar de până la 1,25 IAS. Numărul total de participanți la procesele RVCC este estimat la 100 000 de persoane;</w:t>
      </w:r>
    </w:p>
    <w:p w14:paraId="67A55033" w14:textId="77777777" w:rsidR="00A15990" w:rsidRDefault="00686A62">
      <w:pPr>
        <w:pStyle w:val="P68B1DB1-Normal4"/>
        <w:keepNext/>
        <w:numPr>
          <w:ilvl w:val="0"/>
          <w:numId w:val="45"/>
        </w:numPr>
        <w:spacing w:before="40" w:after="160" w:line="259" w:lineRule="auto"/>
        <w:contextualSpacing/>
        <w:jc w:val="both"/>
        <w:rPr>
          <w:rFonts w:eastAsiaTheme="minorEastAsia" w:cs="Times New Roman"/>
          <w:noProof/>
        </w:rPr>
      </w:pPr>
      <w:r>
        <w:rPr>
          <w:noProof/>
        </w:rPr>
        <w:t>promovarea rețelelor de colaborare între instituțiile de învățământ superior, întreprinderi și alte părți interesate prin sprijinirea unor noi școli/programe/alianțe postuniversitare, în ceea ce privește programele comune de colaborare care implică activități de educație, cercetare și inovare și inițiative de dezvoltare a unor cursuri de scurtă durată în învățământul superior menite să consolideze învățarea pe tot parcursul vieții (recalificare și perfecționare). Investiția constă în subvenții pentru punerea în aplicare a programelor integrate care să implice un total de 23 000 de studenți în perioada 2021-2025, cuprinzând costurile de instalare și de echipare, sprijinul pentru studenți și cheltuielile efectuate de instituțiile de învățământ superior asociate cu furnizarea cursurilor. Consorțiile sunt selectate prin concurs general.</w:t>
      </w:r>
    </w:p>
    <w:p w14:paraId="4C02ACB6" w14:textId="77777777"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decembrie 2025.</w:t>
      </w:r>
    </w:p>
    <w:p w14:paraId="1DA8A972" w14:textId="293B4D84"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RE-C06-i04: Impulsul tineretului – STIAM</w:t>
      </w:r>
    </w:p>
    <w:p w14:paraId="6A794065"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acestei investiții este: </w:t>
      </w:r>
    </w:p>
    <w:p w14:paraId="48A8558E" w14:textId="77777777" w:rsidR="00A15990" w:rsidRDefault="00686A62">
      <w:pPr>
        <w:pStyle w:val="P68B1DB1-Normal4"/>
        <w:keepNext/>
        <w:numPr>
          <w:ilvl w:val="0"/>
          <w:numId w:val="46"/>
        </w:numPr>
        <w:spacing w:before="40" w:after="160" w:line="259" w:lineRule="auto"/>
        <w:contextualSpacing/>
        <w:jc w:val="both"/>
        <w:rPr>
          <w:rFonts w:eastAsiaTheme="minorEastAsia" w:cs="Times New Roman"/>
          <w:noProof/>
        </w:rPr>
      </w:pPr>
      <w:r>
        <w:rPr>
          <w:noProof/>
        </w:rPr>
        <w:t>creșterea ratelor de înscriere la cursurile în domeniul științei, tehnologiei, ingineriei, artelor și matematicii (STIAM), inclusiv la cursul de tehnologie a informației; și</w:t>
      </w:r>
    </w:p>
    <w:p w14:paraId="7CE713E1" w14:textId="77777777" w:rsidR="00A15990" w:rsidRDefault="00686A62">
      <w:pPr>
        <w:pStyle w:val="P68B1DB1-Normal4"/>
        <w:keepNext/>
        <w:numPr>
          <w:ilvl w:val="0"/>
          <w:numId w:val="46"/>
        </w:numPr>
        <w:spacing w:before="40" w:after="160" w:line="259" w:lineRule="auto"/>
        <w:contextualSpacing/>
        <w:jc w:val="both"/>
        <w:rPr>
          <w:rFonts w:eastAsiaTheme="minorEastAsia" w:cs="Times New Roman"/>
          <w:noProof/>
        </w:rPr>
      </w:pPr>
      <w:r>
        <w:rPr>
          <w:noProof/>
        </w:rPr>
        <w:t>asigurarea unor facilități adecvate în școlile neterțiare pentru educația științifică, în vederea creșterii interesului față de materiile legate de știință.</w:t>
      </w:r>
    </w:p>
    <w:p w14:paraId="42904022" w14:textId="6ABF32E6" w:rsidR="00A15990" w:rsidRDefault="00686A62">
      <w:pPr>
        <w:pStyle w:val="P68B1DB1-Normal4"/>
        <w:spacing w:before="40" w:after="0" w:line="259" w:lineRule="auto"/>
        <w:jc w:val="both"/>
        <w:rPr>
          <w:rFonts w:eastAsiaTheme="minorEastAsia" w:cs="Times New Roman"/>
          <w:noProof/>
        </w:rPr>
      </w:pPr>
      <w:r>
        <w:rPr>
          <w:noProof/>
        </w:rPr>
        <w:t>Această măsură vizează instituțiile de învățământ superior (atât universitățile, cât și cele politehnice). Alocarea fondurilor se face în urma unei competiții deschise. Această investiție constă în punerea în aplicare a unor programe de către instituțiile de învățământ superior, în parteneriat cu angajatori publici și/sau privați și cu alte părți interesate, inclusiv cu licee. Acestea pot lua forma unor școli/programe/alianțe, în ceea ce privește programele comune de colaborare care implică activități și inițiative în domeniul educației, cercetării și inovării, care vizează consolidarea învățământului superior inițial și creșterea numărului de absolvenți STIAM, oferind cursuri universitare și alte cursuri de învățământ superior inițial (de exemplu, cursuri profesionale tehnice superioare în cazul politehnicilor). Programele includ modernizarea și extinderea facilităților pentru a face față creșterii numărului de studenți, stimulentele pentru studenți și alte cheltuieli ale instituțiilor de învățământ superior asociate cu furnizarea cursurilor.</w:t>
      </w:r>
    </w:p>
    <w:p w14:paraId="1D9CCCC0" w14:textId="4B6ACEC1" w:rsidR="00A15990" w:rsidRDefault="00686A62">
      <w:pPr>
        <w:pStyle w:val="P68B1DB1-Normal4"/>
        <w:keepNext/>
        <w:spacing w:before="40" w:after="0" w:line="259" w:lineRule="auto"/>
        <w:jc w:val="both"/>
        <w:rPr>
          <w:rFonts w:eastAsiaTheme="minorEastAsia" w:cs="Times New Roman"/>
          <w:noProof/>
        </w:rPr>
      </w:pPr>
      <w:r>
        <w:rPr>
          <w:noProof/>
        </w:rPr>
        <w:t>Investițiile vor îmbunătăți, de asemenea, competențele în domeniile STIAM prin extinderea rețelei de cluburi „Ciência Viva”, cluburi în școli (de la școlile primare la cele secundare), concentrându-se în principal pe domeniile STIAM, conținutul digital și materialele digitale; promovarea parteneriatelor între școli și societatea civilă, universități și centre de cercetare și organizarea de seminarii și ateliere. Se preconizează că acesta va sprijini cel puțin 650 de proiecte.</w:t>
      </w:r>
    </w:p>
    <w:p w14:paraId="3B7F9040" w14:textId="77777777" w:rsidR="00A15990" w:rsidRDefault="00686A62">
      <w:pPr>
        <w:pStyle w:val="P68B1DB1-Normal4"/>
        <w:keepNext/>
        <w:spacing w:before="40" w:after="0" w:line="259" w:lineRule="auto"/>
        <w:contextualSpacing/>
        <w:jc w:val="both"/>
        <w:rPr>
          <w:rFonts w:eastAsiaTheme="minorEastAsia" w:cs="Times New Roman"/>
          <w:noProof/>
        </w:rPr>
      </w:pPr>
      <w:r>
        <w:rPr>
          <w:noProof/>
        </w:rPr>
        <w:t>Punerea în aplicare a investiției se va finaliza până la 31 decembrie 2025.</w:t>
      </w:r>
    </w:p>
    <w:p w14:paraId="27CDA957"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RE-C06-i05-RAA: Calificarea adulților și învățarea pe tot parcursul vieții (ARA)</w:t>
      </w:r>
    </w:p>
    <w:p w14:paraId="17E62A07" w14:textId="604971D4" w:rsidR="00A15990" w:rsidRDefault="00686A62">
      <w:pPr>
        <w:pStyle w:val="P68B1DB1-Normal4"/>
        <w:spacing w:before="40" w:after="0" w:line="259" w:lineRule="auto"/>
        <w:jc w:val="both"/>
        <w:rPr>
          <w:rFonts w:eastAsiaTheme="minorEastAsia" w:cs="Times New Roman"/>
          <w:noProof/>
        </w:rPr>
      </w:pPr>
      <w:r>
        <w:rPr>
          <w:noProof/>
        </w:rPr>
        <w:t>Obiectivul acestei investiții este de a aborda problema gravă a nivelurilor scăzute de calificare din Regiunea Autonomă Azore, atât în comparație cu Portugalia în ansamblu, cât și cu Uniunea Europeană. Nivelurile scăzute de calificare reprezintă un blocaj major pentru apariția și diversificarea noilor întreprinderi și pentru dezvoltarea durabilă, fiind asociate cu productivitatea și salariile scăzute și cu lipsa de reziliență în timpul crizei economice. Investițiile menite să răspundă nevoilor educaționale și de formare specifice din Regiunea Autonomă Azore completează acțiunile din cadrul FSE + reflectate în programul operațional relevant, aflat în curs de negociere pentru cadrul financiar multianual 2021-2027.</w:t>
      </w:r>
    </w:p>
    <w:p w14:paraId="73E70397" w14:textId="77777777" w:rsidR="00A15990" w:rsidRDefault="00686A62">
      <w:pPr>
        <w:pStyle w:val="P68B1DB1-Normal4"/>
        <w:spacing w:before="40" w:after="0" w:line="259" w:lineRule="auto"/>
        <w:jc w:val="both"/>
        <w:rPr>
          <w:rFonts w:eastAsiaTheme="minorEastAsia" w:cs="Times New Roman"/>
          <w:noProof/>
        </w:rPr>
      </w:pPr>
      <w:r>
        <w:rPr>
          <w:noProof/>
        </w:rPr>
        <w:t xml:space="preserve">Investiția constă în: </w:t>
      </w:r>
    </w:p>
    <w:p w14:paraId="0081A8C7" w14:textId="6B92010D" w:rsidR="00A15990" w:rsidRDefault="00686A62">
      <w:pPr>
        <w:pStyle w:val="P68B1DB1-Normal4"/>
        <w:keepNext/>
        <w:numPr>
          <w:ilvl w:val="0"/>
          <w:numId w:val="47"/>
        </w:numPr>
        <w:spacing w:before="40" w:after="160" w:line="259" w:lineRule="auto"/>
        <w:contextualSpacing/>
        <w:jc w:val="both"/>
        <w:rPr>
          <w:rFonts w:eastAsiaTheme="minorEastAsia" w:cs="Times New Roman"/>
          <w:noProof/>
        </w:rPr>
      </w:pPr>
      <w:r>
        <w:rPr>
          <w:noProof/>
        </w:rPr>
        <w:t xml:space="preserve">o creștere a numărului de adulți înscriși în învățământul postliceal și terțiar; și </w:t>
      </w:r>
    </w:p>
    <w:p w14:paraId="09348395" w14:textId="5B3F3D0B" w:rsidR="00A15990" w:rsidRDefault="00686A62">
      <w:pPr>
        <w:pStyle w:val="P68B1DB1-Normal4"/>
        <w:keepNext/>
        <w:numPr>
          <w:ilvl w:val="0"/>
          <w:numId w:val="47"/>
        </w:numPr>
        <w:spacing w:before="40" w:after="160" w:line="259" w:lineRule="auto"/>
        <w:contextualSpacing/>
        <w:jc w:val="both"/>
        <w:rPr>
          <w:rFonts w:eastAsiaTheme="minorEastAsia" w:cs="Times New Roman"/>
          <w:noProof/>
        </w:rPr>
      </w:pPr>
      <w:r>
        <w:rPr>
          <w:noProof/>
        </w:rPr>
        <w:t xml:space="preserve">modernizarea a 16 de școli profesionale și a unui institut public de </w:t>
      </w:r>
      <w:r>
        <w:rPr>
          <w:noProof/>
          <w:shd w:val="clear" w:color="auto" w:fill="E6E6E6"/>
        </w:rPr>
        <w:t>formare</w:t>
      </w:r>
      <w:r>
        <w:rPr>
          <w:noProof/>
        </w:rPr>
        <w:t xml:space="preserve">cu structuri și echipamente în conformitate cu dezvoltarea tehnologică, în vederea renovării atelierelor, a laboratoarelor și a sălilor de informatică, permițând astfel alinierea la cererea de pe piața muncii și creșterea în continuare a numărului de stagiari. </w:t>
      </w:r>
    </w:p>
    <w:p w14:paraId="3EA8A1D4" w14:textId="77777777"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decembrie 2025.</w:t>
      </w:r>
    </w:p>
    <w:p w14:paraId="73AE8E57" w14:textId="266C243F" w:rsidR="00A15990" w:rsidRDefault="00686A62">
      <w:pPr>
        <w:pStyle w:val="P68B1DB1-Normal5"/>
        <w:keepNext/>
        <w:spacing w:before="240" w:after="0" w:line="259" w:lineRule="auto"/>
        <w:ind w:left="851"/>
        <w:jc w:val="both"/>
        <w:outlineLvl w:val="3"/>
        <w:rPr>
          <w:rFonts w:eastAsiaTheme="minorEastAsia" w:cs="Times New Roman"/>
          <w:noProof/>
        </w:rPr>
      </w:pPr>
      <w:bookmarkStart w:id="17" w:name="_Toc137472452"/>
      <w:r>
        <w:rPr>
          <w:noProof/>
        </w:rPr>
        <w:t>Investiția RE-C06-i06: Capacități în domeniul științei</w:t>
      </w:r>
      <w:bookmarkEnd w:id="17"/>
    </w:p>
    <w:p w14:paraId="37AD389E" w14:textId="3AE8A3DE" w:rsidR="00A15990" w:rsidRDefault="00686A62">
      <w:pPr>
        <w:pStyle w:val="P68B1DB1-Normal4"/>
        <w:spacing w:after="0" w:line="259" w:lineRule="auto"/>
        <w:jc w:val="both"/>
        <w:rPr>
          <w:rFonts w:eastAsia="Symbol" w:cs="Times New Roman"/>
          <w:noProof/>
        </w:rPr>
      </w:pPr>
      <w:r>
        <w:rPr>
          <w:noProof/>
        </w:rPr>
        <w:t>Această investiție urmărește să stimuleze dezvoltarea ecosistemului de inovare și antreprenoriat al instituțiilor de învățământ superior prin sprijinirea cercetării fundamentale, promovarea transferului de cunoștințe, internaționalizarea, reducerea precarității cercetătorilor și consolidarea legăturii dintre întreprinderi și societate.</w:t>
      </w:r>
    </w:p>
    <w:p w14:paraId="75DA99F1" w14:textId="77777777" w:rsidR="00A15990" w:rsidRDefault="00686A62">
      <w:pPr>
        <w:pStyle w:val="P68B1DB1-Normal4"/>
        <w:spacing w:after="0" w:line="259" w:lineRule="auto"/>
        <w:jc w:val="both"/>
        <w:rPr>
          <w:rFonts w:cs="Times New Roman"/>
          <w:noProof/>
        </w:rPr>
      </w:pPr>
      <w:r>
        <w:rPr>
          <w:noProof/>
        </w:rPr>
        <w:t>Investiția constă în următoarele submăsuri:</w:t>
      </w:r>
    </w:p>
    <w:p w14:paraId="5E50B945" w14:textId="77777777" w:rsidR="00A15990" w:rsidRDefault="00686A62">
      <w:pPr>
        <w:pStyle w:val="ListParagraph"/>
        <w:keepNext w:val="0"/>
        <w:numPr>
          <w:ilvl w:val="0"/>
          <w:numId w:val="74"/>
        </w:numPr>
        <w:spacing w:after="120" w:line="259" w:lineRule="auto"/>
        <w:rPr>
          <w:noProof/>
        </w:rPr>
      </w:pPr>
      <w:r>
        <w:rPr>
          <w:noProof/>
        </w:rPr>
        <w:t xml:space="preserve">Programele de achiziționare și păstrare a talentelor ERC-Portugalia și FCT-Tenure: </w:t>
      </w:r>
    </w:p>
    <w:p w14:paraId="59E07CAF" w14:textId="08745C36" w:rsidR="00A15990" w:rsidRDefault="00686A62">
      <w:pPr>
        <w:pStyle w:val="ListParagraph"/>
        <w:keepNext w:val="0"/>
        <w:numPr>
          <w:ilvl w:val="1"/>
          <w:numId w:val="74"/>
        </w:numPr>
        <w:spacing w:before="120" w:after="120" w:line="259" w:lineRule="auto"/>
        <w:rPr>
          <w:noProof/>
        </w:rPr>
      </w:pPr>
      <w:r>
        <w:rPr>
          <w:noProof/>
        </w:rPr>
        <w:t xml:space="preserve">FCT-Tenure: acest program sprijină recrutarea a 230 de doctoranzi în posturi permanente selectate prin concursuri. </w:t>
      </w:r>
    </w:p>
    <w:p w14:paraId="141C1FA4" w14:textId="77777777" w:rsidR="00A15990" w:rsidRDefault="00686A62">
      <w:pPr>
        <w:pStyle w:val="ListParagraph"/>
        <w:keepNext w:val="0"/>
        <w:numPr>
          <w:ilvl w:val="1"/>
          <w:numId w:val="74"/>
        </w:numPr>
        <w:spacing w:before="120" w:after="120" w:line="259" w:lineRule="auto"/>
        <w:rPr>
          <w:noProof/>
        </w:rPr>
      </w:pPr>
      <w:r>
        <w:rPr>
          <w:noProof/>
        </w:rPr>
        <w:t xml:space="preserve">ERC-Portugalia: acest program sprijină cercetătorii ale căror proiecte sunt recomandate pentru finanțare la nivel european sau național. Programul sprijină, de asemenea, cercetătorii ale căror cereri CEC au fost recomandate pentru finanțare sau au fost mutați în a doua etapă a evaluării, dar care, în cele din urmă, nu au fost finanțate. </w:t>
      </w:r>
    </w:p>
    <w:p w14:paraId="15F696CB" w14:textId="77777777" w:rsidR="00A15990" w:rsidRDefault="00686A62">
      <w:pPr>
        <w:pStyle w:val="ListParagraph"/>
        <w:keepNext w:val="0"/>
        <w:numPr>
          <w:ilvl w:val="0"/>
          <w:numId w:val="74"/>
        </w:numPr>
        <w:spacing w:before="120" w:after="120" w:line="259" w:lineRule="auto"/>
        <w:rPr>
          <w:noProof/>
        </w:rPr>
      </w:pPr>
      <w:r>
        <w:rPr>
          <w:noProof/>
        </w:rPr>
        <w:t xml:space="preserve">Creșterea finanțării pentru parteneriatele internaționale în domeniul științei, tehnologiei și inovării: </w:t>
      </w:r>
    </w:p>
    <w:p w14:paraId="19879948" w14:textId="5E0AE6F1" w:rsidR="00A15990" w:rsidRDefault="00686A62">
      <w:pPr>
        <w:pStyle w:val="ListParagraph"/>
        <w:keepNext w:val="0"/>
        <w:numPr>
          <w:ilvl w:val="1"/>
          <w:numId w:val="74"/>
        </w:numPr>
        <w:spacing w:before="120" w:after="120" w:line="259" w:lineRule="auto"/>
        <w:rPr>
          <w:noProof/>
        </w:rPr>
      </w:pPr>
      <w:r>
        <w:rPr>
          <w:noProof/>
        </w:rPr>
        <w:t xml:space="preserve">Promovarea participării Portugaliei la Programul-cadru european pentru cercetare și inovare prin sprijinirea finanțării proiectelor cu participare națională selectate la nivel european; </w:t>
      </w:r>
    </w:p>
    <w:p w14:paraId="02102059" w14:textId="7DD9AFD1" w:rsidR="00A15990" w:rsidRDefault="00686A62">
      <w:pPr>
        <w:pStyle w:val="ListParagraph"/>
        <w:keepNext w:val="0"/>
        <w:numPr>
          <w:ilvl w:val="1"/>
          <w:numId w:val="74"/>
        </w:numPr>
        <w:spacing w:before="120" w:after="120" w:line="259" w:lineRule="auto"/>
        <w:rPr>
          <w:noProof/>
        </w:rPr>
      </w:pPr>
      <w:r>
        <w:rPr>
          <w:noProof/>
        </w:rPr>
        <w:t>Facilitarea mobilității internaționale a 100 de cercetători naționali.</w:t>
      </w:r>
    </w:p>
    <w:p w14:paraId="3FB5AADB" w14:textId="17C1F357" w:rsidR="00A15990" w:rsidRDefault="00686A62">
      <w:pPr>
        <w:pStyle w:val="P68B1DB1-Normal4"/>
        <w:spacing w:after="0" w:line="259" w:lineRule="auto"/>
        <w:jc w:val="both"/>
        <w:rPr>
          <w:rFonts w:cs="Times New Roman"/>
          <w:noProof/>
        </w:rPr>
      </w:pPr>
      <w:r>
        <w:rPr>
          <w:noProof/>
        </w:rPr>
        <w:t>Activitățile CDI dedicate aspectelor poluante (cărbune, lignit, petrol/petrol, gaze naturale, hidrogen pe bază de combustibili fosili, incinerare, depozitare, vehicule/nave cu motor cu ardere internă) nu sunt sprijinite decât dacă dezvoltă (sau rezultatul lor se aplică) unei alternative cu impact redus.</w:t>
      </w:r>
    </w:p>
    <w:p w14:paraId="3E1F94E0" w14:textId="77777777" w:rsidR="00A15990" w:rsidRDefault="00686A62">
      <w:pPr>
        <w:pStyle w:val="P68B1DB1-Normal4"/>
        <w:spacing w:line="259" w:lineRule="auto"/>
        <w:jc w:val="both"/>
        <w:rPr>
          <w:rFonts w:cs="Times New Roman"/>
          <w:noProof/>
        </w:rPr>
      </w:pPr>
      <w:r>
        <w:rPr>
          <w:noProof/>
        </w:rPr>
        <w:t xml:space="preserve">Punerea în aplicare a investiției se va finaliza până la 31 martie 2026. </w:t>
      </w:r>
    </w:p>
    <w:p w14:paraId="1AD47C87" w14:textId="1DB744CE" w:rsidR="00A15990" w:rsidRDefault="00686A62">
      <w:pPr>
        <w:pStyle w:val="P68B1DB1-Heading214"/>
        <w:rPr>
          <w:noProof/>
        </w:rPr>
      </w:pPr>
      <w:bookmarkStart w:id="18" w:name="_Toc137472453"/>
      <w:r>
        <w:rPr>
          <w:noProof/>
        </w:rPr>
        <w:t>Investiția RE-C06-i07: Un impuls mai digital</w:t>
      </w:r>
      <w:bookmarkEnd w:id="18"/>
    </w:p>
    <w:p w14:paraId="64BA1797" w14:textId="341EDAAE" w:rsidR="00A15990" w:rsidRDefault="00686A62">
      <w:pPr>
        <w:pStyle w:val="P68B1DB1-Normal4"/>
        <w:spacing w:after="0" w:line="259" w:lineRule="auto"/>
        <w:jc w:val="both"/>
        <w:rPr>
          <w:rFonts w:cs="Times New Roman"/>
          <w:noProof/>
        </w:rPr>
      </w:pPr>
      <w:r>
        <w:rPr>
          <w:noProof/>
        </w:rPr>
        <w:t xml:space="preserve">Obiectivele măsurii sunt de a spori atractivitatea științelor agrare pentru generațiile viitoare, de a sprijini științele medicale în realizarea progreselor digitale și tehnologice și de a extinde capacitatea de formare în domeniul competențelor digitale și la alte domenii decât STIAM (știință, tehnologie, inginerie, arte, matematică); promovarea inovării și a modernizării pedagogice și, prin urmare, stimularea succesului universitar. </w:t>
      </w:r>
    </w:p>
    <w:p w14:paraId="5227DFCF" w14:textId="77777777" w:rsidR="00A15990" w:rsidRDefault="00686A62">
      <w:pPr>
        <w:pStyle w:val="P68B1DB1-Normal4"/>
        <w:spacing w:after="0" w:line="259" w:lineRule="auto"/>
        <w:jc w:val="both"/>
        <w:rPr>
          <w:rFonts w:cs="Times New Roman"/>
          <w:noProof/>
        </w:rPr>
      </w:pPr>
      <w:r>
        <w:rPr>
          <w:noProof/>
        </w:rPr>
        <w:t>Investiția constă în următoarele submăsuri:</w:t>
      </w:r>
    </w:p>
    <w:p w14:paraId="5EC1EDE0" w14:textId="77777777" w:rsidR="00A15990" w:rsidRDefault="00686A62">
      <w:pPr>
        <w:pStyle w:val="ListParagraph"/>
        <w:keepNext w:val="0"/>
        <w:numPr>
          <w:ilvl w:val="0"/>
          <w:numId w:val="74"/>
        </w:numPr>
        <w:spacing w:after="0" w:line="259" w:lineRule="auto"/>
        <w:rPr>
          <w:noProof/>
        </w:rPr>
      </w:pPr>
      <w:r>
        <w:rPr>
          <w:noProof/>
        </w:rPr>
        <w:t xml:space="preserve">Modernizarea tehnologică și digitală a științelor agrare; submăsura: </w:t>
      </w:r>
    </w:p>
    <w:p w14:paraId="50CF96DF" w14:textId="65473118" w:rsidR="00A15990" w:rsidRDefault="00686A62">
      <w:pPr>
        <w:pStyle w:val="ListParagraph"/>
        <w:keepNext w:val="0"/>
        <w:numPr>
          <w:ilvl w:val="1"/>
          <w:numId w:val="74"/>
        </w:numPr>
        <w:spacing w:before="120" w:after="0" w:line="259" w:lineRule="auto"/>
        <w:rPr>
          <w:noProof/>
        </w:rPr>
      </w:pPr>
      <w:r>
        <w:rPr>
          <w:noProof/>
        </w:rPr>
        <w:t xml:space="preserve">Reformarea programelor universitare cu 20 diplome (licență, masterat sau ambele) în domeniul științelor agrare, prin consolidarea componentei sale digitale și tehnologice, a internaționalizării și a cooperării interinstituționale; </w:t>
      </w:r>
    </w:p>
    <w:p w14:paraId="46DBC373" w14:textId="2152DB4A" w:rsidR="00A15990" w:rsidRDefault="00686A62">
      <w:pPr>
        <w:pStyle w:val="ListParagraph"/>
        <w:keepNext w:val="0"/>
        <w:numPr>
          <w:ilvl w:val="1"/>
          <w:numId w:val="74"/>
        </w:numPr>
        <w:spacing w:before="120" w:after="0" w:line="259" w:lineRule="auto"/>
        <w:rPr>
          <w:noProof/>
        </w:rPr>
      </w:pPr>
      <w:r>
        <w:rPr>
          <w:noProof/>
        </w:rPr>
        <w:t xml:space="preserve">Deschiderea școlilor agricole pentru potențialii elevi din învățământul secundar </w:t>
      </w:r>
    </w:p>
    <w:p w14:paraId="77E5F5D4" w14:textId="7CCB32EC" w:rsidR="00A15990" w:rsidRDefault="00686A62">
      <w:pPr>
        <w:pStyle w:val="ListParagraph"/>
        <w:keepNext w:val="0"/>
        <w:numPr>
          <w:ilvl w:val="1"/>
          <w:numId w:val="74"/>
        </w:numPr>
        <w:spacing w:before="120" w:after="0" w:line="259" w:lineRule="auto"/>
        <w:rPr>
          <w:noProof/>
        </w:rPr>
      </w:pPr>
      <w:r>
        <w:rPr>
          <w:noProof/>
        </w:rPr>
        <w:t xml:space="preserve">Sprijinirea recalificării profesioniștilor care lucrează deja în acest sector prin promovarea micro-certificatelor, a formării profesionale de scurtă durată în învățământul superior și a maeștrilor profesioniști. </w:t>
      </w:r>
    </w:p>
    <w:p w14:paraId="4C14CB2A" w14:textId="77777777" w:rsidR="00A15990" w:rsidRDefault="00686A62">
      <w:pPr>
        <w:pStyle w:val="ListParagraph"/>
        <w:keepNext w:val="0"/>
        <w:numPr>
          <w:ilvl w:val="0"/>
          <w:numId w:val="74"/>
        </w:numPr>
        <w:spacing w:before="120" w:after="0" w:line="259" w:lineRule="auto"/>
        <w:rPr>
          <w:noProof/>
        </w:rPr>
      </w:pPr>
      <w:r>
        <w:rPr>
          <w:noProof/>
        </w:rPr>
        <w:t xml:space="preserve">Modernizarea medicinei: submăsura sprijină formarea în medii digitale și simularea medicală care vizează studenții, precum și profesioniștii care lucrează în acest sector. </w:t>
      </w:r>
    </w:p>
    <w:p w14:paraId="54C2DB8E" w14:textId="4E548691" w:rsidR="00A15990" w:rsidRDefault="00686A62">
      <w:pPr>
        <w:pStyle w:val="ListParagraph"/>
        <w:keepNext w:val="0"/>
        <w:numPr>
          <w:ilvl w:val="0"/>
          <w:numId w:val="74"/>
        </w:numPr>
        <w:spacing w:before="120" w:after="0" w:line="259" w:lineRule="auto"/>
        <w:rPr>
          <w:noProof/>
        </w:rPr>
      </w:pPr>
      <w:r>
        <w:rPr>
          <w:noProof/>
        </w:rPr>
        <w:t xml:space="preserve">Consolidarea competențelor digitale: submăsura sprijină consolidarea competențelor digitale pentru tineri și adulți în alte domenii decât STIAM. </w:t>
      </w:r>
    </w:p>
    <w:p w14:paraId="526DB37F" w14:textId="29D44143" w:rsidR="00A15990" w:rsidRDefault="00686A62">
      <w:pPr>
        <w:pStyle w:val="ListParagraph"/>
        <w:keepNext w:val="0"/>
        <w:numPr>
          <w:ilvl w:val="0"/>
          <w:numId w:val="74"/>
        </w:numPr>
        <w:spacing w:before="120" w:after="0" w:line="259" w:lineRule="auto"/>
        <w:rPr>
          <w:noProof/>
        </w:rPr>
      </w:pPr>
      <w:r>
        <w:rPr>
          <w:noProof/>
        </w:rPr>
        <w:t>Inovarea și modernizarea pedagogică în învățământul superior, submăsura:</w:t>
      </w:r>
    </w:p>
    <w:p w14:paraId="558BF1F7" w14:textId="3E15E716" w:rsidR="00A15990" w:rsidRDefault="00686A62">
      <w:pPr>
        <w:pStyle w:val="ListParagraph"/>
        <w:keepNext w:val="0"/>
        <w:numPr>
          <w:ilvl w:val="1"/>
          <w:numId w:val="74"/>
        </w:numPr>
        <w:spacing w:before="120" w:after="0" w:line="259" w:lineRule="auto"/>
        <w:rPr>
          <w:noProof/>
        </w:rPr>
      </w:pPr>
      <w:r>
        <w:rPr>
          <w:noProof/>
        </w:rPr>
        <w:t xml:space="preserve"> să înființeze centre </w:t>
      </w:r>
      <w:bookmarkStart w:id="19" w:name="_Hlk143777429"/>
      <w:r>
        <w:rPr>
          <w:noProof/>
        </w:rPr>
        <w:t>de excelență pentru inovarea pedagogică cu o componentă digitală puternică, cu accent pe domeniile netehnologice (științe sociale, științe umaniste și arte)</w:t>
      </w:r>
      <w:bookmarkEnd w:id="19"/>
      <w:r>
        <w:rPr>
          <w:noProof/>
        </w:rPr>
        <w:t>;</w:t>
      </w:r>
    </w:p>
    <w:p w14:paraId="74CE80F8" w14:textId="4912FB98" w:rsidR="00A15990" w:rsidRDefault="00686A62">
      <w:pPr>
        <w:pStyle w:val="ListParagraph"/>
        <w:keepNext w:val="0"/>
        <w:numPr>
          <w:ilvl w:val="1"/>
          <w:numId w:val="74"/>
        </w:numPr>
        <w:spacing w:before="120" w:after="0" w:line="259" w:lineRule="auto"/>
        <w:rPr>
          <w:noProof/>
        </w:rPr>
      </w:pPr>
      <w:bookmarkStart w:id="20" w:name="_Hlk143777454"/>
      <w:r>
        <w:rPr>
          <w:noProof/>
        </w:rPr>
        <w:t>Consolidarea programelor de finanțare care vizează reducerea ratei abandonului școlar în învățământul superior</w:t>
      </w:r>
      <w:bookmarkEnd w:id="20"/>
      <w:r>
        <w:rPr>
          <w:noProof/>
        </w:rPr>
        <w:t>.</w:t>
      </w:r>
    </w:p>
    <w:p w14:paraId="3136AE0B" w14:textId="77777777" w:rsidR="00A15990" w:rsidRDefault="00686A62">
      <w:pPr>
        <w:pStyle w:val="P68B1DB1-Normal4"/>
        <w:spacing w:line="259" w:lineRule="auto"/>
        <w:jc w:val="both"/>
        <w:rPr>
          <w:rFonts w:cs="Times New Roman"/>
          <w:noProof/>
        </w:rPr>
      </w:pPr>
      <w:r>
        <w:rPr>
          <w:noProof/>
        </w:rPr>
        <w:t xml:space="preserve">Punerea în aplicare a investiției se va finaliza până la 30 iunie 2026. </w:t>
      </w:r>
    </w:p>
    <w:p w14:paraId="6E920860" w14:textId="1AD743FE" w:rsidR="00A15990" w:rsidRDefault="00686A62">
      <w:pPr>
        <w:pStyle w:val="P68B1DB1-Heading214"/>
        <w:rPr>
          <w:noProof/>
        </w:rPr>
      </w:pPr>
      <w:bookmarkStart w:id="21" w:name="_Toc137472454"/>
      <w:r>
        <w:rPr>
          <w:noProof/>
        </w:rPr>
        <w:t>Investiția RE-C06-i08-RAM: Extinderea clădirii CITMA</w:t>
      </w:r>
      <w:bookmarkEnd w:id="21"/>
    </w:p>
    <w:p w14:paraId="73584109" w14:textId="1A6D9427" w:rsidR="00A15990" w:rsidRDefault="00686A62">
      <w:pPr>
        <w:pStyle w:val="P68B1DB1-Normal4"/>
        <w:spacing w:after="0" w:line="259" w:lineRule="auto"/>
        <w:jc w:val="both"/>
        <w:rPr>
          <w:rFonts w:cs="Times New Roman"/>
          <w:noProof/>
        </w:rPr>
      </w:pPr>
      <w:r>
        <w:rPr>
          <w:noProof/>
        </w:rPr>
        <w:t>Obiectivul măsurii este de a garanta că clădirea Centrului Științific și Tehnic din Madeira (CITMA) este suficient de mare pentru a răspunde nevoilor actuale și viitoare ale Universității din Madeira (Uma), pentru a optimiza activitățile pedagogice și de cercetare ale Uma, cu accent pe infrastructura educației politehnice. Scopul său este de a permite stabilirea unor legături mai strânse între comunitatea academică și întreprinderi, făcând posibilă schimbul de experiență și de resurse.</w:t>
      </w:r>
    </w:p>
    <w:p w14:paraId="1BC3E158" w14:textId="54DD82ED" w:rsidR="00A15990" w:rsidRDefault="00686A62">
      <w:pPr>
        <w:pStyle w:val="P68B1DB1-Normal4"/>
        <w:spacing w:after="0" w:line="259" w:lineRule="auto"/>
        <w:jc w:val="both"/>
        <w:rPr>
          <w:rFonts w:cs="Times New Roman"/>
          <w:noProof/>
        </w:rPr>
      </w:pPr>
      <w:r>
        <w:rPr>
          <w:noProof/>
        </w:rPr>
        <w:t>Investiția constă în adăugarea a trei etaje la clădirea actuală și în extinderea parterului. Clădirea este adaptată la nevoile persoanelor cu mobilitate redusă. Unele zone din clădire trebuie să fie reglabile ca dimensiune.</w:t>
      </w:r>
    </w:p>
    <w:p w14:paraId="44A8B62C" w14:textId="4FCC316F" w:rsidR="00A15990" w:rsidRDefault="00686A62">
      <w:pPr>
        <w:pStyle w:val="P68B1DB1-Normal4"/>
        <w:spacing w:line="259" w:lineRule="auto"/>
        <w:jc w:val="both"/>
        <w:rPr>
          <w:rFonts w:cs="Times New Roman"/>
          <w:noProof/>
        </w:rPr>
      </w:pPr>
      <w:r>
        <w:rPr>
          <w:noProof/>
        </w:rPr>
        <w:t xml:space="preserve">Punerea în aplicare a investiției se va finaliza până la 30 iunie 2026. </w:t>
      </w:r>
    </w:p>
    <w:p w14:paraId="665517EB" w14:textId="77777777" w:rsidR="00A15990" w:rsidRDefault="00A15990">
      <w:pPr>
        <w:spacing w:before="40" w:after="0" w:line="259" w:lineRule="auto"/>
        <w:jc w:val="both"/>
        <w:rPr>
          <w:rFonts w:ascii="Times New Roman" w:eastAsiaTheme="minorEastAsia" w:hAnsi="Times New Roman" w:cs="Times New Roman"/>
          <w:noProof/>
          <w:sz w:val="24"/>
        </w:rPr>
      </w:pPr>
    </w:p>
    <w:p w14:paraId="6983890E" w14:textId="77777777" w:rsidR="00A15990" w:rsidRDefault="00A15990">
      <w:pPr>
        <w:spacing w:before="40" w:after="0" w:line="259" w:lineRule="auto"/>
        <w:jc w:val="both"/>
        <w:rPr>
          <w:rFonts w:ascii="Times New Roman" w:eastAsiaTheme="minorEastAsia" w:hAnsi="Times New Roman" w:cs="Times New Roman"/>
          <w:noProof/>
          <w:sz w:val="24"/>
        </w:rPr>
      </w:pPr>
    </w:p>
    <w:p w14:paraId="78B6531F" w14:textId="77777777"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120"/>
          <w:headerReference w:type="default" r:id="rId121"/>
          <w:footerReference w:type="even" r:id="rId122"/>
          <w:footerReference w:type="default" r:id="rId123"/>
          <w:headerReference w:type="first" r:id="rId124"/>
          <w:footerReference w:type="first" r:id="rId125"/>
          <w:pgSz w:w="11907" w:h="16839"/>
          <w:pgMar w:top="1134" w:right="1134" w:bottom="1134" w:left="1134" w:header="567" w:footer="567" w:gutter="0"/>
          <w:cols w:space="720"/>
          <w:docGrid w:linePitch="360"/>
        </w:sectPr>
      </w:pPr>
    </w:p>
    <w:p w14:paraId="059FBF21" w14:textId="77777777" w:rsidR="00A15990" w:rsidRDefault="00686A62">
      <w:pPr>
        <w:pStyle w:val="P68B1DB1-Normal3"/>
        <w:keepNext/>
        <w:spacing w:before="40" w:after="120" w:line="259" w:lineRule="auto"/>
        <w:ind w:left="130" w:firstLine="720"/>
        <w:jc w:val="both"/>
        <w:outlineLvl w:val="2"/>
        <w:rPr>
          <w:rFonts w:eastAsiaTheme="minorEastAsia" w:cs="Times New Roman"/>
          <w:noProof/>
        </w:rPr>
      </w:pPr>
      <w:r>
        <w:rPr>
          <w:noProof/>
        </w:rPr>
        <w:t>F.2. Obiective de etapă, ținte, indicatori și calendar pentru monitorizarea și punerea în aplicare a sprijinului financiar nerambursabil</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A15990" w14:paraId="2F27C62F" w14:textId="77777777">
        <w:trPr>
          <w:trHeight w:val="910"/>
          <w:tblHeader/>
        </w:trPr>
        <w:tc>
          <w:tcPr>
            <w:tcW w:w="1135" w:type="dxa"/>
            <w:vMerge w:val="restart"/>
            <w:shd w:val="clear" w:color="auto" w:fill="BDD6EE"/>
            <w:vAlign w:val="center"/>
            <w:hideMark/>
          </w:tcPr>
          <w:p w14:paraId="6D1630A3"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0754D7BA"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5CE4AD72" w14:textId="2303323E" w:rsidR="00A15990" w:rsidRDefault="00F32597">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vAlign w:val="center"/>
            <w:hideMark/>
          </w:tcPr>
          <w:p w14:paraId="4BDED511"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3EA0C12C"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835" w:type="dxa"/>
            <w:gridSpan w:val="3"/>
            <w:shd w:val="clear" w:color="auto" w:fill="BDD6EE"/>
            <w:vAlign w:val="center"/>
            <w:hideMark/>
          </w:tcPr>
          <w:p w14:paraId="381F8037"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2B867F8B"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395" w:type="dxa"/>
            <w:vMerge w:val="restart"/>
            <w:shd w:val="clear" w:color="auto" w:fill="BDD6EE"/>
            <w:noWrap/>
            <w:vAlign w:val="center"/>
            <w:hideMark/>
          </w:tcPr>
          <w:p w14:paraId="61D7CEDC"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186265A2" w14:textId="77777777">
        <w:trPr>
          <w:trHeight w:val="470"/>
          <w:tblHeader/>
        </w:trPr>
        <w:tc>
          <w:tcPr>
            <w:tcW w:w="1135" w:type="dxa"/>
            <w:vMerge/>
            <w:vAlign w:val="center"/>
            <w:hideMark/>
          </w:tcPr>
          <w:p w14:paraId="23EAC102"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7FFB2B96"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vAlign w:val="center"/>
            <w:hideMark/>
          </w:tcPr>
          <w:p w14:paraId="61C40CBB" w14:textId="05DF786C" w:rsidR="00A15990" w:rsidRDefault="00A15990">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392949DC"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0003544B"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1AC56CC8"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22EAFC97"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850" w:type="dxa"/>
            <w:shd w:val="clear" w:color="auto" w:fill="BDD6EE"/>
            <w:vAlign w:val="center"/>
            <w:hideMark/>
          </w:tcPr>
          <w:p w14:paraId="2BE8FC8B"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242D2DDD"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74452C72" w14:textId="77777777" w:rsidR="00A15990" w:rsidRDefault="00686A62">
            <w:pPr>
              <w:pStyle w:val="P68B1DB1-Normal6"/>
              <w:spacing w:after="0" w:line="240" w:lineRule="auto"/>
              <w:jc w:val="center"/>
              <w:rPr>
                <w:rFonts w:eastAsia="Times New Roman" w:cs="Times New Roman"/>
                <w:noProof/>
              </w:rPr>
            </w:pPr>
            <w:r>
              <w:rPr>
                <w:noProof/>
              </w:rPr>
              <w:t>Anul</w:t>
            </w:r>
          </w:p>
        </w:tc>
        <w:tc>
          <w:tcPr>
            <w:tcW w:w="4395" w:type="dxa"/>
            <w:vMerge/>
            <w:vAlign w:val="center"/>
            <w:hideMark/>
          </w:tcPr>
          <w:p w14:paraId="1CC6F99B" w14:textId="77777777" w:rsidR="00A15990" w:rsidRDefault="00A15990">
            <w:pPr>
              <w:spacing w:after="0" w:line="240" w:lineRule="auto"/>
              <w:rPr>
                <w:rFonts w:ascii="Times New Roman" w:eastAsia="Times New Roman" w:hAnsi="Times New Roman" w:cs="Times New Roman"/>
                <w:b/>
                <w:noProof/>
                <w:sz w:val="18"/>
              </w:rPr>
            </w:pPr>
          </w:p>
        </w:tc>
      </w:tr>
      <w:tr w:rsidR="00A15990" w14:paraId="79EA62E7" w14:textId="77777777">
        <w:trPr>
          <w:trHeight w:val="640"/>
        </w:trPr>
        <w:tc>
          <w:tcPr>
            <w:tcW w:w="1135" w:type="dxa"/>
            <w:shd w:val="clear" w:color="auto" w:fill="C5EFCE"/>
            <w:vAlign w:val="center"/>
            <w:hideMark/>
          </w:tcPr>
          <w:p w14:paraId="11E1C5C8" w14:textId="77777777" w:rsidR="00A15990" w:rsidRDefault="00686A62">
            <w:pPr>
              <w:pStyle w:val="P68B1DB1-Normal7"/>
              <w:spacing w:after="0" w:line="240" w:lineRule="auto"/>
              <w:jc w:val="center"/>
              <w:rPr>
                <w:rFonts w:eastAsia="Times New Roman" w:cs="Calibri"/>
                <w:noProof/>
              </w:rPr>
            </w:pPr>
            <w:r>
              <w:rPr>
                <w:noProof/>
              </w:rPr>
              <w:t>6.1</w:t>
            </w:r>
          </w:p>
        </w:tc>
        <w:tc>
          <w:tcPr>
            <w:tcW w:w="1276" w:type="dxa"/>
            <w:shd w:val="clear" w:color="auto" w:fill="C4EFCE"/>
            <w:noWrap/>
            <w:vAlign w:val="center"/>
            <w:hideMark/>
          </w:tcPr>
          <w:p w14:paraId="1D6D398A" w14:textId="77777777" w:rsidR="00A15990" w:rsidRDefault="00686A62">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0245193C"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E5CBD2" w14:textId="77777777" w:rsidR="00A15990" w:rsidRDefault="00686A62">
            <w:pPr>
              <w:pStyle w:val="P68B1DB1-Normal8"/>
              <w:spacing w:after="0" w:line="240" w:lineRule="auto"/>
              <w:jc w:val="center"/>
              <w:rPr>
                <w:rFonts w:eastAsia="Times New Roman" w:cs="Calibri"/>
                <w:noProof/>
              </w:rPr>
            </w:pPr>
            <w:r>
              <w:rPr>
                <w:noProof/>
              </w:rPr>
              <w:t>Centre tehnologice specializate renovate sau construite</w:t>
            </w:r>
          </w:p>
        </w:tc>
        <w:tc>
          <w:tcPr>
            <w:tcW w:w="1275" w:type="dxa"/>
            <w:shd w:val="clear" w:color="auto" w:fill="C4EFCE"/>
            <w:noWrap/>
            <w:vAlign w:val="center"/>
            <w:hideMark/>
          </w:tcPr>
          <w:p w14:paraId="1DC8F389"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1339ABF"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73C47244"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2609596" w14:textId="77777777" w:rsidR="00A15990" w:rsidRDefault="00686A62">
            <w:pPr>
              <w:pStyle w:val="P68B1DB1-Normal8"/>
              <w:spacing w:after="0" w:line="240" w:lineRule="auto"/>
              <w:jc w:val="center"/>
              <w:rPr>
                <w:rFonts w:eastAsia="Times New Roman" w:cs="Calibri"/>
                <w:noProof/>
              </w:rPr>
            </w:pPr>
            <w:r>
              <w:rPr>
                <w:noProof/>
              </w:rPr>
              <w:t>310</w:t>
            </w:r>
          </w:p>
        </w:tc>
        <w:tc>
          <w:tcPr>
            <w:tcW w:w="567" w:type="dxa"/>
            <w:shd w:val="clear" w:color="auto" w:fill="C4EFCE"/>
            <w:noWrap/>
            <w:vAlign w:val="center"/>
            <w:hideMark/>
          </w:tcPr>
          <w:p w14:paraId="5E577122"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5B9C16CB"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E2343BD" w14:textId="77777777" w:rsidR="00A15990" w:rsidRDefault="00686A62">
            <w:pPr>
              <w:pStyle w:val="P68B1DB1-Normal8"/>
              <w:spacing w:after="0" w:line="240" w:lineRule="auto"/>
              <w:jc w:val="both"/>
              <w:rPr>
                <w:rFonts w:eastAsia="Times New Roman" w:cs="Calibri"/>
                <w:noProof/>
              </w:rPr>
            </w:pPr>
            <w:r>
              <w:rPr>
                <w:noProof/>
              </w:rPr>
              <w:t xml:space="preserve">Numărul de centre tehnologice specializate renovate sau construite pentru cursuri profesionale în învățământul secundar, inclusiv echipamente de finanțare, infrastructură tehnologică și posibila recalificare a spațiilor și atelierelor în vederea adaptării la noi cursuri. </w:t>
            </w:r>
          </w:p>
        </w:tc>
      </w:tr>
      <w:tr w:rsidR="00A15990" w14:paraId="31C598A2" w14:textId="77777777">
        <w:trPr>
          <w:trHeight w:val="640"/>
        </w:trPr>
        <w:tc>
          <w:tcPr>
            <w:tcW w:w="1135" w:type="dxa"/>
            <w:shd w:val="clear" w:color="auto" w:fill="C5EFCE"/>
            <w:vAlign w:val="center"/>
            <w:hideMark/>
          </w:tcPr>
          <w:p w14:paraId="2FE12F6E" w14:textId="77777777" w:rsidR="00A15990" w:rsidRDefault="00686A62">
            <w:pPr>
              <w:pStyle w:val="P68B1DB1-Normal7"/>
              <w:spacing w:after="0" w:line="240" w:lineRule="auto"/>
              <w:jc w:val="center"/>
              <w:rPr>
                <w:rFonts w:eastAsia="Times New Roman" w:cs="Calibri"/>
                <w:noProof/>
              </w:rPr>
            </w:pPr>
            <w:r>
              <w:rPr>
                <w:noProof/>
              </w:rPr>
              <w:t>6.2</w:t>
            </w:r>
          </w:p>
        </w:tc>
        <w:tc>
          <w:tcPr>
            <w:tcW w:w="1276" w:type="dxa"/>
            <w:shd w:val="clear" w:color="auto" w:fill="C4EFCE"/>
            <w:noWrap/>
            <w:vAlign w:val="center"/>
            <w:hideMark/>
          </w:tcPr>
          <w:p w14:paraId="6CE55E02" w14:textId="77777777" w:rsidR="00A15990" w:rsidRDefault="00686A62">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65464C5"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EAA9EB9" w14:textId="77777777" w:rsidR="00A15990" w:rsidRDefault="00686A62">
            <w:pPr>
              <w:pStyle w:val="P68B1DB1-Normal8"/>
              <w:spacing w:after="0" w:line="240" w:lineRule="auto"/>
              <w:jc w:val="center"/>
              <w:rPr>
                <w:rFonts w:eastAsia="Times New Roman" w:cs="Calibri"/>
                <w:noProof/>
              </w:rPr>
            </w:pPr>
            <w:r>
              <w:rPr>
                <w:noProof/>
              </w:rPr>
              <w:t>Centre tehnologice specializate renovate sau construite</w:t>
            </w:r>
          </w:p>
        </w:tc>
        <w:tc>
          <w:tcPr>
            <w:tcW w:w="1275" w:type="dxa"/>
            <w:shd w:val="clear" w:color="auto" w:fill="C4EFCE"/>
            <w:noWrap/>
            <w:vAlign w:val="center"/>
            <w:hideMark/>
          </w:tcPr>
          <w:p w14:paraId="52981225"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D07B5"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3C1D84AB" w14:textId="77777777" w:rsidR="00A15990" w:rsidRDefault="00686A62">
            <w:pPr>
              <w:pStyle w:val="P68B1DB1-Normal8"/>
              <w:spacing w:after="0" w:line="240" w:lineRule="auto"/>
              <w:jc w:val="center"/>
              <w:rPr>
                <w:rFonts w:eastAsia="Times New Roman" w:cs="Calibri"/>
                <w:noProof/>
              </w:rPr>
            </w:pPr>
            <w:r>
              <w:rPr>
                <w:noProof/>
              </w:rPr>
              <w:t>310</w:t>
            </w:r>
          </w:p>
        </w:tc>
        <w:tc>
          <w:tcPr>
            <w:tcW w:w="850" w:type="dxa"/>
            <w:shd w:val="clear" w:color="auto" w:fill="C4EFCE"/>
            <w:noWrap/>
            <w:vAlign w:val="center"/>
            <w:hideMark/>
          </w:tcPr>
          <w:p w14:paraId="53776CC3" w14:textId="77777777" w:rsidR="00A15990" w:rsidRDefault="00686A62">
            <w:pPr>
              <w:pStyle w:val="P68B1DB1-Normal8"/>
              <w:spacing w:after="0" w:line="240" w:lineRule="auto"/>
              <w:jc w:val="center"/>
              <w:rPr>
                <w:rFonts w:eastAsia="Times New Roman" w:cs="Calibri"/>
                <w:noProof/>
              </w:rPr>
            </w:pPr>
            <w:r>
              <w:rPr>
                <w:noProof/>
              </w:rPr>
              <w:t>365</w:t>
            </w:r>
          </w:p>
        </w:tc>
        <w:tc>
          <w:tcPr>
            <w:tcW w:w="567" w:type="dxa"/>
            <w:shd w:val="clear" w:color="auto" w:fill="C4EFCE"/>
            <w:noWrap/>
            <w:vAlign w:val="center"/>
            <w:hideMark/>
          </w:tcPr>
          <w:p w14:paraId="27944A1C"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EEBE2C5"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A678E29" w14:textId="77777777" w:rsidR="00A15990" w:rsidRDefault="00686A62">
            <w:pPr>
              <w:pStyle w:val="P68B1DB1-Normal8"/>
              <w:spacing w:after="0" w:line="240" w:lineRule="auto"/>
              <w:jc w:val="both"/>
              <w:rPr>
                <w:rFonts w:eastAsia="Times New Roman" w:cs="Calibri"/>
                <w:noProof/>
              </w:rPr>
            </w:pPr>
            <w:r>
              <w:rPr>
                <w:noProof/>
              </w:rPr>
              <w:t>Numărul de centre tehnologice specializate renovate sau construite pentru cursuri profesionale în învățământul secundar, inclusiv echipamente de finanțare, infrastructură tehnologică și posibila recalificare a spațiilor și atelierelor în vederea adaptării la noi cursuri</w:t>
            </w:r>
          </w:p>
        </w:tc>
      </w:tr>
      <w:tr w:rsidR="00A15990" w14:paraId="3E90A23F" w14:textId="77777777">
        <w:trPr>
          <w:trHeight w:val="1270"/>
        </w:trPr>
        <w:tc>
          <w:tcPr>
            <w:tcW w:w="1135" w:type="dxa"/>
            <w:shd w:val="clear" w:color="auto" w:fill="C5EFCE"/>
            <w:vAlign w:val="center"/>
            <w:hideMark/>
          </w:tcPr>
          <w:p w14:paraId="047D3B3F" w14:textId="77777777" w:rsidR="00A15990" w:rsidRDefault="00686A62">
            <w:pPr>
              <w:pStyle w:val="P68B1DB1-Normal7"/>
              <w:spacing w:after="0" w:line="240" w:lineRule="auto"/>
              <w:jc w:val="center"/>
              <w:rPr>
                <w:rFonts w:eastAsia="Times New Roman" w:cs="Calibri"/>
                <w:noProof/>
              </w:rPr>
            </w:pPr>
            <w:r>
              <w:rPr>
                <w:noProof/>
              </w:rPr>
              <w:t>6.3</w:t>
            </w:r>
          </w:p>
        </w:tc>
        <w:tc>
          <w:tcPr>
            <w:tcW w:w="1276" w:type="dxa"/>
            <w:shd w:val="clear" w:color="auto" w:fill="C4EFCE"/>
            <w:noWrap/>
            <w:vAlign w:val="center"/>
            <w:hideMark/>
          </w:tcPr>
          <w:p w14:paraId="5356A2CC" w14:textId="77777777" w:rsidR="00A15990" w:rsidRDefault="00686A62">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3DB04DD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FA61F5F" w14:textId="77777777" w:rsidR="00A15990" w:rsidRDefault="00686A62">
            <w:pPr>
              <w:pStyle w:val="P68B1DB1-Normal8"/>
              <w:spacing w:after="0" w:line="240" w:lineRule="auto"/>
              <w:jc w:val="center"/>
              <w:rPr>
                <w:rFonts w:eastAsia="Times New Roman" w:cs="Calibri"/>
                <w:noProof/>
              </w:rPr>
            </w:pPr>
            <w:r>
              <w:rPr>
                <w:noProof/>
              </w:rPr>
              <w:t xml:space="preserve">Stații de formare modernizate </w:t>
            </w:r>
          </w:p>
        </w:tc>
        <w:tc>
          <w:tcPr>
            <w:tcW w:w="1275" w:type="dxa"/>
            <w:shd w:val="clear" w:color="auto" w:fill="C4EFCE"/>
            <w:noWrap/>
            <w:vAlign w:val="center"/>
            <w:hideMark/>
          </w:tcPr>
          <w:p w14:paraId="130E4E31"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6DA56A3"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213A84D5"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5D069C25" w14:textId="373C2310" w:rsidR="00A15990" w:rsidRDefault="00686A62">
            <w:pPr>
              <w:pStyle w:val="P68B1DB1-Normal8"/>
              <w:spacing w:after="0" w:line="240" w:lineRule="auto"/>
              <w:jc w:val="center"/>
              <w:rPr>
                <w:rFonts w:eastAsia="Times New Roman" w:cs="Calibri"/>
                <w:noProof/>
              </w:rPr>
            </w:pPr>
            <w:r>
              <w:rPr>
                <w:noProof/>
              </w:rPr>
              <w:t>11 500</w:t>
            </w:r>
          </w:p>
        </w:tc>
        <w:tc>
          <w:tcPr>
            <w:tcW w:w="567" w:type="dxa"/>
            <w:shd w:val="clear" w:color="auto" w:fill="C4EFCE"/>
            <w:noWrap/>
            <w:vAlign w:val="center"/>
            <w:hideMark/>
          </w:tcPr>
          <w:p w14:paraId="61A11D31"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CE9D443" w14:textId="77777777" w:rsidR="00A15990" w:rsidRDefault="00686A62">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31810B06" w14:textId="42B3EDCA" w:rsidR="00A15990" w:rsidRDefault="00686A62">
            <w:pPr>
              <w:pStyle w:val="P68B1DB1-Normal8"/>
              <w:spacing w:after="0" w:line="240" w:lineRule="auto"/>
              <w:jc w:val="both"/>
              <w:rPr>
                <w:rFonts w:eastAsia="Times New Roman" w:cs="Calibri"/>
                <w:noProof/>
              </w:rPr>
            </w:pPr>
            <w:r>
              <w:rPr>
                <w:noProof/>
              </w:rPr>
              <w:t>Numărul de stații de formare profesională din cadrul rețelei serviciului public de ocupare a forței de muncă (IEFP) și al rețelei de școli a Autorității Naționale pentru Turism (Turismo de Portugal) (fie gestionate direct, fie prin concesiune) care au fost renovate sau construite. Aceasta include renovarea și construcția de clădiri noi, precum și achiziționarea de diferite tipuri de echipamente în scopuri de formare. 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4AB7F922" w14:textId="77777777">
        <w:trPr>
          <w:trHeight w:val="1270"/>
        </w:trPr>
        <w:tc>
          <w:tcPr>
            <w:tcW w:w="1135" w:type="dxa"/>
            <w:shd w:val="clear" w:color="auto" w:fill="C5EFCE"/>
            <w:vAlign w:val="center"/>
            <w:hideMark/>
          </w:tcPr>
          <w:p w14:paraId="4DAD2626" w14:textId="77777777" w:rsidR="00A15990" w:rsidRDefault="00686A62">
            <w:pPr>
              <w:pStyle w:val="P68B1DB1-Normal7"/>
              <w:spacing w:after="0" w:line="240" w:lineRule="auto"/>
              <w:jc w:val="center"/>
              <w:rPr>
                <w:rFonts w:eastAsia="Times New Roman" w:cs="Calibri"/>
                <w:noProof/>
              </w:rPr>
            </w:pPr>
            <w:r>
              <w:rPr>
                <w:noProof/>
              </w:rPr>
              <w:t>6.4</w:t>
            </w:r>
          </w:p>
        </w:tc>
        <w:tc>
          <w:tcPr>
            <w:tcW w:w="1276" w:type="dxa"/>
            <w:shd w:val="clear" w:color="auto" w:fill="C4EFCE"/>
            <w:noWrap/>
            <w:vAlign w:val="center"/>
            <w:hideMark/>
          </w:tcPr>
          <w:p w14:paraId="069D62CA" w14:textId="77777777" w:rsidR="00A15990" w:rsidRDefault="00686A62">
            <w:pPr>
              <w:pStyle w:val="P68B1DB1-Normal8"/>
              <w:spacing w:after="0" w:line="240" w:lineRule="auto"/>
              <w:jc w:val="center"/>
              <w:rPr>
                <w:rFonts w:eastAsia="Times New Roman" w:cs="Calibri"/>
                <w:noProof/>
              </w:rPr>
            </w:pPr>
            <w:r>
              <w:rPr>
                <w:noProof/>
              </w:rPr>
              <w:t>RE-C06-i01</w:t>
            </w:r>
          </w:p>
        </w:tc>
        <w:tc>
          <w:tcPr>
            <w:tcW w:w="1134" w:type="dxa"/>
            <w:shd w:val="clear" w:color="auto" w:fill="C4EFCE"/>
            <w:noWrap/>
            <w:vAlign w:val="center"/>
            <w:hideMark/>
          </w:tcPr>
          <w:p w14:paraId="5EE390D5"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B383716" w14:textId="77777777" w:rsidR="00A15990" w:rsidRDefault="00686A62">
            <w:pPr>
              <w:pStyle w:val="P68B1DB1-Normal8"/>
              <w:spacing w:after="0" w:line="240" w:lineRule="auto"/>
              <w:jc w:val="center"/>
              <w:rPr>
                <w:rFonts w:eastAsia="Times New Roman" w:cs="Calibri"/>
                <w:noProof/>
              </w:rPr>
            </w:pPr>
            <w:r>
              <w:rPr>
                <w:noProof/>
              </w:rPr>
              <w:t xml:space="preserve">Stații de formare modernizate </w:t>
            </w:r>
          </w:p>
        </w:tc>
        <w:tc>
          <w:tcPr>
            <w:tcW w:w="1275" w:type="dxa"/>
            <w:shd w:val="clear" w:color="auto" w:fill="C4EFCE"/>
            <w:noWrap/>
            <w:vAlign w:val="center"/>
            <w:hideMark/>
          </w:tcPr>
          <w:p w14:paraId="16A61C90"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DA2846B"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5EBF0158" w14:textId="6B2FB681" w:rsidR="00A15990" w:rsidRDefault="00686A62">
            <w:pPr>
              <w:pStyle w:val="P68B1DB1-Normal8"/>
              <w:spacing w:after="0" w:line="240" w:lineRule="auto"/>
              <w:jc w:val="center"/>
              <w:rPr>
                <w:rFonts w:eastAsia="Times New Roman" w:cs="Calibri"/>
                <w:noProof/>
              </w:rPr>
            </w:pPr>
            <w:r>
              <w:rPr>
                <w:noProof/>
              </w:rPr>
              <w:t>11 500</w:t>
            </w:r>
          </w:p>
        </w:tc>
        <w:tc>
          <w:tcPr>
            <w:tcW w:w="850" w:type="dxa"/>
            <w:shd w:val="clear" w:color="auto" w:fill="C4EFCE"/>
            <w:noWrap/>
            <w:vAlign w:val="center"/>
            <w:hideMark/>
          </w:tcPr>
          <w:p w14:paraId="60A36C33" w14:textId="77777777" w:rsidR="00A15990" w:rsidRDefault="00686A62">
            <w:pPr>
              <w:pStyle w:val="P68B1DB1-Normal8"/>
              <w:spacing w:after="0" w:line="240" w:lineRule="auto"/>
              <w:jc w:val="center"/>
              <w:rPr>
                <w:rFonts w:eastAsia="Times New Roman" w:cs="Calibri"/>
                <w:noProof/>
              </w:rPr>
            </w:pPr>
            <w:r>
              <w:rPr>
                <w:noProof/>
              </w:rPr>
              <w:t>22 000</w:t>
            </w:r>
          </w:p>
        </w:tc>
        <w:tc>
          <w:tcPr>
            <w:tcW w:w="567" w:type="dxa"/>
            <w:shd w:val="clear" w:color="auto" w:fill="C4EFCE"/>
            <w:noWrap/>
            <w:vAlign w:val="center"/>
            <w:hideMark/>
          </w:tcPr>
          <w:p w14:paraId="787ADB8E"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1C45E088"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C38451" w14:textId="3C4E7288" w:rsidR="00A15990" w:rsidRDefault="00686A62">
            <w:pPr>
              <w:pStyle w:val="P68B1DB1-Normal8"/>
              <w:spacing w:after="0" w:line="240" w:lineRule="auto"/>
              <w:jc w:val="both"/>
              <w:rPr>
                <w:rFonts w:eastAsia="Times New Roman" w:cs="Calibri"/>
                <w:noProof/>
              </w:rPr>
            </w:pPr>
            <w:r>
              <w:rPr>
                <w:noProof/>
              </w:rPr>
              <w:t>Numărul de stații de formare profesională din rețeaua serviciului public de ocupare a forței de muncă (IEFP) și rețeaua de școli a Autorității Naționale pentru Turism (Turismo de Portugal) (fie gestionate direct, fie prin concesiune) au fost renovate sau construite. Aceasta include renovarea și construcția de clădiri noi, precum și achiziționarea de diferite tipuri de echipamente în scopuri de formare. 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6C12491B" w14:textId="77777777">
        <w:trPr>
          <w:trHeight w:val="430"/>
        </w:trPr>
        <w:tc>
          <w:tcPr>
            <w:tcW w:w="1135" w:type="dxa"/>
            <w:shd w:val="clear" w:color="auto" w:fill="C5EFCE"/>
            <w:vAlign w:val="center"/>
            <w:hideMark/>
          </w:tcPr>
          <w:p w14:paraId="0EDD61CD" w14:textId="77777777" w:rsidR="00A15990" w:rsidRDefault="00686A62">
            <w:pPr>
              <w:pStyle w:val="P68B1DB1-Normal7"/>
              <w:spacing w:after="0" w:line="240" w:lineRule="auto"/>
              <w:jc w:val="center"/>
              <w:rPr>
                <w:rFonts w:eastAsia="Times New Roman" w:cs="Calibri"/>
                <w:noProof/>
              </w:rPr>
            </w:pPr>
            <w:r>
              <w:rPr>
                <w:noProof/>
              </w:rPr>
              <w:t>6.5</w:t>
            </w:r>
          </w:p>
        </w:tc>
        <w:tc>
          <w:tcPr>
            <w:tcW w:w="1276" w:type="dxa"/>
            <w:shd w:val="clear" w:color="auto" w:fill="C4EFCE"/>
            <w:noWrap/>
            <w:vAlign w:val="center"/>
            <w:hideMark/>
          </w:tcPr>
          <w:p w14:paraId="5DFD9DC8" w14:textId="77777777" w:rsidR="00A15990" w:rsidRDefault="00686A62">
            <w:pPr>
              <w:pStyle w:val="P68B1DB1-Normal8"/>
              <w:spacing w:after="0" w:line="240" w:lineRule="auto"/>
              <w:jc w:val="center"/>
              <w:rPr>
                <w:rFonts w:eastAsia="Times New Roman" w:cs="Calibri"/>
                <w:noProof/>
              </w:rPr>
            </w:pPr>
            <w:r>
              <w:rPr>
                <w:noProof/>
              </w:rPr>
              <w:t>RE-C06-i02</w:t>
            </w:r>
          </w:p>
        </w:tc>
        <w:tc>
          <w:tcPr>
            <w:tcW w:w="1134" w:type="dxa"/>
            <w:shd w:val="clear" w:color="auto" w:fill="C4EFCE"/>
            <w:noWrap/>
            <w:vAlign w:val="center"/>
            <w:hideMark/>
          </w:tcPr>
          <w:p w14:paraId="659AF737"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0AF8F6" w14:textId="77777777" w:rsidR="00A15990" w:rsidRDefault="00686A62">
            <w:pPr>
              <w:pStyle w:val="P68B1DB1-Normal8"/>
              <w:spacing w:after="0" w:line="240" w:lineRule="auto"/>
              <w:jc w:val="center"/>
              <w:rPr>
                <w:rFonts w:eastAsia="Times New Roman" w:cs="Calibri"/>
                <w:noProof/>
              </w:rPr>
            </w:pPr>
            <w:r>
              <w:rPr>
                <w:noProof/>
              </w:rPr>
              <w:t xml:space="preserve">Sprijin financiar pentru contractele permanente </w:t>
            </w:r>
          </w:p>
        </w:tc>
        <w:tc>
          <w:tcPr>
            <w:tcW w:w="1275" w:type="dxa"/>
            <w:shd w:val="clear" w:color="auto" w:fill="C4EFCE"/>
            <w:noWrap/>
            <w:vAlign w:val="center"/>
            <w:hideMark/>
          </w:tcPr>
          <w:p w14:paraId="10FDB223"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A7A81A"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0DE8E0EA"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3A09210A" w14:textId="77777777" w:rsidR="00A15990" w:rsidRDefault="00686A62">
            <w:pPr>
              <w:pStyle w:val="P68B1DB1-Normal8"/>
              <w:spacing w:after="0" w:line="240" w:lineRule="auto"/>
              <w:jc w:val="center"/>
              <w:rPr>
                <w:rFonts w:eastAsia="Times New Roman" w:cs="Calibri"/>
                <w:noProof/>
              </w:rPr>
            </w:pPr>
            <w:r>
              <w:rPr>
                <w:noProof/>
              </w:rPr>
              <w:t>30 000</w:t>
            </w:r>
          </w:p>
        </w:tc>
        <w:tc>
          <w:tcPr>
            <w:tcW w:w="567" w:type="dxa"/>
            <w:shd w:val="clear" w:color="auto" w:fill="C4EFCE"/>
            <w:noWrap/>
            <w:vAlign w:val="center"/>
            <w:hideMark/>
          </w:tcPr>
          <w:p w14:paraId="0B4540AC"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ACEB742" w14:textId="288C9D01" w:rsidR="00A15990" w:rsidRDefault="00686A62">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675968B1" w14:textId="77777777" w:rsidR="00A15990" w:rsidRDefault="00686A62">
            <w:pPr>
              <w:pStyle w:val="P68B1DB1-Normal8"/>
              <w:spacing w:after="0" w:line="240" w:lineRule="auto"/>
              <w:jc w:val="both"/>
              <w:rPr>
                <w:rFonts w:eastAsia="Times New Roman" w:cs="Calibri"/>
                <w:noProof/>
              </w:rPr>
            </w:pPr>
            <w:r>
              <w:rPr>
                <w:noProof/>
              </w:rPr>
              <w:t>Numărul de contracte sprijinite prin sprijin financiar acordat angajatorilor în schimbul oferirii de contracte pe durată nedeterminată care plătesc salarii adecvate pe piața forței de muncă în temeiul măsurii referitoare la angajamentul privind ocuparea durabilă a forței de muncă.</w:t>
            </w:r>
          </w:p>
        </w:tc>
      </w:tr>
      <w:tr w:rsidR="00A15990" w14:paraId="61E0EF86" w14:textId="77777777">
        <w:trPr>
          <w:trHeight w:val="1060"/>
        </w:trPr>
        <w:tc>
          <w:tcPr>
            <w:tcW w:w="1135" w:type="dxa"/>
            <w:shd w:val="clear" w:color="auto" w:fill="C5EFCE"/>
            <w:vAlign w:val="center"/>
            <w:hideMark/>
          </w:tcPr>
          <w:p w14:paraId="148B85D9" w14:textId="77777777" w:rsidR="00A15990" w:rsidRDefault="00686A62">
            <w:pPr>
              <w:pStyle w:val="P68B1DB1-Normal7"/>
              <w:spacing w:after="0" w:line="240" w:lineRule="auto"/>
              <w:jc w:val="center"/>
              <w:rPr>
                <w:rFonts w:eastAsia="Times New Roman" w:cs="Calibri"/>
                <w:noProof/>
              </w:rPr>
            </w:pPr>
            <w:r>
              <w:rPr>
                <w:noProof/>
              </w:rPr>
              <w:t>6.6</w:t>
            </w:r>
          </w:p>
        </w:tc>
        <w:tc>
          <w:tcPr>
            <w:tcW w:w="1276" w:type="dxa"/>
            <w:shd w:val="clear" w:color="auto" w:fill="C4EFCE"/>
            <w:noWrap/>
            <w:vAlign w:val="center"/>
            <w:hideMark/>
          </w:tcPr>
          <w:p w14:paraId="479AA52E" w14:textId="77777777" w:rsidR="00A15990" w:rsidRDefault="00686A62">
            <w:pPr>
              <w:pStyle w:val="P68B1DB1-Normal8"/>
              <w:spacing w:after="0" w:line="240" w:lineRule="auto"/>
              <w:jc w:val="center"/>
              <w:rPr>
                <w:rFonts w:eastAsia="Times New Roman" w:cs="Calibri"/>
                <w:noProof/>
              </w:rPr>
            </w:pPr>
            <w:r>
              <w:rPr>
                <w:noProof/>
              </w:rPr>
              <w:t>RE-C06-i03</w:t>
            </w:r>
          </w:p>
        </w:tc>
        <w:tc>
          <w:tcPr>
            <w:tcW w:w="1134" w:type="dxa"/>
            <w:shd w:val="clear" w:color="auto" w:fill="C4EFCE"/>
            <w:noWrap/>
            <w:vAlign w:val="center"/>
            <w:hideMark/>
          </w:tcPr>
          <w:p w14:paraId="12BFBD44"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0CC8E3A" w14:textId="77777777" w:rsidR="00A15990" w:rsidRDefault="00686A62">
            <w:pPr>
              <w:pStyle w:val="P68B1DB1-Normal8"/>
              <w:spacing w:after="0" w:line="240" w:lineRule="auto"/>
              <w:jc w:val="center"/>
              <w:rPr>
                <w:rFonts w:eastAsia="Times New Roman" w:cs="Calibri"/>
                <w:noProof/>
              </w:rPr>
            </w:pPr>
            <w:r>
              <w:rPr>
                <w:noProof/>
              </w:rPr>
              <w:t>Participanți suplimentari la măsurile de sprijinire a perfecționării competențelor adulților</w:t>
            </w:r>
          </w:p>
        </w:tc>
        <w:tc>
          <w:tcPr>
            <w:tcW w:w="1275" w:type="dxa"/>
            <w:shd w:val="clear" w:color="auto" w:fill="C4EFCE"/>
            <w:noWrap/>
            <w:vAlign w:val="center"/>
            <w:hideMark/>
          </w:tcPr>
          <w:p w14:paraId="22792D93"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DD62676"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3B8E5057" w14:textId="77777777" w:rsidR="00A15990" w:rsidRDefault="00686A62">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5DACDA6B" w14:textId="25014E5E" w:rsidR="00A15990" w:rsidRDefault="00686A62">
            <w:pPr>
              <w:pStyle w:val="P68B1DB1-Normal8"/>
              <w:spacing w:after="0" w:line="240" w:lineRule="auto"/>
              <w:jc w:val="center"/>
              <w:rPr>
                <w:rFonts w:eastAsia="Times New Roman" w:cs="Calibri"/>
                <w:noProof/>
              </w:rPr>
            </w:pPr>
            <w:r>
              <w:rPr>
                <w:noProof/>
              </w:rPr>
              <w:t>145 500</w:t>
            </w:r>
          </w:p>
        </w:tc>
        <w:tc>
          <w:tcPr>
            <w:tcW w:w="567" w:type="dxa"/>
            <w:shd w:val="clear" w:color="auto" w:fill="C4EFCE"/>
            <w:noWrap/>
            <w:vAlign w:val="center"/>
            <w:hideMark/>
          </w:tcPr>
          <w:p w14:paraId="4B441948"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0E8AB3E7"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A246919" w14:textId="27E7058B" w:rsidR="00A15990" w:rsidRDefault="00686A62">
            <w:pPr>
              <w:pStyle w:val="P68B1DB1-Normal8"/>
              <w:spacing w:after="0" w:line="240" w:lineRule="auto"/>
              <w:jc w:val="both"/>
              <w:rPr>
                <w:rFonts w:eastAsia="Times New Roman" w:cs="Calibri"/>
                <w:noProof/>
              </w:rPr>
            </w:pPr>
            <w:r>
              <w:rPr>
                <w:noProof/>
              </w:rPr>
              <w:t>Numărul suplimentar de participanți adulți (peste 18) care au participat la unul dintre următoarele cursuri: I) cursuri de educație și formare de bază pentru adulții de nivelul B1/B2/B3, organizate prin proiecte locale care beneficiază de extinderea Planului național de alfabetizare a adulților; II) parcursuri de formare pentru recunoașterea, validarea și certificarea competențelor pentru adulții slab calificați (RVCC); și iii) cursuri de învățământ terțiar de scurtă durată organizate de consorții de instituții de învățământ superior și angajatori.</w:t>
            </w:r>
          </w:p>
        </w:tc>
      </w:tr>
      <w:tr w:rsidR="00A15990" w14:paraId="4D402638" w14:textId="77777777">
        <w:trPr>
          <w:trHeight w:val="640"/>
        </w:trPr>
        <w:tc>
          <w:tcPr>
            <w:tcW w:w="1135" w:type="dxa"/>
            <w:shd w:val="clear" w:color="auto" w:fill="C5EFCE"/>
            <w:vAlign w:val="center"/>
            <w:hideMark/>
          </w:tcPr>
          <w:p w14:paraId="0D51C2DF" w14:textId="77777777" w:rsidR="00A15990" w:rsidRDefault="00686A62">
            <w:pPr>
              <w:pStyle w:val="P68B1DB1-Normal7"/>
              <w:spacing w:after="0" w:line="240" w:lineRule="auto"/>
              <w:jc w:val="center"/>
              <w:rPr>
                <w:rFonts w:eastAsia="Times New Roman" w:cs="Calibri"/>
                <w:noProof/>
              </w:rPr>
            </w:pPr>
            <w:r>
              <w:rPr>
                <w:noProof/>
              </w:rPr>
              <w:t>6.7</w:t>
            </w:r>
          </w:p>
        </w:tc>
        <w:tc>
          <w:tcPr>
            <w:tcW w:w="1276" w:type="dxa"/>
            <w:shd w:val="clear" w:color="auto" w:fill="C4EFCE"/>
            <w:noWrap/>
            <w:vAlign w:val="center"/>
            <w:hideMark/>
          </w:tcPr>
          <w:p w14:paraId="14AD9AAA" w14:textId="77777777" w:rsidR="00A15990" w:rsidRDefault="00686A62">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63132154"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FF28ED8" w14:textId="77777777" w:rsidR="00A15990" w:rsidRDefault="00686A62">
            <w:pPr>
              <w:pStyle w:val="P68B1DB1-Normal8"/>
              <w:spacing w:after="0" w:line="240" w:lineRule="auto"/>
              <w:jc w:val="center"/>
              <w:rPr>
                <w:rFonts w:eastAsia="Times New Roman" w:cs="Calibri"/>
                <w:noProof/>
              </w:rPr>
            </w:pPr>
            <w:r>
              <w:rPr>
                <w:noProof/>
              </w:rPr>
              <w:t xml:space="preserve">Cluburi suplimentare din </w:t>
            </w:r>
            <w:r>
              <w:rPr>
                <w:i/>
                <w:noProof/>
              </w:rPr>
              <w:t>Ciência Viva</w:t>
            </w:r>
          </w:p>
        </w:tc>
        <w:tc>
          <w:tcPr>
            <w:tcW w:w="1275" w:type="dxa"/>
            <w:shd w:val="clear" w:color="auto" w:fill="C4EFCE"/>
            <w:noWrap/>
            <w:vAlign w:val="center"/>
            <w:hideMark/>
          </w:tcPr>
          <w:p w14:paraId="475EF3EC"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0C07D87"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139C60E3"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13DAAD2" w14:textId="77777777" w:rsidR="00A15990" w:rsidRDefault="00686A62">
            <w:pPr>
              <w:pStyle w:val="P68B1DB1-Normal8"/>
              <w:spacing w:after="0" w:line="240" w:lineRule="auto"/>
              <w:jc w:val="center"/>
              <w:rPr>
                <w:rFonts w:eastAsia="Times New Roman" w:cs="Calibri"/>
                <w:noProof/>
              </w:rPr>
            </w:pPr>
            <w:r>
              <w:rPr>
                <w:noProof/>
              </w:rPr>
              <w:t>650</w:t>
            </w:r>
          </w:p>
        </w:tc>
        <w:tc>
          <w:tcPr>
            <w:tcW w:w="567" w:type="dxa"/>
            <w:shd w:val="clear" w:color="auto" w:fill="C4EFCE"/>
            <w:noWrap/>
            <w:vAlign w:val="center"/>
            <w:hideMark/>
          </w:tcPr>
          <w:p w14:paraId="65CF29A1"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577D02B1"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71DD2E25" w14:textId="77777777" w:rsidR="00A15990" w:rsidRDefault="00686A62">
            <w:pPr>
              <w:pStyle w:val="P68B1DB1-Normal8"/>
              <w:spacing w:after="0" w:line="240" w:lineRule="auto"/>
              <w:jc w:val="both"/>
              <w:rPr>
                <w:rFonts w:eastAsia="Times New Roman" w:cs="Calibri"/>
                <w:noProof/>
              </w:rPr>
            </w:pPr>
            <w:r>
              <w:rPr>
                <w:noProof/>
              </w:rPr>
              <w:t xml:space="preserve">Numărul de cluburi noi adăugate rețelei de cluburi </w:t>
            </w:r>
            <w:r>
              <w:rPr>
                <w:i/>
                <w:noProof/>
              </w:rPr>
              <w:t>Ciência Viva</w:t>
            </w:r>
            <w:r>
              <w:rPr>
                <w:noProof/>
              </w:rPr>
              <w:t>, axate pe domeniile STIAM, care vizează răspândirea valorilor științifice în rețeaua de licee, printre altele, prin parteneriate cu universități și centre de cercetare, precum și prin organizarea de seminarii și ateliere.</w:t>
            </w:r>
          </w:p>
        </w:tc>
      </w:tr>
      <w:tr w:rsidR="00A15990" w14:paraId="49C0C904" w14:textId="77777777">
        <w:trPr>
          <w:trHeight w:val="430"/>
        </w:trPr>
        <w:tc>
          <w:tcPr>
            <w:tcW w:w="1135" w:type="dxa"/>
            <w:shd w:val="clear" w:color="auto" w:fill="C5EFCE"/>
            <w:vAlign w:val="center"/>
            <w:hideMark/>
          </w:tcPr>
          <w:p w14:paraId="31071806" w14:textId="77777777" w:rsidR="00A15990" w:rsidRDefault="00686A62">
            <w:pPr>
              <w:pStyle w:val="P68B1DB1-Normal7"/>
              <w:spacing w:after="0" w:line="240" w:lineRule="auto"/>
              <w:jc w:val="center"/>
              <w:rPr>
                <w:rFonts w:eastAsia="Times New Roman" w:cs="Calibri"/>
                <w:noProof/>
              </w:rPr>
            </w:pPr>
            <w:r>
              <w:rPr>
                <w:noProof/>
              </w:rPr>
              <w:t>6.8</w:t>
            </w:r>
          </w:p>
        </w:tc>
        <w:tc>
          <w:tcPr>
            <w:tcW w:w="1276" w:type="dxa"/>
            <w:shd w:val="clear" w:color="auto" w:fill="C4EFCE"/>
            <w:noWrap/>
            <w:vAlign w:val="center"/>
            <w:hideMark/>
          </w:tcPr>
          <w:p w14:paraId="7831644F" w14:textId="77777777" w:rsidR="00A15990" w:rsidRDefault="00686A62">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19E22B8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4ABB0A2" w14:textId="77777777" w:rsidR="00A15990" w:rsidRDefault="00686A62">
            <w:pPr>
              <w:pStyle w:val="P68B1DB1-Normal8"/>
              <w:spacing w:after="0" w:line="240" w:lineRule="auto"/>
              <w:jc w:val="center"/>
              <w:rPr>
                <w:rFonts w:eastAsia="Times New Roman" w:cs="Calibri"/>
                <w:noProof/>
              </w:rPr>
            </w:pPr>
            <w:r>
              <w:rPr>
                <w:noProof/>
              </w:rPr>
              <w:t>Număr suplimentar de studenți absolvenți ai unor cursuri de învățământ terțiar în domenii STIAM</w:t>
            </w:r>
          </w:p>
        </w:tc>
        <w:tc>
          <w:tcPr>
            <w:tcW w:w="1275" w:type="dxa"/>
            <w:shd w:val="clear" w:color="auto" w:fill="C4EFCE"/>
            <w:noWrap/>
            <w:vAlign w:val="center"/>
            <w:hideMark/>
          </w:tcPr>
          <w:p w14:paraId="19A3F63E"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2A75A0"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71EF5171"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05143F7C" w14:textId="77777777" w:rsidR="00A15990" w:rsidRDefault="00686A62">
            <w:pPr>
              <w:pStyle w:val="P68B1DB1-Normal8"/>
              <w:spacing w:after="0" w:line="240" w:lineRule="auto"/>
              <w:jc w:val="right"/>
              <w:rPr>
                <w:rFonts w:eastAsia="Times New Roman" w:cs="Calibri"/>
                <w:noProof/>
              </w:rPr>
            </w:pPr>
            <w:r>
              <w:rPr>
                <w:noProof/>
              </w:rPr>
              <w:t>7500</w:t>
            </w:r>
          </w:p>
        </w:tc>
        <w:tc>
          <w:tcPr>
            <w:tcW w:w="567" w:type="dxa"/>
            <w:shd w:val="clear" w:color="auto" w:fill="C4EFCE"/>
            <w:noWrap/>
            <w:vAlign w:val="center"/>
            <w:hideMark/>
          </w:tcPr>
          <w:p w14:paraId="74D42D05"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0AD002C5"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6906ED0C" w14:textId="1A58018F" w:rsidR="00A15990" w:rsidRDefault="00686A62">
            <w:pPr>
              <w:pStyle w:val="P68B1DB1-Normal8"/>
              <w:spacing w:after="0" w:line="240" w:lineRule="auto"/>
              <w:jc w:val="both"/>
              <w:rPr>
                <w:rFonts w:eastAsia="Times New Roman" w:cs="Calibri"/>
                <w:noProof/>
              </w:rPr>
            </w:pPr>
            <w:r>
              <w:rPr>
                <w:noProof/>
              </w:rPr>
              <w:t>Numărul suplimentar de absolvenți de învățământ superior în domeniile STIAM (știință, tehnologie, inginerie, arte și matematică): absolvenți de învățământ superior de la programe de învățământ superior de scurtă durată și de prim ciclu și de cursuri pe termen scurt. (până la 2 ani), comparativ cu 2020.</w:t>
            </w:r>
          </w:p>
        </w:tc>
      </w:tr>
      <w:tr w:rsidR="00A15990" w14:paraId="41A35489" w14:textId="77777777">
        <w:trPr>
          <w:trHeight w:val="430"/>
        </w:trPr>
        <w:tc>
          <w:tcPr>
            <w:tcW w:w="1135" w:type="dxa"/>
            <w:shd w:val="clear" w:color="auto" w:fill="C5EFCE"/>
            <w:vAlign w:val="center"/>
            <w:hideMark/>
          </w:tcPr>
          <w:p w14:paraId="03EC6843" w14:textId="77777777" w:rsidR="00A15990" w:rsidRDefault="00686A62">
            <w:pPr>
              <w:pStyle w:val="P68B1DB1-Normal7"/>
              <w:spacing w:after="0" w:line="240" w:lineRule="auto"/>
              <w:jc w:val="center"/>
              <w:rPr>
                <w:rFonts w:eastAsia="Times New Roman" w:cs="Calibri"/>
                <w:noProof/>
              </w:rPr>
            </w:pPr>
            <w:r>
              <w:rPr>
                <w:noProof/>
              </w:rPr>
              <w:t>6.9</w:t>
            </w:r>
          </w:p>
        </w:tc>
        <w:tc>
          <w:tcPr>
            <w:tcW w:w="1276" w:type="dxa"/>
            <w:shd w:val="clear" w:color="auto" w:fill="C4EFCE"/>
            <w:noWrap/>
            <w:vAlign w:val="center"/>
            <w:hideMark/>
          </w:tcPr>
          <w:p w14:paraId="1F688299" w14:textId="77777777" w:rsidR="00A15990" w:rsidRDefault="00686A62">
            <w:pPr>
              <w:pStyle w:val="P68B1DB1-Normal8"/>
              <w:spacing w:after="0" w:line="240" w:lineRule="auto"/>
              <w:jc w:val="center"/>
              <w:rPr>
                <w:rFonts w:eastAsia="Times New Roman" w:cs="Calibri"/>
                <w:noProof/>
              </w:rPr>
            </w:pPr>
            <w:r>
              <w:rPr>
                <w:noProof/>
              </w:rPr>
              <w:t>RE-C06-i04</w:t>
            </w:r>
          </w:p>
        </w:tc>
        <w:tc>
          <w:tcPr>
            <w:tcW w:w="1134" w:type="dxa"/>
            <w:shd w:val="clear" w:color="auto" w:fill="C4EFCE"/>
            <w:noWrap/>
            <w:vAlign w:val="center"/>
            <w:hideMark/>
          </w:tcPr>
          <w:p w14:paraId="0766DA2A"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FCC21AD" w14:textId="77777777" w:rsidR="00A15990" w:rsidRDefault="00686A62">
            <w:pPr>
              <w:pStyle w:val="P68B1DB1-Normal8"/>
              <w:spacing w:after="0" w:line="240" w:lineRule="auto"/>
              <w:jc w:val="center"/>
              <w:rPr>
                <w:rFonts w:eastAsia="Times New Roman" w:cs="Calibri"/>
                <w:noProof/>
              </w:rPr>
            </w:pPr>
            <w:r>
              <w:rPr>
                <w:noProof/>
              </w:rPr>
              <w:t xml:space="preserve">Număr suplimentar de studenți absolvenți ai unor cursuri de învățământ terțiar în STIAM </w:t>
            </w:r>
          </w:p>
        </w:tc>
        <w:tc>
          <w:tcPr>
            <w:tcW w:w="1275" w:type="dxa"/>
            <w:shd w:val="clear" w:color="auto" w:fill="C4EFCE"/>
            <w:noWrap/>
            <w:vAlign w:val="center"/>
            <w:hideMark/>
          </w:tcPr>
          <w:p w14:paraId="2534A7F7"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01C7875"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0F461685" w14:textId="77777777" w:rsidR="00A15990" w:rsidRDefault="00686A62">
            <w:pPr>
              <w:pStyle w:val="P68B1DB1-Normal8"/>
              <w:spacing w:after="0" w:line="240" w:lineRule="auto"/>
              <w:jc w:val="center"/>
              <w:rPr>
                <w:rFonts w:eastAsia="Times New Roman" w:cs="Calibri"/>
                <w:noProof/>
              </w:rPr>
            </w:pPr>
            <w:r>
              <w:rPr>
                <w:noProof/>
              </w:rPr>
              <w:t>7 500</w:t>
            </w:r>
          </w:p>
        </w:tc>
        <w:tc>
          <w:tcPr>
            <w:tcW w:w="850" w:type="dxa"/>
            <w:shd w:val="clear" w:color="auto" w:fill="C4EFCE"/>
            <w:noWrap/>
            <w:vAlign w:val="center"/>
            <w:hideMark/>
          </w:tcPr>
          <w:p w14:paraId="0EDAA318" w14:textId="77777777" w:rsidR="00A15990" w:rsidRDefault="00686A62">
            <w:pPr>
              <w:pStyle w:val="P68B1DB1-Normal8"/>
              <w:spacing w:after="0" w:line="240" w:lineRule="auto"/>
              <w:jc w:val="center"/>
              <w:rPr>
                <w:rFonts w:eastAsia="Times New Roman" w:cs="Calibri"/>
                <w:noProof/>
              </w:rPr>
            </w:pPr>
            <w:r>
              <w:rPr>
                <w:noProof/>
              </w:rPr>
              <w:t>10 000</w:t>
            </w:r>
          </w:p>
        </w:tc>
        <w:tc>
          <w:tcPr>
            <w:tcW w:w="567" w:type="dxa"/>
            <w:shd w:val="clear" w:color="auto" w:fill="C4EFCE"/>
            <w:noWrap/>
            <w:vAlign w:val="center"/>
            <w:hideMark/>
          </w:tcPr>
          <w:p w14:paraId="74AF7ABA"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0B041574"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6B7BB90" w14:textId="6491F048" w:rsidR="00A15990" w:rsidRDefault="00686A62">
            <w:pPr>
              <w:pStyle w:val="P68B1DB1-Normal8"/>
              <w:spacing w:after="0" w:line="240" w:lineRule="auto"/>
              <w:jc w:val="both"/>
              <w:rPr>
                <w:rFonts w:eastAsia="Times New Roman" w:cs="Calibri"/>
                <w:noProof/>
              </w:rPr>
            </w:pPr>
            <w:r>
              <w:rPr>
                <w:noProof/>
              </w:rPr>
              <w:t>Numărul suplimentar de absolvenți de învățământ superior în domeniile STIAM (știință, tehnologie, inginerie, arte și matematică): absolvenți de învățământ superior de la programe de învățământ superior de scurtă durată și de prim ciclu și de cursuri pe termen scurt. (până la 2 ani) comparativ cu 2020.</w:t>
            </w:r>
          </w:p>
        </w:tc>
      </w:tr>
      <w:tr w:rsidR="00A15990" w14:paraId="7BCA29C4" w14:textId="77777777">
        <w:trPr>
          <w:trHeight w:val="430"/>
        </w:trPr>
        <w:tc>
          <w:tcPr>
            <w:tcW w:w="1135" w:type="dxa"/>
            <w:shd w:val="clear" w:color="auto" w:fill="C5EFCE"/>
            <w:vAlign w:val="center"/>
            <w:hideMark/>
          </w:tcPr>
          <w:p w14:paraId="31EEE1B7" w14:textId="77777777" w:rsidR="00A15990" w:rsidRDefault="00686A62">
            <w:pPr>
              <w:pStyle w:val="P68B1DB1-Normal7"/>
              <w:spacing w:after="0" w:line="240" w:lineRule="auto"/>
              <w:jc w:val="center"/>
              <w:rPr>
                <w:rFonts w:eastAsia="Times New Roman" w:cs="Calibri"/>
                <w:noProof/>
              </w:rPr>
            </w:pPr>
            <w:r>
              <w:rPr>
                <w:noProof/>
              </w:rPr>
              <w:t>6.10</w:t>
            </w:r>
          </w:p>
        </w:tc>
        <w:tc>
          <w:tcPr>
            <w:tcW w:w="1276" w:type="dxa"/>
            <w:shd w:val="clear" w:color="auto" w:fill="C4EFCE"/>
            <w:noWrap/>
            <w:vAlign w:val="center"/>
            <w:hideMark/>
          </w:tcPr>
          <w:p w14:paraId="3455EA12" w14:textId="77777777" w:rsidR="00A15990" w:rsidRDefault="00686A62">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F017E0B"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74D4D1A" w14:textId="77777777" w:rsidR="00A15990" w:rsidRDefault="00686A62">
            <w:pPr>
              <w:pStyle w:val="P68B1DB1-Normal8"/>
              <w:spacing w:after="0" w:line="240" w:lineRule="auto"/>
              <w:jc w:val="center"/>
              <w:rPr>
                <w:rFonts w:eastAsia="Times New Roman" w:cs="Calibri"/>
                <w:noProof/>
              </w:rPr>
            </w:pPr>
            <w:r>
              <w:rPr>
                <w:noProof/>
              </w:rPr>
              <w:t>Numărul suplimentar de adulți înscriși în învățământul postliceal și terțiar în Regiunea Autonomă Azore</w:t>
            </w:r>
          </w:p>
        </w:tc>
        <w:tc>
          <w:tcPr>
            <w:tcW w:w="1275" w:type="dxa"/>
            <w:shd w:val="clear" w:color="auto" w:fill="C4EFCE"/>
            <w:noWrap/>
            <w:vAlign w:val="center"/>
            <w:hideMark/>
          </w:tcPr>
          <w:p w14:paraId="4B93C7DE"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77F4A"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408B2C73"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36350747" w14:textId="77777777" w:rsidR="00A15990" w:rsidRDefault="00686A62">
            <w:pPr>
              <w:pStyle w:val="P68B1DB1-Normal8"/>
              <w:spacing w:after="0" w:line="240" w:lineRule="auto"/>
              <w:jc w:val="center"/>
              <w:rPr>
                <w:rFonts w:eastAsia="Times New Roman" w:cs="Calibri"/>
                <w:noProof/>
              </w:rPr>
            </w:pPr>
            <w:r>
              <w:rPr>
                <w:noProof/>
              </w:rPr>
              <w:t>1 145</w:t>
            </w:r>
          </w:p>
        </w:tc>
        <w:tc>
          <w:tcPr>
            <w:tcW w:w="567" w:type="dxa"/>
            <w:shd w:val="clear" w:color="auto" w:fill="C4EFCE"/>
            <w:noWrap/>
            <w:vAlign w:val="center"/>
            <w:hideMark/>
          </w:tcPr>
          <w:p w14:paraId="2B64FDEB"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C6DF304"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0110C7B5" w14:textId="77777777" w:rsidR="00A15990" w:rsidRDefault="00686A62">
            <w:pPr>
              <w:pStyle w:val="P68B1DB1-Normal8"/>
              <w:spacing w:after="0" w:line="240" w:lineRule="auto"/>
              <w:jc w:val="both"/>
              <w:rPr>
                <w:rFonts w:eastAsia="Times New Roman" w:cs="Calibri"/>
                <w:noProof/>
              </w:rPr>
            </w:pPr>
            <w:r>
              <w:rPr>
                <w:noProof/>
              </w:rPr>
              <w:t>Numărul suplimentar de adulți înscriși în învățământul postliceal și terțiar în Regiunea Autonomă Azore.</w:t>
            </w:r>
          </w:p>
        </w:tc>
      </w:tr>
      <w:tr w:rsidR="00A15990" w14:paraId="750BEA35" w14:textId="77777777">
        <w:trPr>
          <w:trHeight w:val="1060"/>
        </w:trPr>
        <w:tc>
          <w:tcPr>
            <w:tcW w:w="1135" w:type="dxa"/>
            <w:shd w:val="clear" w:color="auto" w:fill="C5EFCE"/>
            <w:vAlign w:val="center"/>
            <w:hideMark/>
          </w:tcPr>
          <w:p w14:paraId="15B13B31" w14:textId="77777777" w:rsidR="00A15990" w:rsidRDefault="00686A62">
            <w:pPr>
              <w:pStyle w:val="P68B1DB1-Normal7"/>
              <w:spacing w:after="0" w:line="240" w:lineRule="auto"/>
              <w:jc w:val="center"/>
              <w:rPr>
                <w:rFonts w:eastAsia="Times New Roman" w:cs="Calibri"/>
                <w:noProof/>
              </w:rPr>
            </w:pPr>
            <w:r>
              <w:rPr>
                <w:noProof/>
              </w:rPr>
              <w:t>6.11</w:t>
            </w:r>
          </w:p>
        </w:tc>
        <w:tc>
          <w:tcPr>
            <w:tcW w:w="1276" w:type="dxa"/>
            <w:shd w:val="clear" w:color="auto" w:fill="C4EFCE"/>
            <w:noWrap/>
            <w:vAlign w:val="center"/>
            <w:hideMark/>
          </w:tcPr>
          <w:p w14:paraId="4B3896E6" w14:textId="77777777" w:rsidR="00A15990" w:rsidRDefault="00686A62">
            <w:pPr>
              <w:pStyle w:val="P68B1DB1-Normal8"/>
              <w:spacing w:after="0" w:line="240" w:lineRule="auto"/>
              <w:jc w:val="center"/>
              <w:rPr>
                <w:rFonts w:eastAsia="Times New Roman" w:cs="Calibri"/>
                <w:noProof/>
              </w:rPr>
            </w:pPr>
            <w:r>
              <w:rPr>
                <w:noProof/>
              </w:rPr>
              <w:t>RE-C06-i05-RAA</w:t>
            </w:r>
          </w:p>
        </w:tc>
        <w:tc>
          <w:tcPr>
            <w:tcW w:w="1134" w:type="dxa"/>
            <w:shd w:val="clear" w:color="auto" w:fill="C4EFCE"/>
            <w:noWrap/>
            <w:vAlign w:val="center"/>
            <w:hideMark/>
          </w:tcPr>
          <w:p w14:paraId="5501D610"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27DFBDA" w14:textId="77777777" w:rsidR="00A15990" w:rsidRDefault="00686A62">
            <w:pPr>
              <w:pStyle w:val="P68B1DB1-Normal8"/>
              <w:spacing w:after="0" w:line="240" w:lineRule="auto"/>
              <w:jc w:val="center"/>
              <w:rPr>
                <w:rFonts w:eastAsia="Times New Roman" w:cs="Calibri"/>
                <w:noProof/>
              </w:rPr>
            </w:pPr>
            <w:r>
              <w:rPr>
                <w:noProof/>
              </w:rPr>
              <w:t>Școli profesionale modernizate din Regiunea Autonomă Azore</w:t>
            </w:r>
          </w:p>
        </w:tc>
        <w:tc>
          <w:tcPr>
            <w:tcW w:w="1275" w:type="dxa"/>
            <w:shd w:val="clear" w:color="auto" w:fill="C4EFCE"/>
            <w:noWrap/>
            <w:vAlign w:val="center"/>
            <w:hideMark/>
          </w:tcPr>
          <w:p w14:paraId="7633C471"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04129F"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264B2313"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B8D440E" w14:textId="77777777" w:rsidR="00A15990" w:rsidRDefault="00686A62">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657890BF"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D55CA0C"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3F352652" w14:textId="60266876" w:rsidR="00A15990" w:rsidRDefault="00686A62">
            <w:pPr>
              <w:pStyle w:val="P68B1DB1-Normal8"/>
              <w:spacing w:after="0" w:line="240" w:lineRule="auto"/>
              <w:jc w:val="both"/>
              <w:rPr>
                <w:rFonts w:eastAsia="Times New Roman" w:cs="Calibri"/>
                <w:noProof/>
              </w:rPr>
            </w:pPr>
            <w:r>
              <w:rPr>
                <w:noProof/>
              </w:rPr>
              <w:t>Numărul școlilor profesionale și al institutelor publice de formare care au beneficiat de renovarea atelierelor, a laboratoarelor și a sălilor de calculatoare și de achiziționarea de noi echipamente în conformitate cu evoluțiile tehnologice. Atunci când modernizarea infrastructurii implică renovarea clădirilor, renovările vizând eficiența energetică realizează, în medie, cel puțin o renovare de amploare medie, astfel cum este definită în Recomandarea Comisiei privind renovarea clădirilor (UE) 2019/786.</w:t>
            </w:r>
          </w:p>
        </w:tc>
      </w:tr>
      <w:tr w:rsidR="00A15990" w14:paraId="55F947BE" w14:textId="77777777">
        <w:trPr>
          <w:trHeight w:val="1171"/>
        </w:trPr>
        <w:tc>
          <w:tcPr>
            <w:tcW w:w="1135" w:type="dxa"/>
            <w:shd w:val="clear" w:color="auto" w:fill="C5EFCE"/>
            <w:vAlign w:val="center"/>
            <w:hideMark/>
          </w:tcPr>
          <w:p w14:paraId="6524EBF6" w14:textId="77777777" w:rsidR="00A15990" w:rsidRDefault="00686A62">
            <w:pPr>
              <w:pStyle w:val="P68B1DB1-Normal7"/>
              <w:spacing w:after="0" w:line="240" w:lineRule="auto"/>
              <w:jc w:val="center"/>
              <w:rPr>
                <w:rFonts w:eastAsia="Times New Roman" w:cs="Calibri"/>
                <w:noProof/>
              </w:rPr>
            </w:pPr>
            <w:r>
              <w:rPr>
                <w:noProof/>
              </w:rPr>
              <w:t>6.12</w:t>
            </w:r>
          </w:p>
        </w:tc>
        <w:tc>
          <w:tcPr>
            <w:tcW w:w="1276" w:type="dxa"/>
            <w:shd w:val="clear" w:color="auto" w:fill="C4EFCE"/>
            <w:noWrap/>
            <w:vAlign w:val="center"/>
            <w:hideMark/>
          </w:tcPr>
          <w:p w14:paraId="547D2E2F" w14:textId="77777777" w:rsidR="00A15990" w:rsidRDefault="00686A62">
            <w:pPr>
              <w:pStyle w:val="P68B1DB1-Normal8"/>
              <w:spacing w:after="0" w:line="240" w:lineRule="auto"/>
              <w:jc w:val="center"/>
              <w:rPr>
                <w:rFonts w:eastAsia="Times New Roman" w:cs="Calibri"/>
                <w:noProof/>
              </w:rPr>
            </w:pPr>
            <w:r>
              <w:rPr>
                <w:noProof/>
              </w:rPr>
              <w:t>RE-C06-r14</w:t>
            </w:r>
          </w:p>
        </w:tc>
        <w:tc>
          <w:tcPr>
            <w:tcW w:w="1134" w:type="dxa"/>
            <w:shd w:val="clear" w:color="auto" w:fill="C4EFCE"/>
            <w:noWrap/>
            <w:vAlign w:val="center"/>
            <w:hideMark/>
          </w:tcPr>
          <w:p w14:paraId="6161978A"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7FF7A7F" w14:textId="77777777" w:rsidR="00A15990" w:rsidRDefault="00686A62">
            <w:pPr>
              <w:pStyle w:val="P68B1DB1-Normal8"/>
              <w:spacing w:after="0" w:line="240" w:lineRule="auto"/>
              <w:jc w:val="center"/>
              <w:rPr>
                <w:rFonts w:eastAsia="Times New Roman" w:cs="Calibri"/>
                <w:noProof/>
              </w:rPr>
            </w:pPr>
            <w:r>
              <w:rPr>
                <w:noProof/>
              </w:rPr>
              <w:t>Deschiderea posturilor vacante de formare</w:t>
            </w:r>
          </w:p>
        </w:tc>
        <w:tc>
          <w:tcPr>
            <w:tcW w:w="1275" w:type="dxa"/>
            <w:shd w:val="clear" w:color="auto" w:fill="C4EFCE"/>
            <w:noWrap/>
            <w:vAlign w:val="center"/>
            <w:hideMark/>
          </w:tcPr>
          <w:p w14:paraId="1F0B5386"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8FF90D"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7E521221"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2D8E74D9" w14:textId="77777777" w:rsidR="00A15990" w:rsidRDefault="00686A62">
            <w:pPr>
              <w:pStyle w:val="P68B1DB1-Normal8"/>
              <w:spacing w:after="0" w:line="240" w:lineRule="auto"/>
              <w:jc w:val="center"/>
              <w:rPr>
                <w:rFonts w:eastAsia="Times New Roman" w:cs="Calibri"/>
                <w:noProof/>
              </w:rPr>
            </w:pPr>
            <w:r>
              <w:rPr>
                <w:noProof/>
              </w:rPr>
              <w:t>20 000</w:t>
            </w:r>
          </w:p>
        </w:tc>
        <w:tc>
          <w:tcPr>
            <w:tcW w:w="567" w:type="dxa"/>
            <w:shd w:val="clear" w:color="auto" w:fill="C4EFCE"/>
            <w:noWrap/>
            <w:vAlign w:val="center"/>
            <w:hideMark/>
          </w:tcPr>
          <w:p w14:paraId="4D258239"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330192EF" w14:textId="77777777" w:rsidR="00A15990" w:rsidRDefault="00686A62">
            <w:pPr>
              <w:pStyle w:val="P68B1DB1-Normal8"/>
              <w:spacing w:after="0" w:line="240" w:lineRule="auto"/>
              <w:jc w:val="center"/>
              <w:rPr>
                <w:rFonts w:eastAsia="Times New Roman" w:cs="Calibri"/>
                <w:noProof/>
              </w:rPr>
            </w:pPr>
            <w:r>
              <w:rPr>
                <w:noProof/>
              </w:rPr>
              <w:t>2025</w:t>
            </w:r>
          </w:p>
        </w:tc>
        <w:tc>
          <w:tcPr>
            <w:tcW w:w="4395" w:type="dxa"/>
            <w:shd w:val="clear" w:color="auto" w:fill="C4EFCE"/>
            <w:vAlign w:val="center"/>
            <w:hideMark/>
          </w:tcPr>
          <w:p w14:paraId="5E6EA693" w14:textId="77777777" w:rsidR="00A15990" w:rsidRDefault="00686A62">
            <w:pPr>
              <w:pStyle w:val="P68B1DB1-Normal8"/>
              <w:spacing w:after="0" w:line="240" w:lineRule="auto"/>
              <w:jc w:val="both"/>
              <w:rPr>
                <w:rFonts w:eastAsia="Times New Roman" w:cs="Calibri"/>
                <w:noProof/>
              </w:rPr>
            </w:pPr>
            <w:r>
              <w:rPr>
                <w:noProof/>
              </w:rPr>
              <w:t>Numărul de noi posturi vacante deschise în cadrul cursurilor profesionale în urma actualizării catalogului național al calificărilor (CNQ) în domenii emergente pe baza diagnosticării anticipării competențelor (SANQ).</w:t>
            </w:r>
          </w:p>
        </w:tc>
      </w:tr>
      <w:tr w:rsidR="00A15990" w14:paraId="4D68171D" w14:textId="77777777">
        <w:trPr>
          <w:trHeight w:val="430"/>
        </w:trPr>
        <w:tc>
          <w:tcPr>
            <w:tcW w:w="1135" w:type="dxa"/>
            <w:shd w:val="clear" w:color="auto" w:fill="C5EFCE"/>
            <w:vAlign w:val="center"/>
            <w:hideMark/>
          </w:tcPr>
          <w:p w14:paraId="574224E8" w14:textId="77777777" w:rsidR="00A15990" w:rsidRDefault="00686A62">
            <w:pPr>
              <w:pStyle w:val="P68B1DB1-Normal7"/>
              <w:spacing w:after="0" w:line="240" w:lineRule="auto"/>
              <w:jc w:val="center"/>
              <w:rPr>
                <w:rFonts w:eastAsia="Times New Roman" w:cs="Calibri"/>
                <w:noProof/>
              </w:rPr>
            </w:pPr>
            <w:r>
              <w:rPr>
                <w:noProof/>
              </w:rPr>
              <w:t>6.13</w:t>
            </w:r>
          </w:p>
        </w:tc>
        <w:tc>
          <w:tcPr>
            <w:tcW w:w="1276" w:type="dxa"/>
            <w:shd w:val="clear" w:color="auto" w:fill="C4EFCE"/>
            <w:noWrap/>
            <w:vAlign w:val="center"/>
            <w:hideMark/>
          </w:tcPr>
          <w:p w14:paraId="1F8EACCD" w14:textId="77777777" w:rsidR="00A15990" w:rsidRDefault="00686A62">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3F880A1E"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0F8EBFA" w14:textId="77777777" w:rsidR="00A15990" w:rsidRDefault="00686A62">
            <w:pPr>
              <w:pStyle w:val="P68B1DB1-Normal8"/>
              <w:spacing w:after="0" w:line="240" w:lineRule="auto"/>
              <w:jc w:val="center"/>
              <w:rPr>
                <w:rFonts w:eastAsia="Times New Roman" w:cs="Calibri"/>
                <w:noProof/>
              </w:rPr>
            </w:pPr>
            <w:r>
              <w:rPr>
                <w:noProof/>
              </w:rPr>
              <w:t>Intrarea în vigoare a legii care instituie concursuri speciale de admitere în învățământul superior</w:t>
            </w:r>
          </w:p>
        </w:tc>
        <w:tc>
          <w:tcPr>
            <w:tcW w:w="1275" w:type="dxa"/>
            <w:shd w:val="clear" w:color="auto" w:fill="C4EFCE"/>
            <w:noWrap/>
            <w:vAlign w:val="center"/>
            <w:hideMark/>
          </w:tcPr>
          <w:p w14:paraId="4881AFCF" w14:textId="77777777" w:rsidR="00A15990" w:rsidRDefault="00686A62">
            <w:pPr>
              <w:pStyle w:val="P68B1DB1-Normal8"/>
              <w:spacing w:after="0" w:line="240" w:lineRule="auto"/>
              <w:jc w:val="center"/>
              <w:rPr>
                <w:rFonts w:eastAsia="Times New Roman" w:cs="Calibri"/>
                <w:noProof/>
              </w:rPr>
            </w:pPr>
            <w:r>
              <w:rPr>
                <w:noProof/>
              </w:rPr>
              <w:t xml:space="preserve">Intrarea în vigoare a legii care instituie concursuri speciale de admitere în învățământul superior </w:t>
            </w:r>
          </w:p>
        </w:tc>
        <w:tc>
          <w:tcPr>
            <w:tcW w:w="993" w:type="dxa"/>
            <w:shd w:val="clear" w:color="auto" w:fill="C4EFCE"/>
            <w:noWrap/>
            <w:vAlign w:val="center"/>
            <w:hideMark/>
          </w:tcPr>
          <w:p w14:paraId="324277CF"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FB1159"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CD5524E"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EC36569" w14:textId="77777777"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19163647" w14:textId="77777777" w:rsidR="00A15990" w:rsidRDefault="00686A62">
            <w:pPr>
              <w:pStyle w:val="P68B1DB1-Normal8"/>
              <w:spacing w:after="0" w:line="240" w:lineRule="auto"/>
              <w:jc w:val="center"/>
              <w:rPr>
                <w:rFonts w:eastAsia="Times New Roman" w:cs="Calibri"/>
                <w:noProof/>
              </w:rPr>
            </w:pPr>
            <w:r>
              <w:rPr>
                <w:noProof/>
              </w:rPr>
              <w:t>2020</w:t>
            </w:r>
          </w:p>
        </w:tc>
        <w:tc>
          <w:tcPr>
            <w:tcW w:w="4395" w:type="dxa"/>
            <w:shd w:val="clear" w:color="auto" w:fill="C4EFCE"/>
            <w:vAlign w:val="center"/>
            <w:hideMark/>
          </w:tcPr>
          <w:p w14:paraId="042D0010" w14:textId="77777777" w:rsidR="00A15990" w:rsidRDefault="00686A62">
            <w:pPr>
              <w:pStyle w:val="P68B1DB1-Normal8"/>
              <w:spacing w:after="0" w:line="240" w:lineRule="auto"/>
              <w:jc w:val="both"/>
              <w:rPr>
                <w:rFonts w:eastAsia="Times New Roman" w:cs="Calibri"/>
                <w:noProof/>
              </w:rPr>
            </w:pPr>
            <w:r>
              <w:rPr>
                <w:noProof/>
              </w:rPr>
              <w:t>Intrarea în vigoare a legii care creează concursuri speciale de admitere la învățământul superior pentru studenții care au absolvit învățământul secundar prin canale profesionale și cursuri artistice specializate.</w:t>
            </w:r>
          </w:p>
        </w:tc>
      </w:tr>
      <w:tr w:rsidR="00A15990" w14:paraId="5C350BC5" w14:textId="77777777">
        <w:trPr>
          <w:trHeight w:val="1480"/>
        </w:trPr>
        <w:tc>
          <w:tcPr>
            <w:tcW w:w="1135" w:type="dxa"/>
            <w:shd w:val="clear" w:color="auto" w:fill="C5EFCE"/>
            <w:vAlign w:val="center"/>
            <w:hideMark/>
          </w:tcPr>
          <w:p w14:paraId="2D4BA14E" w14:textId="77777777" w:rsidR="00A15990" w:rsidRDefault="00686A62">
            <w:pPr>
              <w:pStyle w:val="P68B1DB1-Normal7"/>
              <w:spacing w:after="0" w:line="240" w:lineRule="auto"/>
              <w:jc w:val="center"/>
              <w:rPr>
                <w:rFonts w:eastAsia="Times New Roman" w:cs="Calibri"/>
                <w:noProof/>
              </w:rPr>
            </w:pPr>
            <w:r>
              <w:rPr>
                <w:noProof/>
              </w:rPr>
              <w:t>6.14</w:t>
            </w:r>
          </w:p>
        </w:tc>
        <w:tc>
          <w:tcPr>
            <w:tcW w:w="1276" w:type="dxa"/>
            <w:shd w:val="clear" w:color="auto" w:fill="C4EFCE"/>
            <w:noWrap/>
            <w:vAlign w:val="center"/>
            <w:hideMark/>
          </w:tcPr>
          <w:p w14:paraId="49780B25" w14:textId="77777777" w:rsidR="00A15990" w:rsidRDefault="00686A62">
            <w:pPr>
              <w:pStyle w:val="P68B1DB1-Normal8"/>
              <w:spacing w:after="0" w:line="240" w:lineRule="auto"/>
              <w:jc w:val="center"/>
              <w:rPr>
                <w:rFonts w:eastAsia="Times New Roman" w:cs="Calibri"/>
                <w:noProof/>
              </w:rPr>
            </w:pPr>
            <w:r>
              <w:rPr>
                <w:noProof/>
              </w:rPr>
              <w:t>RE-C06-r15</w:t>
            </w:r>
          </w:p>
        </w:tc>
        <w:tc>
          <w:tcPr>
            <w:tcW w:w="1134" w:type="dxa"/>
            <w:shd w:val="clear" w:color="auto" w:fill="C4EFCE"/>
            <w:noWrap/>
            <w:vAlign w:val="center"/>
            <w:hideMark/>
          </w:tcPr>
          <w:p w14:paraId="1D50742B"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285546A" w14:textId="77777777" w:rsidR="00A15990" w:rsidRDefault="00686A62">
            <w:pPr>
              <w:pStyle w:val="P68B1DB1-Normal8"/>
              <w:spacing w:after="0" w:line="240" w:lineRule="auto"/>
              <w:jc w:val="center"/>
              <w:rPr>
                <w:rFonts w:eastAsia="Times New Roman" w:cs="Calibri"/>
                <w:noProof/>
              </w:rPr>
            </w:pPr>
            <w:r>
              <w:rPr>
                <w:noProof/>
              </w:rPr>
              <w:t>Intrarea în vigoare a noului cadru juridic care reglementează cooperarea instituțiilor de învățământ superior cu administrația publică și cu întreprinderile</w:t>
            </w:r>
          </w:p>
        </w:tc>
        <w:tc>
          <w:tcPr>
            <w:tcW w:w="1275" w:type="dxa"/>
            <w:shd w:val="clear" w:color="auto" w:fill="C4EFCE"/>
            <w:noWrap/>
            <w:vAlign w:val="center"/>
            <w:hideMark/>
          </w:tcPr>
          <w:p w14:paraId="4004223A" w14:textId="77777777" w:rsidR="00A15990" w:rsidRDefault="00686A62">
            <w:pPr>
              <w:pStyle w:val="P68B1DB1-Normal8"/>
              <w:spacing w:after="0" w:line="240" w:lineRule="auto"/>
              <w:jc w:val="center"/>
              <w:rPr>
                <w:rFonts w:eastAsia="Times New Roman" w:cs="Calibri"/>
                <w:noProof/>
              </w:rPr>
            </w:pPr>
            <w:r>
              <w:rPr>
                <w:noProof/>
              </w:rPr>
              <w:t>Intrarea în vigoare a noului cadru juridic care reglementează cooperarea instituțiilor de învățământ superior cu administrația publică și cu întreprinderile</w:t>
            </w:r>
          </w:p>
        </w:tc>
        <w:tc>
          <w:tcPr>
            <w:tcW w:w="993" w:type="dxa"/>
            <w:shd w:val="clear" w:color="auto" w:fill="C4EFCE"/>
            <w:noWrap/>
            <w:vAlign w:val="center"/>
            <w:hideMark/>
          </w:tcPr>
          <w:p w14:paraId="79A1DBFD"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1817FB5"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00D13E6"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0C153E5" w14:textId="77777777"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53BC3D0D" w14:textId="77777777" w:rsidR="00A15990" w:rsidRDefault="00686A62">
            <w:pPr>
              <w:pStyle w:val="P68B1DB1-Normal8"/>
              <w:spacing w:after="0" w:line="240" w:lineRule="auto"/>
              <w:jc w:val="center"/>
              <w:rPr>
                <w:rFonts w:eastAsia="Times New Roman" w:cs="Calibri"/>
                <w:noProof/>
              </w:rPr>
            </w:pPr>
            <w:r>
              <w:rPr>
                <w:noProof/>
              </w:rPr>
              <w:t>2021</w:t>
            </w:r>
          </w:p>
        </w:tc>
        <w:tc>
          <w:tcPr>
            <w:tcW w:w="4395" w:type="dxa"/>
            <w:shd w:val="clear" w:color="auto" w:fill="C4EFCE"/>
            <w:vAlign w:val="center"/>
            <w:hideMark/>
          </w:tcPr>
          <w:p w14:paraId="777EF2C9" w14:textId="77777777" w:rsidR="00A15990" w:rsidRDefault="00686A62">
            <w:pPr>
              <w:pStyle w:val="P68B1DB1-Normal8"/>
              <w:spacing w:after="0" w:line="240" w:lineRule="auto"/>
              <w:jc w:val="both"/>
              <w:rPr>
                <w:rFonts w:eastAsia="Times New Roman" w:cs="Calibri"/>
                <w:noProof/>
              </w:rPr>
            </w:pPr>
            <w:r>
              <w:rPr>
                <w:noProof/>
              </w:rPr>
              <w:t>Intrarea în vigoare a noului cadru juridic care reglementează cooperarea instituțiilor de învățământ superior cu administrația publică și cu întreprinderile, inclusiv: I) crearea de rețele de colaborare între instituțiile de învățământ superior în parteneriat cu angajatorii, printre altele, promovarea învățământului superior inițial, a proiectelor de inovare și a serviciilor pentru întreprinderi, ii) modificarea statutului juridic pentru a clarifica condițiile în care un specialist extern poate exercita funcții didactice sau manageriale în instituțiile de învățământ superior, pentru a promova mobilitatea între mediul academic și cel de afaceri; III) consolidarea consorțiilor cu gestiune partajată între instituții de învățământ superior și întreprinderi.</w:t>
            </w:r>
          </w:p>
        </w:tc>
      </w:tr>
      <w:tr w:rsidR="00A15990" w14:paraId="6B6D1913" w14:textId="77777777">
        <w:trPr>
          <w:trHeight w:val="1060"/>
        </w:trPr>
        <w:tc>
          <w:tcPr>
            <w:tcW w:w="1135" w:type="dxa"/>
            <w:shd w:val="clear" w:color="auto" w:fill="C5EFCE"/>
            <w:vAlign w:val="center"/>
            <w:hideMark/>
          </w:tcPr>
          <w:p w14:paraId="7A115D0E" w14:textId="77777777" w:rsidR="00A15990" w:rsidRDefault="00686A62">
            <w:pPr>
              <w:pStyle w:val="P68B1DB1-Normal7"/>
              <w:spacing w:after="0" w:line="240" w:lineRule="auto"/>
              <w:jc w:val="center"/>
              <w:rPr>
                <w:rFonts w:eastAsia="Times New Roman" w:cs="Calibri"/>
                <w:noProof/>
              </w:rPr>
            </w:pPr>
            <w:r>
              <w:rPr>
                <w:noProof/>
              </w:rPr>
              <w:t>6.15</w:t>
            </w:r>
          </w:p>
        </w:tc>
        <w:tc>
          <w:tcPr>
            <w:tcW w:w="1276" w:type="dxa"/>
            <w:shd w:val="clear" w:color="auto" w:fill="C4EFCE"/>
            <w:noWrap/>
            <w:vAlign w:val="center"/>
            <w:hideMark/>
          </w:tcPr>
          <w:p w14:paraId="072BCFC9" w14:textId="77777777" w:rsidR="00A15990" w:rsidRDefault="00686A62">
            <w:pPr>
              <w:pStyle w:val="P68B1DB1-Normal8"/>
              <w:spacing w:after="0" w:line="240" w:lineRule="auto"/>
              <w:jc w:val="center"/>
              <w:rPr>
                <w:rFonts w:eastAsia="Times New Roman" w:cs="Calibri"/>
                <w:noProof/>
              </w:rPr>
            </w:pPr>
            <w:r>
              <w:rPr>
                <w:noProof/>
              </w:rPr>
              <w:t>RE-C06-r16</w:t>
            </w:r>
          </w:p>
        </w:tc>
        <w:tc>
          <w:tcPr>
            <w:tcW w:w="1134" w:type="dxa"/>
            <w:shd w:val="clear" w:color="auto" w:fill="C4EFCE"/>
            <w:noWrap/>
            <w:vAlign w:val="center"/>
            <w:hideMark/>
          </w:tcPr>
          <w:p w14:paraId="36CF0280"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E9FAFFB" w14:textId="77777777" w:rsidR="00A15990" w:rsidRDefault="00686A62">
            <w:pPr>
              <w:pStyle w:val="P68B1DB1-Normal8"/>
              <w:spacing w:after="0" w:line="240" w:lineRule="auto"/>
              <w:jc w:val="center"/>
              <w:rPr>
                <w:rFonts w:eastAsia="Times New Roman" w:cs="Calibri"/>
                <w:noProof/>
              </w:rPr>
            </w:pPr>
            <w:r>
              <w:rPr>
                <w:noProof/>
              </w:rPr>
              <w:t>Intrarea în vigoare a legii privind profesiile reglementate</w:t>
            </w:r>
          </w:p>
        </w:tc>
        <w:tc>
          <w:tcPr>
            <w:tcW w:w="1275" w:type="dxa"/>
            <w:shd w:val="clear" w:color="auto" w:fill="C4EFCE"/>
            <w:noWrap/>
            <w:vAlign w:val="center"/>
            <w:hideMark/>
          </w:tcPr>
          <w:p w14:paraId="0F2F14F7" w14:textId="77777777" w:rsidR="00A15990" w:rsidRDefault="00686A62">
            <w:pPr>
              <w:pStyle w:val="P68B1DB1-Normal8"/>
              <w:spacing w:after="0" w:line="240" w:lineRule="auto"/>
              <w:jc w:val="center"/>
              <w:rPr>
                <w:rFonts w:eastAsia="Times New Roman" w:cs="Calibri"/>
                <w:noProof/>
              </w:rPr>
            </w:pPr>
            <w:r>
              <w:rPr>
                <w:noProof/>
              </w:rPr>
              <w:t>Intrarea în vigoare a legii privind profesiile reglementate</w:t>
            </w:r>
          </w:p>
        </w:tc>
        <w:tc>
          <w:tcPr>
            <w:tcW w:w="993" w:type="dxa"/>
            <w:shd w:val="clear" w:color="auto" w:fill="C4EFCE"/>
            <w:noWrap/>
            <w:vAlign w:val="center"/>
            <w:hideMark/>
          </w:tcPr>
          <w:p w14:paraId="1C4406F9"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8CC3D9E"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E64DB52"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E3EBB9F"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17B08CA5" w14:textId="77777777" w:rsidR="00A15990" w:rsidRDefault="00686A62">
            <w:pPr>
              <w:pStyle w:val="P68B1DB1-Normal8"/>
              <w:spacing w:after="0" w:line="240" w:lineRule="auto"/>
              <w:jc w:val="center"/>
              <w:rPr>
                <w:rFonts w:eastAsia="Times New Roman" w:cs="Calibri"/>
                <w:noProof/>
              </w:rPr>
            </w:pPr>
            <w:r>
              <w:rPr>
                <w:noProof/>
              </w:rPr>
              <w:t>2022</w:t>
            </w:r>
          </w:p>
        </w:tc>
        <w:tc>
          <w:tcPr>
            <w:tcW w:w="4395" w:type="dxa"/>
            <w:shd w:val="clear" w:color="auto" w:fill="C4EFCE"/>
            <w:vAlign w:val="center"/>
            <w:hideMark/>
          </w:tcPr>
          <w:p w14:paraId="6B104D29" w14:textId="61D2CBCD" w:rsidR="00A15990" w:rsidRDefault="00686A62">
            <w:pPr>
              <w:pStyle w:val="P68B1DB1-Normal8"/>
              <w:spacing w:after="0" w:line="240" w:lineRule="auto"/>
              <w:jc w:val="both"/>
              <w:rPr>
                <w:rFonts w:eastAsia="Times New Roman" w:cs="Calibri"/>
                <w:noProof/>
              </w:rPr>
            </w:pPr>
            <w:r>
              <w:rPr>
                <w:noProof/>
              </w:rPr>
              <w:t>Intrarea în vigoare a legii care vizează, printre altele: I) separarea funcțiilor de reglementare și de reprezentare în cadrul asociațiilor profesionale; II) să reducă lista activităților rezervate. Accesul la activități poate fi restricționat numai pentru a proteja interesele constituționale, în conformitate cu principiile necesității și proporționalității; să pună capăt restricțiilor privind proprietatea și administrarea firmelor de servicii pentru întreprinderi, cu condiția ca administratorii să respecte regimul juridic pentru prevenirea „conflictelor de interese”; și iv) să permită servicii multidisciplinare pentru întreprinderi.</w:t>
            </w:r>
          </w:p>
        </w:tc>
      </w:tr>
      <w:tr w:rsidR="00A15990" w14:paraId="23A0A514" w14:textId="77777777">
        <w:trPr>
          <w:trHeight w:val="640"/>
        </w:trPr>
        <w:tc>
          <w:tcPr>
            <w:tcW w:w="1135" w:type="dxa"/>
            <w:shd w:val="clear" w:color="auto" w:fill="C5EFCE"/>
            <w:vAlign w:val="center"/>
            <w:hideMark/>
          </w:tcPr>
          <w:p w14:paraId="5367DF6B" w14:textId="77777777" w:rsidR="00A15990" w:rsidRDefault="00686A62">
            <w:pPr>
              <w:pStyle w:val="P68B1DB1-Normal7"/>
              <w:spacing w:after="0" w:line="240" w:lineRule="auto"/>
              <w:jc w:val="center"/>
              <w:rPr>
                <w:rFonts w:eastAsia="Times New Roman" w:cs="Calibri"/>
                <w:noProof/>
              </w:rPr>
            </w:pPr>
            <w:r>
              <w:rPr>
                <w:noProof/>
              </w:rPr>
              <w:t>6.16</w:t>
            </w:r>
          </w:p>
        </w:tc>
        <w:tc>
          <w:tcPr>
            <w:tcW w:w="1276" w:type="dxa"/>
            <w:shd w:val="clear" w:color="auto" w:fill="C4EFCE"/>
            <w:noWrap/>
            <w:vAlign w:val="center"/>
            <w:hideMark/>
          </w:tcPr>
          <w:p w14:paraId="52F2ECE7" w14:textId="77777777" w:rsidR="00A15990" w:rsidRDefault="00686A62">
            <w:pPr>
              <w:pStyle w:val="P68B1DB1-Normal8"/>
              <w:spacing w:after="0" w:line="240" w:lineRule="auto"/>
              <w:jc w:val="center"/>
              <w:rPr>
                <w:rFonts w:eastAsia="Times New Roman" w:cs="Calibri"/>
                <w:noProof/>
              </w:rPr>
            </w:pPr>
            <w:r>
              <w:rPr>
                <w:noProof/>
              </w:rPr>
              <w:t>RE-C06-r17</w:t>
            </w:r>
          </w:p>
        </w:tc>
        <w:tc>
          <w:tcPr>
            <w:tcW w:w="1134" w:type="dxa"/>
            <w:shd w:val="clear" w:color="auto" w:fill="C4EFCE"/>
            <w:noWrap/>
            <w:vAlign w:val="center"/>
            <w:hideMark/>
          </w:tcPr>
          <w:p w14:paraId="4C773C60"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53FC47" w14:textId="77777777" w:rsidR="00A15990" w:rsidRDefault="00686A62">
            <w:pPr>
              <w:pStyle w:val="P68B1DB1-Normal8"/>
              <w:spacing w:after="0" w:line="240" w:lineRule="auto"/>
              <w:jc w:val="center"/>
              <w:rPr>
                <w:rFonts w:eastAsia="Times New Roman" w:cs="Calibri"/>
                <w:noProof/>
              </w:rPr>
            </w:pPr>
            <w:r>
              <w:rPr>
                <w:noProof/>
              </w:rPr>
              <w:t>Intrarea în vigoare a legii care reglementează lucrul pe platforme</w:t>
            </w:r>
          </w:p>
        </w:tc>
        <w:tc>
          <w:tcPr>
            <w:tcW w:w="1275" w:type="dxa"/>
            <w:shd w:val="clear" w:color="auto" w:fill="C4EFCE"/>
            <w:noWrap/>
            <w:vAlign w:val="center"/>
            <w:hideMark/>
          </w:tcPr>
          <w:p w14:paraId="5201FB9F" w14:textId="77777777" w:rsidR="00A15990" w:rsidRDefault="00686A62">
            <w:pPr>
              <w:pStyle w:val="P68B1DB1-Normal8"/>
              <w:spacing w:after="0" w:line="240" w:lineRule="auto"/>
              <w:jc w:val="center"/>
              <w:rPr>
                <w:rFonts w:eastAsia="Times New Roman" w:cs="Calibri"/>
                <w:noProof/>
              </w:rPr>
            </w:pPr>
            <w:r>
              <w:rPr>
                <w:noProof/>
              </w:rPr>
              <w:t>Intrarea în vigoare a legii care reglementează lucrul pe platforme</w:t>
            </w:r>
          </w:p>
        </w:tc>
        <w:tc>
          <w:tcPr>
            <w:tcW w:w="993" w:type="dxa"/>
            <w:shd w:val="clear" w:color="auto" w:fill="C4EFCE"/>
            <w:noWrap/>
            <w:vAlign w:val="center"/>
            <w:hideMark/>
          </w:tcPr>
          <w:p w14:paraId="311ED5B5"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06F95D85"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78565D9"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3A107F4"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13BAF87B" w14:textId="77777777" w:rsidR="00A15990" w:rsidRDefault="00686A62">
            <w:pPr>
              <w:pStyle w:val="P68B1DB1-Normal8"/>
              <w:spacing w:after="0" w:line="240" w:lineRule="auto"/>
              <w:jc w:val="center"/>
              <w:rPr>
                <w:rFonts w:eastAsia="Times New Roman" w:cs="Calibri"/>
                <w:noProof/>
              </w:rPr>
            </w:pPr>
            <w:r>
              <w:rPr>
                <w:noProof/>
              </w:rPr>
              <w:t>2023</w:t>
            </w:r>
          </w:p>
        </w:tc>
        <w:tc>
          <w:tcPr>
            <w:tcW w:w="4395" w:type="dxa"/>
            <w:shd w:val="clear" w:color="auto" w:fill="C4EFCE"/>
            <w:vAlign w:val="center"/>
            <w:hideMark/>
          </w:tcPr>
          <w:p w14:paraId="06DB3C30" w14:textId="77777777" w:rsidR="00A15990" w:rsidRDefault="00686A62">
            <w:pPr>
              <w:pStyle w:val="P68B1DB1-Normal8"/>
              <w:spacing w:after="0" w:line="240" w:lineRule="auto"/>
              <w:jc w:val="both"/>
              <w:rPr>
                <w:rFonts w:eastAsia="Times New Roman" w:cs="Calibri"/>
                <w:noProof/>
              </w:rPr>
            </w:pPr>
            <w:r>
              <w:rPr>
                <w:noProof/>
              </w:rPr>
              <w:t xml:space="preserve">Intrarea în vigoare a legii de reglementare a muncii pe platforme pentru a aborda noile provocări create de relațiile de muncă atipice, în conformitate cu principiile Pilonului european al drepturilor sociale. Scopul său este de a consolida relațiile de muncă și accesul la drepturi. </w:t>
            </w:r>
          </w:p>
        </w:tc>
      </w:tr>
      <w:tr w:rsidR="00A15990" w14:paraId="673F5EE3" w14:textId="77777777">
        <w:trPr>
          <w:trHeight w:val="640"/>
        </w:trPr>
        <w:tc>
          <w:tcPr>
            <w:tcW w:w="1135" w:type="dxa"/>
            <w:shd w:val="clear" w:color="auto" w:fill="C5EFCE"/>
            <w:vAlign w:val="center"/>
            <w:hideMark/>
          </w:tcPr>
          <w:p w14:paraId="64E9A71C" w14:textId="77777777" w:rsidR="00A15990" w:rsidRDefault="00686A62">
            <w:pPr>
              <w:pStyle w:val="P68B1DB1-Normal7"/>
              <w:spacing w:after="0" w:line="240" w:lineRule="auto"/>
              <w:jc w:val="center"/>
              <w:rPr>
                <w:rFonts w:eastAsia="Times New Roman" w:cs="Calibri"/>
                <w:noProof/>
              </w:rPr>
            </w:pPr>
            <w:r>
              <w:rPr>
                <w:noProof/>
              </w:rPr>
              <w:t>6.17</w:t>
            </w:r>
          </w:p>
        </w:tc>
        <w:tc>
          <w:tcPr>
            <w:tcW w:w="1276" w:type="dxa"/>
            <w:shd w:val="clear" w:color="auto" w:fill="C4EFCE"/>
            <w:noWrap/>
            <w:vAlign w:val="center"/>
            <w:hideMark/>
          </w:tcPr>
          <w:p w14:paraId="72BCDBDF" w14:textId="77777777" w:rsidR="00A15990" w:rsidRDefault="00686A62">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524C0022"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8ADF796" w14:textId="77777777" w:rsidR="00A15990" w:rsidRDefault="00686A62">
            <w:pPr>
              <w:pStyle w:val="P68B1DB1-Normal8"/>
              <w:spacing w:after="0" w:line="240" w:lineRule="auto"/>
              <w:jc w:val="center"/>
              <w:rPr>
                <w:rFonts w:eastAsia="Times New Roman" w:cs="Calibri"/>
                <w:noProof/>
              </w:rPr>
            </w:pPr>
            <w:r>
              <w:rPr>
                <w:noProof/>
              </w:rPr>
              <w:t xml:space="preserve">Stabilirea normei portugheze pentru un sistem de gestionare a egalității de remunerare. </w:t>
            </w:r>
          </w:p>
        </w:tc>
        <w:tc>
          <w:tcPr>
            <w:tcW w:w="1275" w:type="dxa"/>
            <w:shd w:val="clear" w:color="auto" w:fill="C4EFCE"/>
            <w:noWrap/>
            <w:vAlign w:val="center"/>
            <w:hideMark/>
          </w:tcPr>
          <w:p w14:paraId="55000A29" w14:textId="77777777" w:rsidR="00A15990" w:rsidRDefault="00686A62">
            <w:pPr>
              <w:pStyle w:val="P68B1DB1-Normal8"/>
              <w:spacing w:after="0" w:line="240" w:lineRule="auto"/>
              <w:jc w:val="center"/>
              <w:rPr>
                <w:rFonts w:eastAsia="Times New Roman" w:cs="Calibri"/>
                <w:noProof/>
              </w:rPr>
            </w:pPr>
            <w:r>
              <w:rPr>
                <w:noProof/>
              </w:rPr>
              <w:t>Publicarea normei</w:t>
            </w:r>
          </w:p>
        </w:tc>
        <w:tc>
          <w:tcPr>
            <w:tcW w:w="993" w:type="dxa"/>
            <w:shd w:val="clear" w:color="auto" w:fill="C4EFCE"/>
            <w:noWrap/>
            <w:vAlign w:val="center"/>
            <w:hideMark/>
          </w:tcPr>
          <w:p w14:paraId="7D92AA79"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EA2CD27"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46A55245"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F51F9B5"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16E56A06" w14:textId="77777777" w:rsidR="00A15990" w:rsidRDefault="00686A62">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7A2136C7" w14:textId="77777777" w:rsidR="00A15990" w:rsidRDefault="00686A62">
            <w:pPr>
              <w:pStyle w:val="P68B1DB1-Normal8"/>
              <w:spacing w:after="0" w:line="240" w:lineRule="auto"/>
              <w:jc w:val="both"/>
              <w:rPr>
                <w:rFonts w:eastAsia="Times New Roman" w:cs="Calibri"/>
                <w:noProof/>
              </w:rPr>
            </w:pPr>
            <w:r>
              <w:rPr>
                <w:noProof/>
              </w:rPr>
              <w:t>Norma este un sistem voluntar bazat pe Islanda Norm ÍST 85: 2012, acordarea recunoașterii publice întreprinderilor care au pus efectiv în aplicare politici privind egalitatea de remunerare. Certificatele se eliberează pentru a confirma că, atunci când se iau decizii privind salariile, acestea se bazează în întregime pe considerente relevante.</w:t>
            </w:r>
          </w:p>
        </w:tc>
      </w:tr>
      <w:tr w:rsidR="00A15990" w14:paraId="3DEAC6EC" w14:textId="77777777">
        <w:trPr>
          <w:trHeight w:val="640"/>
        </w:trPr>
        <w:tc>
          <w:tcPr>
            <w:tcW w:w="1135" w:type="dxa"/>
            <w:shd w:val="clear" w:color="auto" w:fill="C5EFCE"/>
            <w:vAlign w:val="center"/>
            <w:hideMark/>
          </w:tcPr>
          <w:p w14:paraId="05280834" w14:textId="77777777" w:rsidR="00A15990" w:rsidRDefault="00686A62">
            <w:pPr>
              <w:pStyle w:val="P68B1DB1-Normal7"/>
              <w:spacing w:after="0" w:line="240" w:lineRule="auto"/>
              <w:jc w:val="center"/>
              <w:rPr>
                <w:rFonts w:eastAsia="Times New Roman" w:cs="Calibri"/>
                <w:noProof/>
              </w:rPr>
            </w:pPr>
            <w:r>
              <w:rPr>
                <w:noProof/>
              </w:rPr>
              <w:t>6.18</w:t>
            </w:r>
          </w:p>
        </w:tc>
        <w:tc>
          <w:tcPr>
            <w:tcW w:w="1276" w:type="dxa"/>
            <w:shd w:val="clear" w:color="auto" w:fill="C4EFCE"/>
            <w:noWrap/>
            <w:vAlign w:val="center"/>
            <w:hideMark/>
          </w:tcPr>
          <w:p w14:paraId="6BCF6F48" w14:textId="77777777" w:rsidR="00A15990" w:rsidRDefault="00686A62">
            <w:pPr>
              <w:pStyle w:val="P68B1DB1-Normal8"/>
              <w:spacing w:after="0" w:line="240" w:lineRule="auto"/>
              <w:jc w:val="center"/>
              <w:rPr>
                <w:rFonts w:eastAsia="Times New Roman" w:cs="Calibri"/>
                <w:noProof/>
              </w:rPr>
            </w:pPr>
            <w:r>
              <w:rPr>
                <w:noProof/>
              </w:rPr>
              <w:t>RE-C06-r18</w:t>
            </w:r>
          </w:p>
        </w:tc>
        <w:tc>
          <w:tcPr>
            <w:tcW w:w="1134" w:type="dxa"/>
            <w:shd w:val="clear" w:color="auto" w:fill="C4EFCE"/>
            <w:noWrap/>
            <w:vAlign w:val="center"/>
            <w:hideMark/>
          </w:tcPr>
          <w:p w14:paraId="0FED066F"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31C8BBF" w14:textId="77777777" w:rsidR="00A15990" w:rsidRDefault="00686A62">
            <w:pPr>
              <w:pStyle w:val="P68B1DB1-Normal8"/>
              <w:spacing w:after="0" w:line="240" w:lineRule="auto"/>
              <w:jc w:val="center"/>
              <w:rPr>
                <w:rFonts w:eastAsia="Times New Roman" w:cs="Calibri"/>
                <w:noProof/>
              </w:rPr>
            </w:pPr>
            <w:r>
              <w:rPr>
                <w:noProof/>
              </w:rPr>
              <w:t>Notificarea întreprinderilor cu peste 50 de lucrători care prezintă diferențe semnificative de remunerare între femei și bărbați</w:t>
            </w:r>
          </w:p>
        </w:tc>
        <w:tc>
          <w:tcPr>
            <w:tcW w:w="1275" w:type="dxa"/>
            <w:shd w:val="clear" w:color="auto" w:fill="C4EFCE"/>
            <w:noWrap/>
            <w:vAlign w:val="center"/>
            <w:hideMark/>
          </w:tcPr>
          <w:p w14:paraId="4929D370" w14:textId="77777777" w:rsidR="00A15990" w:rsidRDefault="00686A62">
            <w:pPr>
              <w:pStyle w:val="P68B1DB1-Normal8"/>
              <w:spacing w:after="0" w:line="240" w:lineRule="auto"/>
              <w:jc w:val="center"/>
              <w:rPr>
                <w:rFonts w:eastAsia="Times New Roman" w:cs="Calibri"/>
                <w:noProof/>
              </w:rPr>
            </w:pPr>
            <w:r>
              <w:rPr>
                <w:noProof/>
              </w:rPr>
              <w:t>Notificarea întreprinderilor cu peste 50 de lucrători care prezintă diferențe semnificative de remunerare între femei și bărbați</w:t>
            </w:r>
          </w:p>
        </w:tc>
        <w:tc>
          <w:tcPr>
            <w:tcW w:w="993" w:type="dxa"/>
            <w:shd w:val="clear" w:color="auto" w:fill="C4EFCE"/>
            <w:noWrap/>
            <w:vAlign w:val="center"/>
            <w:hideMark/>
          </w:tcPr>
          <w:p w14:paraId="64A13A3D"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8442C1A"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0A5C912E"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1C3A39E0"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00CB07A4" w14:textId="77777777" w:rsidR="00A15990" w:rsidRDefault="00686A62">
            <w:pPr>
              <w:pStyle w:val="P68B1DB1-Normal8"/>
              <w:spacing w:after="0" w:line="240" w:lineRule="auto"/>
              <w:jc w:val="center"/>
              <w:rPr>
                <w:rFonts w:eastAsia="Times New Roman" w:cs="Calibri"/>
                <w:noProof/>
              </w:rPr>
            </w:pPr>
            <w:r>
              <w:rPr>
                <w:noProof/>
              </w:rPr>
              <w:t>2024</w:t>
            </w:r>
          </w:p>
        </w:tc>
        <w:tc>
          <w:tcPr>
            <w:tcW w:w="4395" w:type="dxa"/>
            <w:shd w:val="clear" w:color="auto" w:fill="C4EFCE"/>
            <w:vAlign w:val="center"/>
            <w:hideMark/>
          </w:tcPr>
          <w:p w14:paraId="07F0DA13" w14:textId="77777777" w:rsidR="00A15990" w:rsidRDefault="00686A62">
            <w:pPr>
              <w:pStyle w:val="P68B1DB1-Normal8"/>
              <w:spacing w:after="0" w:line="240" w:lineRule="auto"/>
              <w:jc w:val="both"/>
              <w:rPr>
                <w:rFonts w:eastAsia="Times New Roman" w:cs="Calibri"/>
                <w:noProof/>
              </w:rPr>
            </w:pPr>
            <w:r>
              <w:rPr>
                <w:noProof/>
              </w:rPr>
              <w:t>Notificarea întreprinderilor cu peste 50 de lucrători care au diferențe semnificative în ceea ce privește nivelurile de remunerare între femei și bărbați pentru aceleași locuri de muncă a obligației de a prezenta Direcției Inspectoratului Muncii un plan de acțiune pentru a aborda disparitățile salariale de gen prin punerea în aplicare a planului de acțiune</w:t>
            </w:r>
          </w:p>
        </w:tc>
      </w:tr>
      <w:tr w:rsidR="00A15990" w14:paraId="7D8D557E" w14:textId="77777777">
        <w:trPr>
          <w:trHeight w:val="273"/>
        </w:trPr>
        <w:tc>
          <w:tcPr>
            <w:tcW w:w="1135" w:type="dxa"/>
            <w:shd w:val="clear" w:color="auto" w:fill="C5EFCE"/>
            <w:vAlign w:val="center"/>
          </w:tcPr>
          <w:p w14:paraId="6DB0713C" w14:textId="52D6D02F" w:rsidR="00A15990" w:rsidRDefault="00686A62">
            <w:pPr>
              <w:pStyle w:val="P68B1DB1-Normal11"/>
              <w:spacing w:after="0" w:line="240" w:lineRule="auto"/>
              <w:jc w:val="center"/>
              <w:rPr>
                <w:rFonts w:eastAsia="Times New Roman"/>
                <w:noProof/>
              </w:rPr>
            </w:pPr>
            <w:r>
              <w:rPr>
                <w:noProof/>
              </w:rPr>
              <w:t>6.19</w:t>
            </w:r>
          </w:p>
        </w:tc>
        <w:tc>
          <w:tcPr>
            <w:tcW w:w="1276" w:type="dxa"/>
            <w:shd w:val="clear" w:color="auto" w:fill="C4EFCE"/>
            <w:noWrap/>
            <w:vAlign w:val="center"/>
          </w:tcPr>
          <w:p w14:paraId="24F4FD24" w14:textId="15FD8AA5" w:rsidR="00A15990" w:rsidRDefault="00686A62">
            <w:pPr>
              <w:pStyle w:val="P68B1DB1-Normal12"/>
              <w:spacing w:after="0" w:line="240" w:lineRule="auto"/>
              <w:jc w:val="center"/>
              <w:rPr>
                <w:rFonts w:eastAsia="Times New Roman" w:cstheme="minorHAnsi"/>
                <w:noProof/>
              </w:rPr>
            </w:pPr>
            <w:r>
              <w:rPr>
                <w:noProof/>
              </w:rPr>
              <w:t>RE-C06-i06</w:t>
            </w:r>
          </w:p>
        </w:tc>
        <w:tc>
          <w:tcPr>
            <w:tcW w:w="1134" w:type="dxa"/>
            <w:shd w:val="clear" w:color="auto" w:fill="C4EFCE"/>
            <w:noWrap/>
            <w:vAlign w:val="center"/>
          </w:tcPr>
          <w:p w14:paraId="65A01FAC" w14:textId="3ABCA12D"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AEC0245" w14:textId="6EE157E7" w:rsidR="00A15990" w:rsidRDefault="00686A62">
            <w:pPr>
              <w:pStyle w:val="P68B1DB1-Bodytext1013"/>
              <w:jc w:val="center"/>
              <w:rPr>
                <w:rFonts w:cstheme="minorBidi"/>
                <w:noProof/>
              </w:rPr>
            </w:pPr>
            <w:r>
              <w:rPr>
                <w:noProof/>
              </w:rPr>
              <w:t>Sprijin pentru contracte permanente cu cercetători doctoranzi în cadrul FCT-Tenure și sprijin pentru cercetători în cadrul CEC Portugalia</w:t>
            </w:r>
          </w:p>
        </w:tc>
        <w:tc>
          <w:tcPr>
            <w:tcW w:w="1275" w:type="dxa"/>
            <w:shd w:val="clear" w:color="auto" w:fill="C4EFCE"/>
            <w:noWrap/>
            <w:vAlign w:val="center"/>
          </w:tcPr>
          <w:p w14:paraId="5B1FE369"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716424E2" w14:textId="6461DA4A" w:rsidR="00A15990" w:rsidRDefault="00686A62">
            <w:pPr>
              <w:pStyle w:val="P68B1DB1-Normal12"/>
              <w:spacing w:after="0" w:line="240" w:lineRule="auto"/>
              <w:jc w:val="center"/>
              <w:rPr>
                <w:rFonts w:eastAsia="Times New Roman" w:cstheme="minorHAnsi"/>
                <w:noProof/>
              </w:rPr>
            </w:pPr>
            <w:r>
              <w:rPr>
                <w:noProof/>
              </w:rPr>
              <w:t>Numărul de contracte</w:t>
            </w:r>
          </w:p>
        </w:tc>
        <w:tc>
          <w:tcPr>
            <w:tcW w:w="992" w:type="dxa"/>
            <w:shd w:val="clear" w:color="auto" w:fill="C4EFCE"/>
            <w:noWrap/>
            <w:vAlign w:val="center"/>
          </w:tcPr>
          <w:p w14:paraId="29E7E7F7" w14:textId="77777777" w:rsidR="00A15990" w:rsidRDefault="00A15990">
            <w:pPr>
              <w:spacing w:after="0" w:line="240" w:lineRule="auto"/>
              <w:jc w:val="center"/>
              <w:rPr>
                <w:rFonts w:eastAsia="Times New Roman" w:cstheme="minorHAnsi"/>
                <w:noProof/>
                <w:sz w:val="16"/>
              </w:rPr>
            </w:pPr>
          </w:p>
        </w:tc>
        <w:tc>
          <w:tcPr>
            <w:tcW w:w="850" w:type="dxa"/>
            <w:shd w:val="clear" w:color="auto" w:fill="C4EFCE"/>
            <w:noWrap/>
            <w:vAlign w:val="center"/>
          </w:tcPr>
          <w:p w14:paraId="40BABDEE" w14:textId="58953BB8" w:rsidR="00A15990" w:rsidRDefault="00686A62">
            <w:pPr>
              <w:pStyle w:val="P68B1DB1-Normal12"/>
              <w:spacing w:after="0" w:line="240" w:lineRule="auto"/>
              <w:jc w:val="center"/>
              <w:rPr>
                <w:noProof/>
              </w:rPr>
            </w:pPr>
            <w:r>
              <w:rPr>
                <w:noProof/>
              </w:rPr>
              <w:t>255</w:t>
            </w:r>
          </w:p>
        </w:tc>
        <w:tc>
          <w:tcPr>
            <w:tcW w:w="567" w:type="dxa"/>
            <w:shd w:val="clear" w:color="auto" w:fill="C4EFCE"/>
            <w:noWrap/>
            <w:vAlign w:val="center"/>
          </w:tcPr>
          <w:p w14:paraId="57152D13" w14:textId="3FC6943F"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626F1508" w14:textId="403213AC" w:rsidR="00A15990" w:rsidRDefault="00686A62">
            <w:pPr>
              <w:pStyle w:val="P68B1DB1-Normal12"/>
              <w:spacing w:after="0" w:line="240" w:lineRule="auto"/>
              <w:jc w:val="center"/>
              <w:rPr>
                <w:rFonts w:eastAsia="Times New Roman" w:cstheme="minorHAnsi"/>
                <w:noProof/>
              </w:rPr>
            </w:pPr>
            <w:r>
              <w:rPr>
                <w:noProof/>
              </w:rPr>
              <w:t>2026</w:t>
            </w:r>
          </w:p>
        </w:tc>
        <w:tc>
          <w:tcPr>
            <w:tcW w:w="4395" w:type="dxa"/>
            <w:shd w:val="clear" w:color="auto" w:fill="C4EFCE"/>
          </w:tcPr>
          <w:p w14:paraId="3EEEBBB2" w14:textId="4A4F68FE" w:rsidR="00A15990" w:rsidRDefault="00686A62">
            <w:pPr>
              <w:pStyle w:val="P68B1DB1-Bodytext1013"/>
              <w:spacing w:after="0" w:line="240" w:lineRule="auto"/>
              <w:jc w:val="both"/>
              <w:rPr>
                <w:rFonts w:cstheme="minorBidi"/>
                <w:noProof/>
              </w:rPr>
            </w:pPr>
            <w:r>
              <w:rPr>
                <w:noProof/>
              </w:rPr>
              <w:t>230 contracte permanente vor fi semnate cu doctoranzi selecționați prin concursuri.</w:t>
            </w:r>
          </w:p>
          <w:p w14:paraId="5A86B9A8" w14:textId="3357027D" w:rsidR="00A15990" w:rsidRDefault="00686A62">
            <w:pPr>
              <w:pStyle w:val="P68B1DB1-Bodytext1013"/>
              <w:spacing w:after="0" w:line="240" w:lineRule="auto"/>
              <w:jc w:val="both"/>
              <w:rPr>
                <w:rFonts w:cstheme="minorBidi"/>
                <w:noProof/>
              </w:rPr>
            </w:pPr>
            <w:r>
              <w:rPr>
                <w:noProof/>
              </w:rPr>
              <w:t>Se semnează 25 contracte cu cercetătorii ale căror proiecte sunt recomandate pentru finanțare la nivel european sau național și cu cercetătorii ale căror cereri CEC au fost recomandate pentru finanțare sau ale căror cereri au fost recomandate pentru finanțare, dar nu au fost finanțate în cele din urmă.</w:t>
            </w:r>
          </w:p>
        </w:tc>
      </w:tr>
      <w:tr w:rsidR="00A15990" w14:paraId="6C354C45" w14:textId="77777777">
        <w:trPr>
          <w:trHeight w:val="640"/>
        </w:trPr>
        <w:tc>
          <w:tcPr>
            <w:tcW w:w="1135" w:type="dxa"/>
            <w:shd w:val="clear" w:color="auto" w:fill="C5EFCE"/>
            <w:vAlign w:val="center"/>
          </w:tcPr>
          <w:p w14:paraId="3122B51F" w14:textId="63A658E0" w:rsidR="00A15990" w:rsidRDefault="00686A62">
            <w:pPr>
              <w:pStyle w:val="P68B1DB1-Normal11"/>
              <w:spacing w:after="0" w:line="240" w:lineRule="auto"/>
              <w:jc w:val="center"/>
              <w:rPr>
                <w:rFonts w:eastAsia="Times New Roman"/>
                <w:noProof/>
              </w:rPr>
            </w:pPr>
            <w:r>
              <w:rPr>
                <w:noProof/>
              </w:rPr>
              <w:t>6.20</w:t>
            </w:r>
          </w:p>
        </w:tc>
        <w:tc>
          <w:tcPr>
            <w:tcW w:w="1276" w:type="dxa"/>
            <w:shd w:val="clear" w:color="auto" w:fill="C4EFCE"/>
            <w:noWrap/>
            <w:vAlign w:val="center"/>
          </w:tcPr>
          <w:p w14:paraId="1B8B3816" w14:textId="7564BF5E" w:rsidR="00A15990" w:rsidRDefault="00686A62">
            <w:pPr>
              <w:pStyle w:val="P68B1DB1-Normal12"/>
              <w:spacing w:after="0" w:line="240" w:lineRule="auto"/>
              <w:jc w:val="center"/>
              <w:rPr>
                <w:rFonts w:eastAsia="Times New Roman" w:cstheme="minorHAnsi"/>
                <w:noProof/>
              </w:rPr>
            </w:pPr>
            <w:r>
              <w:rPr>
                <w:noProof/>
              </w:rPr>
              <w:t>RE-C06-i06</w:t>
            </w:r>
          </w:p>
        </w:tc>
        <w:tc>
          <w:tcPr>
            <w:tcW w:w="1134" w:type="dxa"/>
            <w:shd w:val="clear" w:color="auto" w:fill="C4EFCE"/>
            <w:noWrap/>
            <w:vAlign w:val="center"/>
          </w:tcPr>
          <w:p w14:paraId="46F364F4" w14:textId="76B61AEE"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274D0FE" w14:textId="05A036E6" w:rsidR="00A15990" w:rsidRDefault="00686A62">
            <w:pPr>
              <w:pStyle w:val="P68B1DB1-Normal12"/>
              <w:spacing w:after="0" w:line="240" w:lineRule="auto"/>
              <w:jc w:val="center"/>
              <w:rPr>
                <w:rFonts w:eastAsia="Times New Roman" w:cstheme="minorHAnsi"/>
                <w:noProof/>
              </w:rPr>
            </w:pPr>
            <w:r>
              <w:rPr>
                <w:noProof/>
              </w:rPr>
              <w:t>Parteneriate internaționale în domeniul științei, tehnologiei și inovării: Sprijinirea parteneriatelor internaționale; Proiecte de C &amp;Isprijinită; Sprijin pentru mobilitatea internațională</w:t>
            </w:r>
          </w:p>
        </w:tc>
        <w:tc>
          <w:tcPr>
            <w:tcW w:w="1275" w:type="dxa"/>
            <w:shd w:val="clear" w:color="auto" w:fill="C4EFCE"/>
            <w:noWrap/>
            <w:vAlign w:val="center"/>
          </w:tcPr>
          <w:p w14:paraId="56824669" w14:textId="4A80532A" w:rsidR="00A15990" w:rsidRDefault="00686A62">
            <w:pPr>
              <w:pStyle w:val="P68B1DB1-Normal12"/>
              <w:spacing w:after="0" w:line="240" w:lineRule="auto"/>
              <w:jc w:val="center"/>
              <w:rPr>
                <w:rFonts w:eastAsia="Times New Roman"/>
                <w:noProof/>
              </w:rPr>
            </w:pPr>
            <w:r>
              <w:rPr>
                <w:noProof/>
              </w:rPr>
              <w:t>Parteneriate internaționale în domeniul științei, tehnologiei și inovării: Sprijinirea parteneriatelor internaționale; Proiecte de C &amp;Isprijinită; Sprijin pentru mobilitatea internațională</w:t>
            </w:r>
          </w:p>
        </w:tc>
        <w:tc>
          <w:tcPr>
            <w:tcW w:w="993" w:type="dxa"/>
            <w:shd w:val="clear" w:color="auto" w:fill="C4EFCE"/>
            <w:noWrap/>
            <w:vAlign w:val="center"/>
          </w:tcPr>
          <w:p w14:paraId="5ED41571" w14:textId="1AF5D95C" w:rsidR="00A15990" w:rsidRDefault="00A15990">
            <w:pPr>
              <w:spacing w:after="0" w:line="240" w:lineRule="auto"/>
              <w:jc w:val="center"/>
              <w:rPr>
                <w:noProof/>
                <w:sz w:val="16"/>
              </w:rPr>
            </w:pPr>
          </w:p>
        </w:tc>
        <w:tc>
          <w:tcPr>
            <w:tcW w:w="992" w:type="dxa"/>
            <w:shd w:val="clear" w:color="auto" w:fill="C4EFCE"/>
            <w:noWrap/>
            <w:vAlign w:val="center"/>
          </w:tcPr>
          <w:p w14:paraId="09478518" w14:textId="77777777" w:rsidR="00A15990" w:rsidRDefault="00A15990">
            <w:pPr>
              <w:spacing w:after="0" w:line="240" w:lineRule="auto"/>
              <w:jc w:val="center"/>
              <w:rPr>
                <w:rFonts w:eastAsia="Times New Roman" w:cstheme="minorHAnsi"/>
                <w:noProof/>
                <w:sz w:val="16"/>
              </w:rPr>
            </w:pPr>
          </w:p>
        </w:tc>
        <w:tc>
          <w:tcPr>
            <w:tcW w:w="850" w:type="dxa"/>
            <w:shd w:val="clear" w:color="auto" w:fill="C4EFCE"/>
            <w:noWrap/>
            <w:vAlign w:val="center"/>
          </w:tcPr>
          <w:p w14:paraId="17C9928F"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2B082B34" w14:textId="23598E88"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736E26A8" w14:textId="3DBDCE66" w:rsidR="00A15990" w:rsidRDefault="00686A62">
            <w:pPr>
              <w:pStyle w:val="P68B1DB1-Normal12"/>
              <w:spacing w:after="0" w:line="240" w:lineRule="auto"/>
              <w:jc w:val="center"/>
              <w:rPr>
                <w:rFonts w:eastAsia="Times New Roman" w:cstheme="minorHAnsi"/>
                <w:noProof/>
              </w:rPr>
            </w:pPr>
            <w:r>
              <w:rPr>
                <w:noProof/>
              </w:rPr>
              <w:t>2026</w:t>
            </w:r>
          </w:p>
        </w:tc>
        <w:tc>
          <w:tcPr>
            <w:tcW w:w="4395" w:type="dxa"/>
            <w:shd w:val="clear" w:color="auto" w:fill="C4EFCE"/>
            <w:vAlign w:val="center"/>
          </w:tcPr>
          <w:p w14:paraId="35A3F479" w14:textId="7E0BEAF8" w:rsidR="00A15990" w:rsidRDefault="00686A62">
            <w:pPr>
              <w:pStyle w:val="P68B1DB1-Bodytext1013"/>
              <w:spacing w:after="0" w:line="240" w:lineRule="auto"/>
              <w:jc w:val="both"/>
              <w:rPr>
                <w:rFonts w:cstheme="minorBidi"/>
                <w:noProof/>
              </w:rPr>
            </w:pPr>
            <w:r>
              <w:rPr>
                <w:noProof/>
              </w:rPr>
              <w:t>Se semnează șase contracte pentru parteneriate internaționale în domeniul științei, tehnologiei și inovării cu instituțiile-gazdă naționale.</w:t>
            </w:r>
          </w:p>
          <w:p w14:paraId="1570EE45" w14:textId="77777777" w:rsidR="00A15990" w:rsidRDefault="00A15990">
            <w:pPr>
              <w:pStyle w:val="Bodytext10"/>
              <w:spacing w:after="0" w:line="240" w:lineRule="auto"/>
              <w:jc w:val="both"/>
              <w:rPr>
                <w:rFonts w:asciiTheme="minorHAnsi" w:hAnsiTheme="minorHAnsi" w:cstheme="minorBidi"/>
                <w:noProof/>
                <w:sz w:val="16"/>
              </w:rPr>
            </w:pPr>
          </w:p>
          <w:p w14:paraId="6DE6A27E" w14:textId="4F262688" w:rsidR="00A15990" w:rsidRDefault="00686A62">
            <w:pPr>
              <w:pStyle w:val="P68B1DB1-Bodytext1013"/>
              <w:spacing w:after="0" w:line="240" w:lineRule="auto"/>
              <w:jc w:val="both"/>
              <w:rPr>
                <w:rFonts w:cstheme="minorBidi"/>
                <w:noProof/>
              </w:rPr>
            </w:pPr>
            <w:r>
              <w:rPr>
                <w:noProof/>
              </w:rPr>
              <w:t>Vor fi sprijinite 30 de proiecte, alianțe și infrastructuri cu participare națională selectate la nivel european.</w:t>
            </w:r>
          </w:p>
          <w:p w14:paraId="63CDE0C8" w14:textId="71BFC2F0" w:rsidR="00A15990" w:rsidRDefault="00686A62">
            <w:pPr>
              <w:pStyle w:val="P68B1DB1-Bodytext1013"/>
              <w:spacing w:after="0" w:line="240" w:lineRule="auto"/>
              <w:jc w:val="both"/>
              <w:rPr>
                <w:rFonts w:cstheme="minorBidi"/>
                <w:noProof/>
              </w:rPr>
            </w:pPr>
            <w:r>
              <w:rPr>
                <w:noProof/>
              </w:rPr>
              <w:t>Va fi sprijinită mobilitatea internațională a 100 de cercetători și profesori naționali.</w:t>
            </w:r>
          </w:p>
        </w:tc>
      </w:tr>
      <w:tr w:rsidR="00A15990" w14:paraId="66721075" w14:textId="77777777">
        <w:trPr>
          <w:trHeight w:val="640"/>
        </w:trPr>
        <w:tc>
          <w:tcPr>
            <w:tcW w:w="1135" w:type="dxa"/>
            <w:shd w:val="clear" w:color="auto" w:fill="C5EFCE"/>
            <w:vAlign w:val="center"/>
          </w:tcPr>
          <w:p w14:paraId="48CD17D8" w14:textId="27C11524" w:rsidR="00A15990" w:rsidRDefault="00686A62">
            <w:pPr>
              <w:pStyle w:val="P68B1DB1-Normal11"/>
              <w:spacing w:after="0" w:line="240" w:lineRule="auto"/>
              <w:jc w:val="center"/>
              <w:rPr>
                <w:noProof/>
              </w:rPr>
            </w:pPr>
            <w:r>
              <w:rPr>
                <w:noProof/>
              </w:rPr>
              <w:t>6.21</w:t>
            </w:r>
          </w:p>
        </w:tc>
        <w:tc>
          <w:tcPr>
            <w:tcW w:w="1276" w:type="dxa"/>
            <w:shd w:val="clear" w:color="auto" w:fill="C4EFCE"/>
            <w:noWrap/>
            <w:vAlign w:val="center"/>
          </w:tcPr>
          <w:p w14:paraId="7F188F7C" w14:textId="66E53AF2" w:rsidR="00A15990" w:rsidRDefault="00686A62">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C4575F7" w14:textId="03133D2B" w:rsidR="00A15990" w:rsidRDefault="00686A62">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FCB708D" w14:textId="3B3E8E18" w:rsidR="00A15990" w:rsidRDefault="00686A62">
            <w:pPr>
              <w:pStyle w:val="P68B1DB1-Normal12"/>
              <w:spacing w:after="0" w:line="240" w:lineRule="auto"/>
              <w:jc w:val="center"/>
              <w:rPr>
                <w:noProof/>
              </w:rPr>
            </w:pPr>
            <w:r>
              <w:rPr>
                <w:noProof/>
              </w:rPr>
              <w:t xml:space="preserve">Modernizarea tehnologică și digitală a științelor agrare: Reforma programei de studii în domeniul științelor agrare, deschiderea școlilor agricole pentru elevii din învățământul secundar și recalificarea profesioniștilor  </w:t>
            </w:r>
          </w:p>
        </w:tc>
        <w:tc>
          <w:tcPr>
            <w:tcW w:w="1275" w:type="dxa"/>
            <w:shd w:val="clear" w:color="auto" w:fill="C4EFCE"/>
            <w:noWrap/>
            <w:vAlign w:val="center"/>
          </w:tcPr>
          <w:p w14:paraId="7AA9B9BF" w14:textId="42CE9F74" w:rsidR="00A15990" w:rsidRDefault="00A15990">
            <w:pPr>
              <w:spacing w:after="0" w:line="240" w:lineRule="auto"/>
              <w:jc w:val="center"/>
              <w:rPr>
                <w:noProof/>
                <w:sz w:val="16"/>
              </w:rPr>
            </w:pPr>
          </w:p>
        </w:tc>
        <w:tc>
          <w:tcPr>
            <w:tcW w:w="993" w:type="dxa"/>
            <w:shd w:val="clear" w:color="auto" w:fill="C4EFCE"/>
            <w:noWrap/>
            <w:vAlign w:val="center"/>
          </w:tcPr>
          <w:p w14:paraId="5C47BD23" w14:textId="71BE01C2" w:rsidR="00A15990" w:rsidRDefault="00686A62">
            <w:pPr>
              <w:pStyle w:val="P68B1DB1-Normal12"/>
              <w:spacing w:after="0" w:line="240" w:lineRule="auto"/>
              <w:jc w:val="center"/>
              <w:rPr>
                <w:noProof/>
              </w:rPr>
            </w:pPr>
            <w:r>
              <w:rPr>
                <w:noProof/>
              </w:rPr>
              <w:t>Numărul</w:t>
            </w:r>
          </w:p>
        </w:tc>
        <w:tc>
          <w:tcPr>
            <w:tcW w:w="992" w:type="dxa"/>
            <w:shd w:val="clear" w:color="auto" w:fill="C4EFCE"/>
            <w:noWrap/>
            <w:vAlign w:val="center"/>
          </w:tcPr>
          <w:p w14:paraId="472FBF28" w14:textId="2DD9CCA7" w:rsidR="00A15990" w:rsidRDefault="00686A62">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0DC53A66" w14:textId="64A65D02" w:rsidR="00A15990" w:rsidRDefault="00686A62">
            <w:pPr>
              <w:pStyle w:val="P68B1DB1-Normal12"/>
              <w:spacing w:after="0" w:line="240" w:lineRule="auto"/>
              <w:jc w:val="center"/>
              <w:rPr>
                <w:rFonts w:eastAsia="Times New Roman"/>
                <w:noProof/>
              </w:rPr>
            </w:pPr>
            <w:r>
              <w:rPr>
                <w:noProof/>
              </w:rPr>
              <w:t>7 020</w:t>
            </w:r>
          </w:p>
        </w:tc>
        <w:tc>
          <w:tcPr>
            <w:tcW w:w="567" w:type="dxa"/>
            <w:shd w:val="clear" w:color="auto" w:fill="C4EFCE"/>
            <w:noWrap/>
            <w:vAlign w:val="center"/>
          </w:tcPr>
          <w:p w14:paraId="625E1EDD" w14:textId="12420CA2" w:rsidR="00A15990" w:rsidRDefault="00686A62">
            <w:pPr>
              <w:pStyle w:val="P68B1DB1-Normal12"/>
              <w:spacing w:after="0" w:line="240" w:lineRule="auto"/>
              <w:jc w:val="center"/>
              <w:rPr>
                <w:rFonts w:cstheme="minorHAnsi"/>
                <w:noProof/>
              </w:rPr>
            </w:pPr>
            <w:r>
              <w:rPr>
                <w:noProof/>
              </w:rPr>
              <w:t>TRIMESTRUL 2</w:t>
            </w:r>
          </w:p>
        </w:tc>
        <w:tc>
          <w:tcPr>
            <w:tcW w:w="708" w:type="dxa"/>
            <w:shd w:val="clear" w:color="auto" w:fill="C4EFCE"/>
            <w:noWrap/>
            <w:vAlign w:val="center"/>
          </w:tcPr>
          <w:p w14:paraId="4FD2ECE2" w14:textId="0AEB54AF" w:rsidR="00A15990" w:rsidRDefault="00686A62">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D0A3DF6" w14:textId="2108C601" w:rsidR="00A15990" w:rsidRDefault="00686A62">
            <w:pPr>
              <w:pStyle w:val="P68B1DB1-Bodytext1013"/>
              <w:spacing w:after="0" w:line="240" w:lineRule="auto"/>
              <w:jc w:val="both"/>
              <w:rPr>
                <w:rFonts w:cstheme="minorBidi"/>
                <w:noProof/>
              </w:rPr>
            </w:pPr>
            <w:r>
              <w:rPr>
                <w:noProof/>
              </w:rPr>
              <w:t>Reforma pusă în aplicare a programelor universitare cu 20 diplome (licență, masterat sau ambele) în științe agrare prin:</w:t>
            </w:r>
          </w:p>
          <w:p w14:paraId="6CF7E7C6" w14:textId="77777777" w:rsidR="00A15990" w:rsidRDefault="00686A62">
            <w:pPr>
              <w:pStyle w:val="P68B1DB1-Bodytext1013"/>
              <w:spacing w:after="0" w:line="240" w:lineRule="auto"/>
              <w:jc w:val="both"/>
              <w:rPr>
                <w:rFonts w:cstheme="minorBidi"/>
                <w:noProof/>
              </w:rPr>
            </w:pPr>
            <w:r>
              <w:rPr>
                <w:noProof/>
              </w:rPr>
              <w:t>consolidarea componentei sale digitale și tehnologice, prin achiziționarea de echipamente pentru instituțiile de învățământ</w:t>
            </w:r>
          </w:p>
          <w:p w14:paraId="7D8375DC" w14:textId="3010FE9E" w:rsidR="00A15990" w:rsidRDefault="00686A62">
            <w:pPr>
              <w:pStyle w:val="P68B1DB1-Bodytext1013"/>
              <w:spacing w:after="0" w:line="240" w:lineRule="auto"/>
              <w:jc w:val="both"/>
              <w:rPr>
                <w:rFonts w:cstheme="minorBidi"/>
                <w:noProof/>
              </w:rPr>
            </w:pPr>
            <w:r>
              <w:rPr>
                <w:noProof/>
              </w:rPr>
              <w:t>internaționalizarea, inclusiv deținerea de scaune invitate</w:t>
            </w:r>
          </w:p>
          <w:p w14:paraId="1227FFF1" w14:textId="319AEAE0" w:rsidR="00A15990" w:rsidRDefault="00686A62">
            <w:pPr>
              <w:pStyle w:val="P68B1DB1-Bodytext1013"/>
              <w:spacing w:after="0" w:line="240" w:lineRule="auto"/>
              <w:jc w:val="both"/>
              <w:rPr>
                <w:rFonts w:cstheme="minorBidi"/>
                <w:noProof/>
              </w:rPr>
            </w:pPr>
            <w:r>
              <w:rPr>
                <w:noProof/>
              </w:rPr>
              <w:t xml:space="preserve">cooperarea interinstituțională prin punerea în aplicare a strategiei de internaționalizare a educației agricole în cadrul unui consorțiu. </w:t>
            </w:r>
          </w:p>
          <w:p w14:paraId="53ABA183" w14:textId="319AEAE0" w:rsidR="00A15990" w:rsidRDefault="00A15990">
            <w:pPr>
              <w:pStyle w:val="Bodytext10"/>
              <w:spacing w:after="0" w:line="240" w:lineRule="auto"/>
              <w:jc w:val="both"/>
              <w:rPr>
                <w:rStyle w:val="Bodytext1"/>
                <w:rFonts w:asciiTheme="minorHAnsi" w:hAnsiTheme="minorHAnsi" w:cstheme="minorBidi"/>
                <w:noProof/>
                <w:sz w:val="16"/>
              </w:rPr>
            </w:pPr>
          </w:p>
          <w:p w14:paraId="496B7FD9" w14:textId="544DE159" w:rsidR="00A15990" w:rsidRDefault="00686A62">
            <w:pPr>
              <w:pStyle w:val="P68B1DB1-Bodytext1013"/>
              <w:spacing w:after="0" w:line="240" w:lineRule="auto"/>
              <w:jc w:val="both"/>
              <w:rPr>
                <w:rFonts w:cstheme="minorBidi"/>
                <w:noProof/>
              </w:rPr>
            </w:pPr>
            <w:r>
              <w:rPr>
                <w:noProof/>
              </w:rPr>
              <w:t>6000 de elevi din învățământul secundar vor beneficia de un program de o săptămână în școlile agricole, menit să sporească atractivitatea școlilor agricole pentru potențialii candidați.</w:t>
            </w:r>
          </w:p>
          <w:p w14:paraId="1FC3030B" w14:textId="3C773367" w:rsidR="00A15990" w:rsidRDefault="00A15990">
            <w:pPr>
              <w:pStyle w:val="Bodytext10"/>
              <w:spacing w:after="0" w:line="240" w:lineRule="auto"/>
              <w:jc w:val="both"/>
              <w:rPr>
                <w:rFonts w:asciiTheme="minorHAnsi" w:hAnsiTheme="minorHAnsi" w:cstheme="minorBidi"/>
                <w:noProof/>
                <w:sz w:val="16"/>
              </w:rPr>
            </w:pPr>
          </w:p>
          <w:p w14:paraId="69D689D1" w14:textId="63B60CD2" w:rsidR="00A15990" w:rsidRDefault="00686A62">
            <w:pPr>
              <w:pStyle w:val="P68B1DB1-Bodytext1013"/>
              <w:spacing w:after="0" w:line="240" w:lineRule="auto"/>
              <w:jc w:val="both"/>
              <w:rPr>
                <w:rStyle w:val="Bodytext1"/>
                <w:rFonts w:asciiTheme="minorHAnsi" w:hAnsiTheme="minorHAnsi" w:cstheme="minorBidi"/>
                <w:noProof/>
                <w:sz w:val="16"/>
              </w:rPr>
            </w:pPr>
            <w:r>
              <w:rPr>
                <w:noProof/>
              </w:rPr>
              <w:t>1000 profesioniștii din sectorul agricol finalizează formarea digitală și tehnologică prin microcertificate sau prin formare profesională de scurtă durată în învățământul superior sau prin maeștri profesioniști.</w:t>
            </w:r>
          </w:p>
        </w:tc>
      </w:tr>
      <w:tr w:rsidR="00A15990" w14:paraId="5AB95557" w14:textId="77777777">
        <w:trPr>
          <w:trHeight w:val="640"/>
        </w:trPr>
        <w:tc>
          <w:tcPr>
            <w:tcW w:w="1135" w:type="dxa"/>
            <w:shd w:val="clear" w:color="auto" w:fill="C5EFCE"/>
            <w:vAlign w:val="center"/>
          </w:tcPr>
          <w:p w14:paraId="0D1BDDD8" w14:textId="07872EC0" w:rsidR="00A15990" w:rsidRDefault="00686A62">
            <w:pPr>
              <w:pStyle w:val="P68B1DB1-Normal11"/>
              <w:spacing w:after="0" w:line="240" w:lineRule="auto"/>
              <w:jc w:val="center"/>
              <w:rPr>
                <w:noProof/>
              </w:rPr>
            </w:pPr>
            <w:r>
              <w:rPr>
                <w:noProof/>
              </w:rPr>
              <w:t>6.22</w:t>
            </w:r>
          </w:p>
        </w:tc>
        <w:tc>
          <w:tcPr>
            <w:tcW w:w="1276" w:type="dxa"/>
            <w:shd w:val="clear" w:color="auto" w:fill="C4EFCE"/>
            <w:noWrap/>
            <w:vAlign w:val="center"/>
          </w:tcPr>
          <w:p w14:paraId="011A4D16" w14:textId="7298F3BD" w:rsidR="00A15990" w:rsidRDefault="00686A62">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690BFF82" w14:textId="70CB804F" w:rsidR="00A15990" w:rsidRDefault="00686A62">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0C56191D" w14:textId="4A065135" w:rsidR="00A15990" w:rsidRDefault="00686A62">
            <w:pPr>
              <w:pStyle w:val="P68B1DB1-Normal12"/>
              <w:spacing w:after="0" w:line="240" w:lineRule="auto"/>
              <w:jc w:val="center"/>
              <w:rPr>
                <w:rFonts w:cstheme="minorHAnsi"/>
                <w:noProof/>
              </w:rPr>
            </w:pPr>
            <w:r>
              <w:rPr>
                <w:noProof/>
              </w:rPr>
              <w:t>Modernizarea medicinei</w:t>
            </w:r>
          </w:p>
        </w:tc>
        <w:tc>
          <w:tcPr>
            <w:tcW w:w="1275" w:type="dxa"/>
            <w:shd w:val="clear" w:color="auto" w:fill="C4EFCE"/>
            <w:noWrap/>
            <w:vAlign w:val="center"/>
          </w:tcPr>
          <w:p w14:paraId="5E0E2847" w14:textId="77777777" w:rsidR="00A15990" w:rsidRDefault="00A15990">
            <w:pPr>
              <w:spacing w:after="0" w:line="240" w:lineRule="auto"/>
              <w:jc w:val="center"/>
              <w:rPr>
                <w:rFonts w:cstheme="minorHAnsi"/>
                <w:noProof/>
                <w:sz w:val="16"/>
              </w:rPr>
            </w:pPr>
          </w:p>
        </w:tc>
        <w:tc>
          <w:tcPr>
            <w:tcW w:w="993" w:type="dxa"/>
            <w:shd w:val="clear" w:color="auto" w:fill="C4EFCE"/>
            <w:noWrap/>
            <w:vAlign w:val="center"/>
          </w:tcPr>
          <w:p w14:paraId="602C1537" w14:textId="535C74AD" w:rsidR="00A15990" w:rsidRDefault="00686A62">
            <w:pPr>
              <w:pStyle w:val="P68B1DB1-Normal12"/>
              <w:spacing w:after="0" w:line="240" w:lineRule="auto"/>
              <w:jc w:val="center"/>
              <w:rPr>
                <w:noProof/>
              </w:rPr>
            </w:pPr>
            <w:r>
              <w:rPr>
                <w:noProof/>
              </w:rPr>
              <w:t>Numărul</w:t>
            </w:r>
          </w:p>
        </w:tc>
        <w:tc>
          <w:tcPr>
            <w:tcW w:w="992" w:type="dxa"/>
            <w:shd w:val="clear" w:color="auto" w:fill="C4EFCE"/>
            <w:noWrap/>
            <w:vAlign w:val="center"/>
          </w:tcPr>
          <w:p w14:paraId="1636CEA0" w14:textId="3F6BC36D" w:rsidR="00A15990" w:rsidRDefault="00686A62">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4FA19C54" w14:textId="5DA13673" w:rsidR="00A15990" w:rsidRDefault="00686A62">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05F711F2" w14:textId="578373FB" w:rsidR="00A15990" w:rsidRDefault="00686A62">
            <w:pPr>
              <w:pStyle w:val="P68B1DB1-Normal12"/>
              <w:spacing w:after="0" w:line="240" w:lineRule="auto"/>
              <w:jc w:val="center"/>
              <w:rPr>
                <w:noProof/>
              </w:rPr>
            </w:pPr>
            <w:r>
              <w:rPr>
                <w:noProof/>
              </w:rPr>
              <w:t>TRIMESTRUL 2</w:t>
            </w:r>
          </w:p>
        </w:tc>
        <w:tc>
          <w:tcPr>
            <w:tcW w:w="708" w:type="dxa"/>
            <w:shd w:val="clear" w:color="auto" w:fill="C4EFCE"/>
            <w:noWrap/>
            <w:vAlign w:val="center"/>
          </w:tcPr>
          <w:p w14:paraId="727812B4" w14:textId="69053B8C" w:rsidR="00A15990" w:rsidRDefault="00686A62">
            <w:pPr>
              <w:pStyle w:val="P68B1DB1-Normal12"/>
              <w:spacing w:after="0" w:line="240" w:lineRule="auto"/>
              <w:jc w:val="center"/>
              <w:rPr>
                <w:noProof/>
              </w:rPr>
            </w:pPr>
            <w:r>
              <w:rPr>
                <w:noProof/>
              </w:rPr>
              <w:t>2026</w:t>
            </w:r>
          </w:p>
        </w:tc>
        <w:tc>
          <w:tcPr>
            <w:tcW w:w="4395" w:type="dxa"/>
            <w:shd w:val="clear" w:color="auto" w:fill="C4EFCE"/>
            <w:vAlign w:val="center"/>
          </w:tcPr>
          <w:p w14:paraId="0BE60C62" w14:textId="57230731" w:rsidR="00A15990" w:rsidRDefault="00686A62">
            <w:pPr>
              <w:pStyle w:val="P68B1DB1-Bodytext1013"/>
              <w:spacing w:line="240" w:lineRule="auto"/>
              <w:jc w:val="both"/>
              <w:rPr>
                <w:rFonts w:cstheme="minorBidi"/>
                <w:noProof/>
              </w:rPr>
            </w:pPr>
            <w:r>
              <w:rPr>
                <w:noProof/>
              </w:rPr>
              <w:t>Cel puțin 5 000 de studenți cu diplomă de masterat integrat participă la programele de învățământ utilizând medii digitale sau simulări medicale. În acest scop, se utilizează echipamente precum manechine cu fidelitate ridicată sau simulatoare de realitate virtuală.</w:t>
            </w:r>
          </w:p>
          <w:p w14:paraId="03728086" w14:textId="31BE029E" w:rsidR="00A15990" w:rsidRDefault="00686A62">
            <w:pPr>
              <w:pStyle w:val="P68B1DB1-Bodytext1013"/>
              <w:spacing w:after="0" w:line="240" w:lineRule="auto"/>
              <w:jc w:val="both"/>
              <w:rPr>
                <w:rFonts w:cstheme="minorBidi"/>
                <w:noProof/>
              </w:rPr>
            </w:pPr>
            <w:r>
              <w:rPr>
                <w:noProof/>
              </w:rPr>
              <w:t>Cel puțin 7 500 de profesioniști din domeniul sănătății participă la cursuri de formare medicală axate pe modernizarea tehnologică și digitală a sectorului asistenței medicale. Se oferă trei tipuri de cursuri de formare: cursuri de învățământ superior de scurtă durată, maeștri profesioniști și/sau micro-certificate.</w:t>
            </w:r>
          </w:p>
        </w:tc>
      </w:tr>
      <w:tr w:rsidR="00A15990" w14:paraId="7E7C518B" w14:textId="77777777">
        <w:trPr>
          <w:trHeight w:val="640"/>
        </w:trPr>
        <w:tc>
          <w:tcPr>
            <w:tcW w:w="1135" w:type="dxa"/>
            <w:shd w:val="clear" w:color="auto" w:fill="C5EFCE"/>
            <w:vAlign w:val="center"/>
          </w:tcPr>
          <w:p w14:paraId="7342B9AB" w14:textId="4D1C1BE5" w:rsidR="00A15990" w:rsidRDefault="00686A62">
            <w:pPr>
              <w:pStyle w:val="P68B1DB1-Normal11"/>
              <w:spacing w:after="0" w:line="240" w:lineRule="auto"/>
              <w:jc w:val="center"/>
              <w:rPr>
                <w:noProof/>
              </w:rPr>
            </w:pPr>
            <w:r>
              <w:rPr>
                <w:noProof/>
              </w:rPr>
              <w:t>6.23</w:t>
            </w:r>
          </w:p>
        </w:tc>
        <w:tc>
          <w:tcPr>
            <w:tcW w:w="1276" w:type="dxa"/>
            <w:shd w:val="clear" w:color="auto" w:fill="C4EFCE"/>
            <w:noWrap/>
            <w:vAlign w:val="center"/>
          </w:tcPr>
          <w:p w14:paraId="61D9CF67" w14:textId="5923C0BC" w:rsidR="00A15990" w:rsidRDefault="00686A62">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7BF68D0A" w14:textId="4BA5BECB" w:rsidR="00A15990" w:rsidRDefault="00686A62">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3C8DA4AE" w14:textId="30954B10" w:rsidR="00A15990" w:rsidRDefault="00686A62">
            <w:pPr>
              <w:pStyle w:val="P68B1DB1-Normal12"/>
              <w:spacing w:after="0" w:line="240" w:lineRule="auto"/>
              <w:jc w:val="center"/>
              <w:rPr>
                <w:rFonts w:cstheme="minorHAnsi"/>
                <w:noProof/>
              </w:rPr>
            </w:pPr>
            <w:r>
              <w:rPr>
                <w:noProof/>
              </w:rPr>
              <w:t>Consolidarea competențelor digitale</w:t>
            </w:r>
          </w:p>
        </w:tc>
        <w:tc>
          <w:tcPr>
            <w:tcW w:w="1275" w:type="dxa"/>
            <w:shd w:val="clear" w:color="auto" w:fill="C4EFCE"/>
            <w:noWrap/>
            <w:vAlign w:val="center"/>
          </w:tcPr>
          <w:p w14:paraId="20F37E5B" w14:textId="77777777" w:rsidR="00A15990" w:rsidRDefault="00A15990">
            <w:pPr>
              <w:spacing w:after="0" w:line="240" w:lineRule="auto"/>
              <w:jc w:val="center"/>
              <w:rPr>
                <w:rFonts w:cstheme="minorHAnsi"/>
                <w:noProof/>
                <w:sz w:val="16"/>
              </w:rPr>
            </w:pPr>
          </w:p>
        </w:tc>
        <w:tc>
          <w:tcPr>
            <w:tcW w:w="993" w:type="dxa"/>
            <w:shd w:val="clear" w:color="auto" w:fill="C4EFCE"/>
            <w:noWrap/>
            <w:vAlign w:val="center"/>
          </w:tcPr>
          <w:p w14:paraId="3843260D" w14:textId="7E687270" w:rsidR="00A15990" w:rsidRDefault="00686A62">
            <w:pPr>
              <w:pStyle w:val="P68B1DB1-Normal12"/>
              <w:spacing w:after="0" w:line="240" w:lineRule="auto"/>
              <w:jc w:val="center"/>
              <w:rPr>
                <w:noProof/>
              </w:rPr>
            </w:pPr>
            <w:r>
              <w:rPr>
                <w:noProof/>
              </w:rPr>
              <w:t xml:space="preserve"> Numărul</w:t>
            </w:r>
          </w:p>
        </w:tc>
        <w:tc>
          <w:tcPr>
            <w:tcW w:w="992" w:type="dxa"/>
            <w:shd w:val="clear" w:color="auto" w:fill="C4EFCE"/>
            <w:noWrap/>
            <w:vAlign w:val="center"/>
          </w:tcPr>
          <w:p w14:paraId="03179505" w14:textId="02D7BE6B" w:rsidR="00A15990" w:rsidRDefault="00686A62">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3ABCA18E" w14:textId="5D6BAAE1" w:rsidR="00A15990" w:rsidRDefault="00686A62">
            <w:pPr>
              <w:pStyle w:val="P68B1DB1-Normal12"/>
              <w:spacing w:after="0" w:line="240" w:lineRule="auto"/>
              <w:jc w:val="center"/>
              <w:rPr>
                <w:rFonts w:eastAsia="Times New Roman" w:cstheme="minorHAnsi"/>
                <w:noProof/>
              </w:rPr>
            </w:pPr>
            <w:r>
              <w:rPr>
                <w:noProof/>
              </w:rPr>
              <w:t>11 750</w:t>
            </w:r>
          </w:p>
        </w:tc>
        <w:tc>
          <w:tcPr>
            <w:tcW w:w="567" w:type="dxa"/>
            <w:shd w:val="clear" w:color="auto" w:fill="C4EFCE"/>
            <w:noWrap/>
            <w:vAlign w:val="center"/>
          </w:tcPr>
          <w:p w14:paraId="718E9C07" w14:textId="7AFA7A93" w:rsidR="00A15990" w:rsidRDefault="00686A62">
            <w:pPr>
              <w:pStyle w:val="P68B1DB1-Normal12"/>
              <w:spacing w:after="0" w:line="240" w:lineRule="auto"/>
              <w:jc w:val="center"/>
              <w:rPr>
                <w:rFonts w:cstheme="minorHAnsi"/>
                <w:noProof/>
              </w:rPr>
            </w:pPr>
            <w:r>
              <w:rPr>
                <w:noProof/>
              </w:rPr>
              <w:t>TRIMESTRUL 2</w:t>
            </w:r>
          </w:p>
        </w:tc>
        <w:tc>
          <w:tcPr>
            <w:tcW w:w="708" w:type="dxa"/>
            <w:shd w:val="clear" w:color="auto" w:fill="C4EFCE"/>
            <w:noWrap/>
            <w:vAlign w:val="center"/>
          </w:tcPr>
          <w:p w14:paraId="0704A86A" w14:textId="763D5987" w:rsidR="00A15990" w:rsidRDefault="00686A62">
            <w:pPr>
              <w:pStyle w:val="P68B1DB1-Normal12"/>
              <w:spacing w:after="0" w:line="240" w:lineRule="auto"/>
              <w:jc w:val="center"/>
              <w:rPr>
                <w:rFonts w:cstheme="minorHAnsi"/>
                <w:noProof/>
              </w:rPr>
            </w:pPr>
            <w:r>
              <w:rPr>
                <w:noProof/>
              </w:rPr>
              <w:t>2026</w:t>
            </w:r>
          </w:p>
        </w:tc>
        <w:tc>
          <w:tcPr>
            <w:tcW w:w="4395" w:type="dxa"/>
            <w:shd w:val="clear" w:color="auto" w:fill="C4EFCE"/>
            <w:vAlign w:val="center"/>
          </w:tcPr>
          <w:p w14:paraId="58BDA553" w14:textId="0C921B07" w:rsidR="00A15990" w:rsidRDefault="00686A62">
            <w:pPr>
              <w:pStyle w:val="P68B1DB1-Bodytext1013"/>
              <w:spacing w:after="0" w:line="240" w:lineRule="auto"/>
              <w:jc w:val="both"/>
              <w:rPr>
                <w:rFonts w:cstheme="minorBidi"/>
                <w:noProof/>
              </w:rPr>
            </w:pPr>
            <w:r>
              <w:rPr>
                <w:noProof/>
              </w:rPr>
              <w:t>11 750 de tineri și adulți din alte domenii decât STIAM participă la programele de consolidare a competențelor digitale.</w:t>
            </w:r>
          </w:p>
        </w:tc>
      </w:tr>
      <w:tr w:rsidR="00A15990" w14:paraId="4D94B093" w14:textId="77777777">
        <w:trPr>
          <w:trHeight w:val="640"/>
        </w:trPr>
        <w:tc>
          <w:tcPr>
            <w:tcW w:w="1135" w:type="dxa"/>
            <w:shd w:val="clear" w:color="auto" w:fill="C5EFCE"/>
            <w:vAlign w:val="center"/>
          </w:tcPr>
          <w:p w14:paraId="34E64220" w14:textId="772B93AE" w:rsidR="00A15990" w:rsidRDefault="00686A62">
            <w:pPr>
              <w:pStyle w:val="P68B1DB1-Normal11"/>
              <w:spacing w:after="0" w:line="240" w:lineRule="auto"/>
              <w:jc w:val="center"/>
              <w:rPr>
                <w:noProof/>
              </w:rPr>
            </w:pPr>
            <w:r>
              <w:rPr>
                <w:noProof/>
              </w:rPr>
              <w:t>6.24</w:t>
            </w:r>
          </w:p>
        </w:tc>
        <w:tc>
          <w:tcPr>
            <w:tcW w:w="1276" w:type="dxa"/>
            <w:shd w:val="clear" w:color="auto" w:fill="C4EFCE"/>
            <w:noWrap/>
            <w:vAlign w:val="center"/>
          </w:tcPr>
          <w:p w14:paraId="0083973A" w14:textId="5FF91370" w:rsidR="00A15990" w:rsidRDefault="00686A62">
            <w:pPr>
              <w:pStyle w:val="P68B1DB1-Normal12"/>
              <w:spacing w:after="0" w:line="240" w:lineRule="auto"/>
              <w:jc w:val="center"/>
              <w:rPr>
                <w:rFonts w:cstheme="minorHAnsi"/>
                <w:noProof/>
              </w:rPr>
            </w:pPr>
            <w:r>
              <w:rPr>
                <w:noProof/>
              </w:rPr>
              <w:t>RE-C06-i07</w:t>
            </w:r>
          </w:p>
        </w:tc>
        <w:tc>
          <w:tcPr>
            <w:tcW w:w="1134" w:type="dxa"/>
            <w:shd w:val="clear" w:color="auto" w:fill="C4EFCE"/>
            <w:noWrap/>
            <w:vAlign w:val="center"/>
          </w:tcPr>
          <w:p w14:paraId="534D3821" w14:textId="716BA925" w:rsidR="00A15990" w:rsidRDefault="00686A62">
            <w:pPr>
              <w:pStyle w:val="P68B1DB1-Normal12"/>
              <w:spacing w:after="0" w:line="240" w:lineRule="auto"/>
              <w:jc w:val="center"/>
              <w:rPr>
                <w:rFonts w:cstheme="minorHAnsi"/>
                <w:noProof/>
              </w:rPr>
            </w:pPr>
            <w:r>
              <w:rPr>
                <w:noProof/>
              </w:rPr>
              <w:t>M</w:t>
            </w:r>
          </w:p>
        </w:tc>
        <w:tc>
          <w:tcPr>
            <w:tcW w:w="1701" w:type="dxa"/>
            <w:shd w:val="clear" w:color="auto" w:fill="C4EFCE"/>
            <w:noWrap/>
            <w:vAlign w:val="center"/>
          </w:tcPr>
          <w:p w14:paraId="546F1C56" w14:textId="4A44DB24" w:rsidR="00A15990" w:rsidRDefault="00686A62">
            <w:pPr>
              <w:pStyle w:val="P68B1DB1-Normal12"/>
              <w:spacing w:after="0" w:line="240" w:lineRule="auto"/>
              <w:jc w:val="center"/>
              <w:rPr>
                <w:rFonts w:cstheme="minorHAnsi"/>
                <w:noProof/>
              </w:rPr>
            </w:pPr>
            <w:r>
              <w:rPr>
                <w:noProof/>
              </w:rPr>
              <w:t>Inovarea și modernizarea pedagogică în învățământul superior</w:t>
            </w:r>
          </w:p>
        </w:tc>
        <w:tc>
          <w:tcPr>
            <w:tcW w:w="1275" w:type="dxa"/>
            <w:shd w:val="clear" w:color="auto" w:fill="C4EFCE"/>
            <w:noWrap/>
            <w:vAlign w:val="center"/>
          </w:tcPr>
          <w:p w14:paraId="459EE616" w14:textId="77777777" w:rsidR="00A15990" w:rsidRDefault="00A15990">
            <w:pPr>
              <w:spacing w:after="0" w:line="240" w:lineRule="auto"/>
              <w:jc w:val="center"/>
              <w:rPr>
                <w:rFonts w:cstheme="minorHAnsi"/>
                <w:noProof/>
                <w:sz w:val="16"/>
              </w:rPr>
            </w:pPr>
          </w:p>
        </w:tc>
        <w:tc>
          <w:tcPr>
            <w:tcW w:w="993" w:type="dxa"/>
            <w:shd w:val="clear" w:color="auto" w:fill="C4EFCE"/>
            <w:noWrap/>
            <w:vAlign w:val="center"/>
          </w:tcPr>
          <w:p w14:paraId="7BEDA178" w14:textId="53F4813C" w:rsidR="00A15990" w:rsidRDefault="00686A62">
            <w:pPr>
              <w:pStyle w:val="P68B1DB1-Normal12"/>
              <w:spacing w:after="0" w:line="240" w:lineRule="auto"/>
              <w:jc w:val="center"/>
              <w:rPr>
                <w:noProof/>
              </w:rPr>
            </w:pPr>
            <w:r>
              <w:rPr>
                <w:noProof/>
              </w:rPr>
              <w:t xml:space="preserve"> Numărul</w:t>
            </w:r>
          </w:p>
        </w:tc>
        <w:tc>
          <w:tcPr>
            <w:tcW w:w="992" w:type="dxa"/>
            <w:shd w:val="clear" w:color="auto" w:fill="C4EFCE"/>
            <w:noWrap/>
            <w:vAlign w:val="center"/>
          </w:tcPr>
          <w:p w14:paraId="665883BC" w14:textId="2EC998CE" w:rsidR="00A15990" w:rsidRDefault="00686A62">
            <w:pPr>
              <w:pStyle w:val="P68B1DB1-Normal12"/>
              <w:spacing w:after="0" w:line="240" w:lineRule="auto"/>
              <w:jc w:val="center"/>
              <w:rPr>
                <w:rFonts w:eastAsia="Times New Roman" w:cstheme="minorHAnsi"/>
                <w:noProof/>
              </w:rPr>
            </w:pPr>
            <w:r>
              <w:rPr>
                <w:noProof/>
              </w:rPr>
              <w:t>0</w:t>
            </w:r>
          </w:p>
        </w:tc>
        <w:tc>
          <w:tcPr>
            <w:tcW w:w="850" w:type="dxa"/>
            <w:shd w:val="clear" w:color="auto" w:fill="C4EFCE"/>
            <w:noWrap/>
            <w:vAlign w:val="center"/>
          </w:tcPr>
          <w:p w14:paraId="6CC2A8F9" w14:textId="06F7ECA2" w:rsidR="00A15990" w:rsidRDefault="00686A62">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02D944F5" w14:textId="703DB580" w:rsidR="00A15990" w:rsidRDefault="00686A62">
            <w:pPr>
              <w:pStyle w:val="P68B1DB1-Normal12"/>
              <w:spacing w:after="0" w:line="240" w:lineRule="auto"/>
              <w:jc w:val="center"/>
              <w:rPr>
                <w:rFonts w:cstheme="minorHAnsi"/>
                <w:noProof/>
              </w:rPr>
            </w:pPr>
            <w:r>
              <w:rPr>
                <w:noProof/>
              </w:rPr>
              <w:t xml:space="preserve">TRIMESTRUL 4 </w:t>
            </w:r>
          </w:p>
        </w:tc>
        <w:tc>
          <w:tcPr>
            <w:tcW w:w="708" w:type="dxa"/>
            <w:shd w:val="clear" w:color="auto" w:fill="C4EFCE"/>
            <w:noWrap/>
            <w:vAlign w:val="center"/>
          </w:tcPr>
          <w:p w14:paraId="64371F14" w14:textId="0A68E79D" w:rsidR="00A15990" w:rsidRDefault="00686A62">
            <w:pPr>
              <w:pStyle w:val="P68B1DB1-Normal12"/>
              <w:spacing w:after="0" w:line="240" w:lineRule="auto"/>
              <w:jc w:val="center"/>
              <w:rPr>
                <w:rFonts w:cstheme="minorHAnsi"/>
                <w:noProof/>
              </w:rPr>
            </w:pPr>
            <w:r>
              <w:rPr>
                <w:noProof/>
              </w:rPr>
              <w:t>2024</w:t>
            </w:r>
          </w:p>
        </w:tc>
        <w:tc>
          <w:tcPr>
            <w:tcW w:w="4395" w:type="dxa"/>
            <w:shd w:val="clear" w:color="auto" w:fill="C4EFCE"/>
            <w:vAlign w:val="center"/>
          </w:tcPr>
          <w:p w14:paraId="31B02553" w14:textId="31BE029E" w:rsidR="00A15990" w:rsidRDefault="00686A62">
            <w:pPr>
              <w:pStyle w:val="P68B1DB1-Bodytext1013"/>
              <w:spacing w:after="0" w:line="240" w:lineRule="auto"/>
              <w:jc w:val="both"/>
              <w:rPr>
                <w:rFonts w:cstheme="minorBidi"/>
                <w:noProof/>
              </w:rPr>
            </w:pPr>
            <w:r>
              <w:rPr>
                <w:noProof/>
              </w:rPr>
              <w:t xml:space="preserve">Se înființează cinci centre de excelență pentru inovarea pedagogică, cu accent pe domenii netehnologice (științe sociale, științe umaniste și arte). Se înființează Consiliul Național al Inovării Pedagogice în învățământul superior. </w:t>
            </w:r>
          </w:p>
        </w:tc>
      </w:tr>
      <w:tr w:rsidR="00A15990" w14:paraId="5EDD3E14" w14:textId="77777777">
        <w:trPr>
          <w:trHeight w:val="640"/>
        </w:trPr>
        <w:tc>
          <w:tcPr>
            <w:tcW w:w="1135" w:type="dxa"/>
            <w:shd w:val="clear" w:color="auto" w:fill="C5EFCE"/>
            <w:vAlign w:val="center"/>
          </w:tcPr>
          <w:p w14:paraId="42FF49FC" w14:textId="25C76D14" w:rsidR="00A15990" w:rsidRDefault="00686A62">
            <w:pPr>
              <w:pStyle w:val="P68B1DB1-Normal11"/>
              <w:spacing w:after="0" w:line="240" w:lineRule="auto"/>
              <w:jc w:val="center"/>
              <w:rPr>
                <w:noProof/>
              </w:rPr>
            </w:pPr>
            <w:r>
              <w:rPr>
                <w:noProof/>
                <w:shd w:val="clear" w:color="auto" w:fill="E6E6E6"/>
              </w:rPr>
              <w:t>6.2</w:t>
            </w:r>
            <w:r>
              <w:rPr>
                <w:noProof/>
              </w:rPr>
              <w:t>5</w:t>
            </w:r>
          </w:p>
        </w:tc>
        <w:tc>
          <w:tcPr>
            <w:tcW w:w="1276" w:type="dxa"/>
            <w:shd w:val="clear" w:color="auto" w:fill="C4EFCE"/>
            <w:noWrap/>
            <w:vAlign w:val="center"/>
          </w:tcPr>
          <w:p w14:paraId="56C60FE1" w14:textId="4068A0BE" w:rsidR="00A15990" w:rsidRDefault="00686A62">
            <w:pPr>
              <w:pStyle w:val="P68B1DB1-Normal12"/>
              <w:spacing w:after="0" w:line="240" w:lineRule="auto"/>
              <w:jc w:val="center"/>
              <w:rPr>
                <w:noProof/>
              </w:rPr>
            </w:pPr>
            <w:r>
              <w:rPr>
                <w:noProof/>
              </w:rPr>
              <w:t>RE-C06-i07</w:t>
            </w:r>
          </w:p>
        </w:tc>
        <w:tc>
          <w:tcPr>
            <w:tcW w:w="1134" w:type="dxa"/>
            <w:shd w:val="clear" w:color="auto" w:fill="C4EFCE"/>
            <w:noWrap/>
            <w:vAlign w:val="center"/>
          </w:tcPr>
          <w:p w14:paraId="075C0195" w14:textId="08EB7FE7" w:rsidR="00A15990" w:rsidRDefault="00686A62">
            <w:pPr>
              <w:pStyle w:val="P68B1DB1-Normal12"/>
              <w:spacing w:after="0" w:line="240" w:lineRule="auto"/>
              <w:jc w:val="center"/>
              <w:rPr>
                <w:noProof/>
              </w:rPr>
            </w:pPr>
            <w:r>
              <w:rPr>
                <w:noProof/>
              </w:rPr>
              <w:t>T</w:t>
            </w:r>
          </w:p>
        </w:tc>
        <w:tc>
          <w:tcPr>
            <w:tcW w:w="1701" w:type="dxa"/>
            <w:shd w:val="clear" w:color="auto" w:fill="C4EFCE"/>
            <w:noWrap/>
            <w:vAlign w:val="center"/>
          </w:tcPr>
          <w:p w14:paraId="6FB5789C" w14:textId="4D968374" w:rsidR="00A15990" w:rsidRDefault="00686A62">
            <w:pPr>
              <w:pStyle w:val="P68B1DB1-Normal12"/>
              <w:spacing w:after="0" w:line="240" w:lineRule="auto"/>
              <w:jc w:val="center"/>
              <w:rPr>
                <w:noProof/>
              </w:rPr>
            </w:pPr>
            <w:r>
              <w:rPr>
                <w:noProof/>
              </w:rPr>
              <w:t>Inovarea și modernizarea pedagogică în învățământul superior</w:t>
            </w:r>
          </w:p>
        </w:tc>
        <w:tc>
          <w:tcPr>
            <w:tcW w:w="1275" w:type="dxa"/>
            <w:shd w:val="clear" w:color="auto" w:fill="C4EFCE"/>
            <w:noWrap/>
            <w:vAlign w:val="center"/>
          </w:tcPr>
          <w:p w14:paraId="1FE0DD74" w14:textId="77777777" w:rsidR="00A15990" w:rsidRDefault="00A15990">
            <w:pPr>
              <w:spacing w:after="0" w:line="240" w:lineRule="auto"/>
              <w:jc w:val="center"/>
              <w:rPr>
                <w:noProof/>
                <w:sz w:val="16"/>
              </w:rPr>
            </w:pPr>
          </w:p>
        </w:tc>
        <w:tc>
          <w:tcPr>
            <w:tcW w:w="993" w:type="dxa"/>
            <w:shd w:val="clear" w:color="auto" w:fill="C4EFCE"/>
            <w:noWrap/>
            <w:vAlign w:val="center"/>
          </w:tcPr>
          <w:p w14:paraId="109C6A75" w14:textId="6DC07688" w:rsidR="00A15990" w:rsidRDefault="00686A62">
            <w:pPr>
              <w:pStyle w:val="P68B1DB1-Normal12"/>
              <w:spacing w:after="0" w:line="240" w:lineRule="auto"/>
              <w:jc w:val="center"/>
              <w:rPr>
                <w:noProof/>
              </w:rPr>
            </w:pPr>
            <w:r>
              <w:rPr>
                <w:noProof/>
              </w:rPr>
              <w:t>Procent</w:t>
            </w:r>
          </w:p>
        </w:tc>
        <w:tc>
          <w:tcPr>
            <w:tcW w:w="992" w:type="dxa"/>
            <w:shd w:val="clear" w:color="auto" w:fill="C4EFCE"/>
            <w:noWrap/>
            <w:vAlign w:val="center"/>
          </w:tcPr>
          <w:p w14:paraId="5BACD0A3" w14:textId="2B76B72B" w:rsidR="00A15990" w:rsidRDefault="00686A62">
            <w:pPr>
              <w:pStyle w:val="P68B1DB1-Normal12"/>
              <w:spacing w:after="0" w:line="240" w:lineRule="auto"/>
              <w:jc w:val="center"/>
              <w:rPr>
                <w:noProof/>
              </w:rPr>
            </w:pPr>
            <w:r>
              <w:rPr>
                <w:noProof/>
              </w:rPr>
              <w:t>24</w:t>
            </w:r>
          </w:p>
        </w:tc>
        <w:tc>
          <w:tcPr>
            <w:tcW w:w="850" w:type="dxa"/>
            <w:shd w:val="clear" w:color="auto" w:fill="C4EFCE"/>
            <w:noWrap/>
            <w:vAlign w:val="center"/>
          </w:tcPr>
          <w:p w14:paraId="0FCCD7A8" w14:textId="17E68BD7" w:rsidR="00A15990" w:rsidRDefault="00686A62">
            <w:pPr>
              <w:pStyle w:val="P68B1DB1-Normal12"/>
              <w:spacing w:after="0" w:line="240" w:lineRule="auto"/>
              <w:jc w:val="center"/>
              <w:rPr>
                <w:noProof/>
              </w:rPr>
            </w:pPr>
            <w:r>
              <w:rPr>
                <w:noProof/>
              </w:rPr>
              <w:t>22</w:t>
            </w:r>
          </w:p>
        </w:tc>
        <w:tc>
          <w:tcPr>
            <w:tcW w:w="567" w:type="dxa"/>
            <w:shd w:val="clear" w:color="auto" w:fill="C4EFCE"/>
            <w:noWrap/>
            <w:vAlign w:val="center"/>
          </w:tcPr>
          <w:p w14:paraId="407A04B9" w14:textId="6C671152" w:rsidR="00A15990" w:rsidRDefault="00686A62">
            <w:pPr>
              <w:pStyle w:val="P68B1DB1-Normal12"/>
              <w:spacing w:after="0" w:line="240" w:lineRule="auto"/>
              <w:jc w:val="center"/>
              <w:rPr>
                <w:noProof/>
              </w:rPr>
            </w:pPr>
            <w:r>
              <w:rPr>
                <w:noProof/>
              </w:rPr>
              <w:t xml:space="preserve">TRIMESTRUL 2 </w:t>
            </w:r>
          </w:p>
        </w:tc>
        <w:tc>
          <w:tcPr>
            <w:tcW w:w="708" w:type="dxa"/>
            <w:shd w:val="clear" w:color="auto" w:fill="C4EFCE"/>
            <w:noWrap/>
            <w:vAlign w:val="center"/>
          </w:tcPr>
          <w:p w14:paraId="24140BFE" w14:textId="49106AB4" w:rsidR="00A15990" w:rsidRDefault="00686A62">
            <w:pPr>
              <w:pStyle w:val="P68B1DB1-Normal12"/>
              <w:spacing w:after="0" w:line="240" w:lineRule="auto"/>
              <w:jc w:val="center"/>
              <w:rPr>
                <w:noProof/>
              </w:rPr>
            </w:pPr>
            <w:r>
              <w:rPr>
                <w:noProof/>
              </w:rPr>
              <w:t>2026</w:t>
            </w:r>
          </w:p>
        </w:tc>
        <w:tc>
          <w:tcPr>
            <w:tcW w:w="4395" w:type="dxa"/>
            <w:shd w:val="clear" w:color="auto" w:fill="C4EFCE"/>
            <w:vAlign w:val="center"/>
          </w:tcPr>
          <w:p w14:paraId="301CE07F" w14:textId="78DC95DE" w:rsidR="00A15990" w:rsidRDefault="00686A62">
            <w:pPr>
              <w:pStyle w:val="P68B1DB1-Bodytext1013"/>
              <w:spacing w:after="0" w:line="240" w:lineRule="auto"/>
              <w:jc w:val="both"/>
              <w:rPr>
                <w:rFonts w:cstheme="minorBidi"/>
                <w:noProof/>
              </w:rPr>
            </w:pPr>
            <w:r>
              <w:rPr>
                <w:noProof/>
              </w:rPr>
              <w:t>Rata medie de abandon școlar a elevilor în primul</w:t>
            </w:r>
            <w:r>
              <w:rPr>
                <w:noProof/>
                <w:vertAlign w:val="superscript"/>
              </w:rPr>
              <w:t>an</w:t>
            </w:r>
            <w:r>
              <w:rPr>
                <w:noProof/>
              </w:rPr>
              <w:t xml:space="preserve"> 1 și a celor aflați pentru prima dată în cadrul formării inițiale scade de la 24 la 22 % în comparație cu anul școlar 2020/2021. </w:t>
            </w:r>
          </w:p>
        </w:tc>
      </w:tr>
      <w:tr w:rsidR="00A15990" w14:paraId="1B6CC263" w14:textId="77777777">
        <w:trPr>
          <w:trHeight w:val="1200"/>
        </w:trPr>
        <w:tc>
          <w:tcPr>
            <w:tcW w:w="1135" w:type="dxa"/>
            <w:shd w:val="clear" w:color="auto" w:fill="C5EFCE"/>
            <w:vAlign w:val="center"/>
          </w:tcPr>
          <w:p w14:paraId="17852A2F" w14:textId="4BC71954" w:rsidR="00A15990" w:rsidRDefault="00686A62">
            <w:pPr>
              <w:pStyle w:val="P68B1DB1-Normal11"/>
              <w:spacing w:after="0" w:line="240" w:lineRule="auto"/>
              <w:jc w:val="center"/>
              <w:rPr>
                <w:noProof/>
              </w:rPr>
            </w:pPr>
            <w:r>
              <w:rPr>
                <w:noProof/>
              </w:rPr>
              <w:t>6.26</w:t>
            </w:r>
          </w:p>
        </w:tc>
        <w:tc>
          <w:tcPr>
            <w:tcW w:w="1276" w:type="dxa"/>
            <w:shd w:val="clear" w:color="auto" w:fill="C4EFCE"/>
            <w:noWrap/>
            <w:vAlign w:val="center"/>
          </w:tcPr>
          <w:p w14:paraId="6AB0021F" w14:textId="36D94200" w:rsidR="00A15990" w:rsidRDefault="00686A62">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D4E502D" w14:textId="257DAB64" w:rsidR="00A15990" w:rsidRDefault="00686A62">
            <w:pPr>
              <w:pStyle w:val="P68B1DB1-Normal12"/>
              <w:spacing w:after="0" w:line="240" w:lineRule="auto"/>
              <w:jc w:val="center"/>
              <w:rPr>
                <w:rFonts w:cstheme="minorHAnsi"/>
                <w:noProof/>
                <w:highlight w:val="yellow"/>
              </w:rPr>
            </w:pPr>
            <w:r>
              <w:rPr>
                <w:noProof/>
              </w:rPr>
              <w:t>M</w:t>
            </w:r>
          </w:p>
        </w:tc>
        <w:tc>
          <w:tcPr>
            <w:tcW w:w="1701" w:type="dxa"/>
            <w:shd w:val="clear" w:color="auto" w:fill="C4EFCE"/>
            <w:noWrap/>
            <w:vAlign w:val="center"/>
          </w:tcPr>
          <w:p w14:paraId="4066C449" w14:textId="4911D8E4" w:rsidR="00A15990" w:rsidRDefault="00686A62">
            <w:pPr>
              <w:pStyle w:val="P68B1DB1-Normal12"/>
              <w:spacing w:after="0" w:line="240" w:lineRule="auto"/>
              <w:jc w:val="center"/>
              <w:rPr>
                <w:noProof/>
                <w:highlight w:val="yellow"/>
              </w:rPr>
            </w:pPr>
            <w:r>
              <w:rPr>
                <w:noProof/>
              </w:rPr>
              <w:t>Contract semnat pentru extinderea clădirii CITMA</w:t>
            </w:r>
          </w:p>
        </w:tc>
        <w:tc>
          <w:tcPr>
            <w:tcW w:w="1275" w:type="dxa"/>
            <w:shd w:val="clear" w:color="auto" w:fill="C4EFCE"/>
            <w:noWrap/>
            <w:vAlign w:val="center"/>
          </w:tcPr>
          <w:p w14:paraId="4184FAC3" w14:textId="57DE588F" w:rsidR="00A15990" w:rsidRDefault="00686A62">
            <w:pPr>
              <w:pStyle w:val="P68B1DB1-Normal12"/>
              <w:spacing w:after="0" w:line="240" w:lineRule="auto"/>
              <w:jc w:val="center"/>
              <w:rPr>
                <w:noProof/>
              </w:rPr>
            </w:pPr>
            <w:r>
              <w:rPr>
                <w:noProof/>
              </w:rPr>
              <w:t>Contract semnat cu contractantul pentru extinderea clădirii CITMA</w:t>
            </w:r>
          </w:p>
        </w:tc>
        <w:tc>
          <w:tcPr>
            <w:tcW w:w="993" w:type="dxa"/>
            <w:shd w:val="clear" w:color="auto" w:fill="C4EFCE"/>
            <w:noWrap/>
            <w:vAlign w:val="center"/>
          </w:tcPr>
          <w:p w14:paraId="2594E74E" w14:textId="77777777" w:rsidR="00A15990" w:rsidRDefault="00A15990">
            <w:pPr>
              <w:spacing w:after="0" w:line="240" w:lineRule="auto"/>
              <w:jc w:val="center"/>
              <w:rPr>
                <w:rFonts w:cstheme="minorHAnsi"/>
                <w:noProof/>
                <w:sz w:val="16"/>
                <w:highlight w:val="yellow"/>
              </w:rPr>
            </w:pPr>
          </w:p>
        </w:tc>
        <w:tc>
          <w:tcPr>
            <w:tcW w:w="992" w:type="dxa"/>
            <w:shd w:val="clear" w:color="auto" w:fill="C4EFCE"/>
            <w:noWrap/>
            <w:vAlign w:val="center"/>
          </w:tcPr>
          <w:p w14:paraId="5C7A545B" w14:textId="77777777" w:rsidR="00A15990" w:rsidRDefault="00A15990">
            <w:pPr>
              <w:spacing w:after="0" w:line="240" w:lineRule="auto"/>
              <w:jc w:val="center"/>
              <w:rPr>
                <w:rFonts w:cstheme="minorHAnsi"/>
                <w:noProof/>
                <w:sz w:val="16"/>
                <w:highlight w:val="yellow"/>
              </w:rPr>
            </w:pPr>
          </w:p>
        </w:tc>
        <w:tc>
          <w:tcPr>
            <w:tcW w:w="850" w:type="dxa"/>
            <w:shd w:val="clear" w:color="auto" w:fill="C4EFCE"/>
            <w:noWrap/>
            <w:vAlign w:val="center"/>
          </w:tcPr>
          <w:p w14:paraId="5C0309AA" w14:textId="77777777" w:rsidR="00A15990" w:rsidRDefault="00A15990">
            <w:pPr>
              <w:spacing w:after="0" w:line="240" w:lineRule="auto"/>
              <w:jc w:val="center"/>
              <w:rPr>
                <w:rFonts w:cstheme="minorHAnsi"/>
                <w:noProof/>
                <w:sz w:val="16"/>
                <w:highlight w:val="yellow"/>
              </w:rPr>
            </w:pPr>
          </w:p>
        </w:tc>
        <w:tc>
          <w:tcPr>
            <w:tcW w:w="567" w:type="dxa"/>
            <w:shd w:val="clear" w:color="auto" w:fill="C4EFCE"/>
            <w:noWrap/>
            <w:vAlign w:val="center"/>
          </w:tcPr>
          <w:p w14:paraId="7B969A18" w14:textId="75D7CB06" w:rsidR="00A15990" w:rsidRDefault="00686A62">
            <w:pPr>
              <w:pStyle w:val="P68B1DB1-Normal12"/>
              <w:spacing w:after="0" w:line="240" w:lineRule="auto"/>
              <w:jc w:val="center"/>
              <w:rPr>
                <w:noProof/>
                <w:highlight w:val="yellow"/>
              </w:rPr>
            </w:pPr>
            <w:r>
              <w:rPr>
                <w:noProof/>
              </w:rPr>
              <w:t>TRIMESTRUL 4</w:t>
            </w:r>
          </w:p>
        </w:tc>
        <w:tc>
          <w:tcPr>
            <w:tcW w:w="708" w:type="dxa"/>
            <w:shd w:val="clear" w:color="auto" w:fill="C4EFCE"/>
            <w:noWrap/>
            <w:vAlign w:val="center"/>
          </w:tcPr>
          <w:p w14:paraId="5BA274AA" w14:textId="7294986B" w:rsidR="00A15990" w:rsidRDefault="00686A62">
            <w:pPr>
              <w:pStyle w:val="P68B1DB1-Normal12"/>
              <w:spacing w:after="0" w:line="240" w:lineRule="auto"/>
              <w:jc w:val="center"/>
              <w:rPr>
                <w:noProof/>
                <w:highlight w:val="yellow"/>
              </w:rPr>
            </w:pPr>
            <w:r>
              <w:rPr>
                <w:noProof/>
              </w:rPr>
              <w:t>2024</w:t>
            </w:r>
          </w:p>
        </w:tc>
        <w:tc>
          <w:tcPr>
            <w:tcW w:w="4395" w:type="dxa"/>
            <w:shd w:val="clear" w:color="auto" w:fill="C4EFCE"/>
          </w:tcPr>
          <w:p w14:paraId="026297F8" w14:textId="55F6305A" w:rsidR="00A15990" w:rsidRDefault="00686A62">
            <w:pPr>
              <w:pStyle w:val="P68B1DB1-Bodytext1013"/>
              <w:spacing w:line="240" w:lineRule="auto"/>
              <w:jc w:val="both"/>
              <w:rPr>
                <w:rFonts w:cstheme="minorBidi"/>
                <w:noProof/>
              </w:rPr>
            </w:pPr>
            <w:r>
              <w:rPr>
                <w:noProof/>
              </w:rPr>
              <w:t>Contract semnat pentru extinderea clădirii Centrului Științific și Tehnic din Madeira (CITMA). Extinderea constă în adăugarea a trei etaje la clădirea actuală și extinderea parterului. Clădirea este adaptată la nevoile persoanelor cu mobilitate redusă.</w:t>
            </w:r>
          </w:p>
        </w:tc>
      </w:tr>
      <w:tr w:rsidR="00A15990" w14:paraId="26661FA7" w14:textId="77777777">
        <w:trPr>
          <w:trHeight w:val="640"/>
        </w:trPr>
        <w:tc>
          <w:tcPr>
            <w:tcW w:w="1135" w:type="dxa"/>
            <w:shd w:val="clear" w:color="auto" w:fill="C5EFCE"/>
            <w:vAlign w:val="center"/>
          </w:tcPr>
          <w:p w14:paraId="16FCC56E" w14:textId="432F4705" w:rsidR="00A15990" w:rsidRDefault="00686A62">
            <w:pPr>
              <w:pStyle w:val="P68B1DB1-Normal11"/>
              <w:spacing w:after="0" w:line="240" w:lineRule="auto"/>
              <w:jc w:val="center"/>
              <w:rPr>
                <w:noProof/>
              </w:rPr>
            </w:pPr>
            <w:r>
              <w:rPr>
                <w:noProof/>
              </w:rPr>
              <w:t>6.27</w:t>
            </w:r>
          </w:p>
        </w:tc>
        <w:tc>
          <w:tcPr>
            <w:tcW w:w="1276" w:type="dxa"/>
            <w:shd w:val="clear" w:color="auto" w:fill="C4EFCE"/>
            <w:noWrap/>
            <w:vAlign w:val="center"/>
          </w:tcPr>
          <w:p w14:paraId="7A2ED63D" w14:textId="6A226D82" w:rsidR="00A15990" w:rsidRDefault="00686A62">
            <w:pPr>
              <w:pStyle w:val="P68B1DB1-Normal12"/>
              <w:spacing w:after="0" w:line="240" w:lineRule="auto"/>
              <w:jc w:val="center"/>
              <w:rPr>
                <w:rFonts w:cstheme="minorHAnsi"/>
                <w:noProof/>
                <w:highlight w:val="yellow"/>
              </w:rPr>
            </w:pPr>
            <w:r>
              <w:rPr>
                <w:noProof/>
              </w:rPr>
              <w:t>RE-C06-i08-RAM</w:t>
            </w:r>
          </w:p>
        </w:tc>
        <w:tc>
          <w:tcPr>
            <w:tcW w:w="1134" w:type="dxa"/>
            <w:shd w:val="clear" w:color="auto" w:fill="C4EFCE"/>
            <w:noWrap/>
            <w:vAlign w:val="center"/>
          </w:tcPr>
          <w:p w14:paraId="71DDD4B9" w14:textId="3B2B0BFD" w:rsidR="00A15990" w:rsidRDefault="00686A62">
            <w:pPr>
              <w:pStyle w:val="P68B1DB1-Normal12"/>
              <w:spacing w:after="0" w:line="240" w:lineRule="auto"/>
              <w:jc w:val="center"/>
              <w:rPr>
                <w:rFonts w:cstheme="minorHAnsi"/>
                <w:noProof/>
                <w:highlight w:val="yellow"/>
              </w:rPr>
            </w:pPr>
            <w:r>
              <w:rPr>
                <w:noProof/>
              </w:rPr>
              <w:t>T</w:t>
            </w:r>
          </w:p>
        </w:tc>
        <w:tc>
          <w:tcPr>
            <w:tcW w:w="1701" w:type="dxa"/>
            <w:shd w:val="clear" w:color="auto" w:fill="C4EFCE"/>
            <w:noWrap/>
            <w:vAlign w:val="center"/>
          </w:tcPr>
          <w:p w14:paraId="6636B311" w14:textId="0722EF78" w:rsidR="00A15990" w:rsidRDefault="00686A62">
            <w:pPr>
              <w:pStyle w:val="P68B1DB1-Normal12"/>
              <w:spacing w:after="0" w:line="240" w:lineRule="auto"/>
              <w:jc w:val="center"/>
              <w:rPr>
                <w:rFonts w:cstheme="minorHAnsi"/>
                <w:noProof/>
                <w:highlight w:val="yellow"/>
              </w:rPr>
            </w:pPr>
            <w:r>
              <w:rPr>
                <w:noProof/>
              </w:rPr>
              <w:t>Extinderea clădirii CITMA a fost finalizată</w:t>
            </w:r>
          </w:p>
        </w:tc>
        <w:tc>
          <w:tcPr>
            <w:tcW w:w="1275" w:type="dxa"/>
            <w:shd w:val="clear" w:color="auto" w:fill="C4EFCE"/>
            <w:noWrap/>
            <w:vAlign w:val="center"/>
          </w:tcPr>
          <w:p w14:paraId="5B8088BD" w14:textId="77777777" w:rsidR="00A15990" w:rsidRDefault="00A15990">
            <w:pPr>
              <w:spacing w:after="0" w:line="240" w:lineRule="auto"/>
              <w:jc w:val="center"/>
              <w:rPr>
                <w:rFonts w:cstheme="minorHAnsi"/>
                <w:noProof/>
                <w:sz w:val="16"/>
              </w:rPr>
            </w:pPr>
          </w:p>
        </w:tc>
        <w:tc>
          <w:tcPr>
            <w:tcW w:w="993" w:type="dxa"/>
            <w:shd w:val="clear" w:color="auto" w:fill="C4EFCE"/>
            <w:noWrap/>
            <w:vAlign w:val="center"/>
          </w:tcPr>
          <w:p w14:paraId="6D0A9446" w14:textId="77152A4E" w:rsidR="00A15990" w:rsidRDefault="00686A62">
            <w:pPr>
              <w:pStyle w:val="P68B1DB1-Normal12"/>
              <w:spacing w:after="0" w:line="240" w:lineRule="auto"/>
              <w:jc w:val="center"/>
              <w:rPr>
                <w:rFonts w:cstheme="minorHAnsi"/>
                <w:noProof/>
                <w:highlight w:val="yellow"/>
              </w:rPr>
            </w:pPr>
            <w:r>
              <w:rPr>
                <w:noProof/>
              </w:rPr>
              <w:t>m² (brut)</w:t>
            </w:r>
          </w:p>
        </w:tc>
        <w:tc>
          <w:tcPr>
            <w:tcW w:w="992" w:type="dxa"/>
            <w:shd w:val="clear" w:color="auto" w:fill="C4EFCE"/>
            <w:noWrap/>
            <w:vAlign w:val="center"/>
          </w:tcPr>
          <w:p w14:paraId="49E7248F" w14:textId="0204F5B0" w:rsidR="00A15990" w:rsidRDefault="00686A62">
            <w:pPr>
              <w:pStyle w:val="P68B1DB1-Normal12"/>
              <w:spacing w:after="0" w:line="240" w:lineRule="auto"/>
              <w:jc w:val="center"/>
              <w:rPr>
                <w:rFonts w:cstheme="minorHAnsi"/>
                <w:noProof/>
                <w:highlight w:val="yellow"/>
              </w:rPr>
            </w:pPr>
            <w:r>
              <w:rPr>
                <w:noProof/>
              </w:rPr>
              <w:t>0</w:t>
            </w:r>
          </w:p>
        </w:tc>
        <w:tc>
          <w:tcPr>
            <w:tcW w:w="850" w:type="dxa"/>
            <w:shd w:val="clear" w:color="auto" w:fill="C4EFCE"/>
            <w:noWrap/>
            <w:vAlign w:val="center"/>
          </w:tcPr>
          <w:p w14:paraId="437267C7" w14:textId="13522473" w:rsidR="00A15990" w:rsidRDefault="00686A62">
            <w:pPr>
              <w:pStyle w:val="P68B1DB1-Normal12"/>
              <w:spacing w:after="0" w:line="240" w:lineRule="auto"/>
              <w:jc w:val="center"/>
              <w:rPr>
                <w:rFonts w:cstheme="minorHAnsi"/>
                <w:noProof/>
                <w:highlight w:val="yellow"/>
              </w:rPr>
            </w:pPr>
            <w:r>
              <w:rPr>
                <w:noProof/>
              </w:rPr>
              <w:t>9.030</w:t>
            </w:r>
          </w:p>
        </w:tc>
        <w:tc>
          <w:tcPr>
            <w:tcW w:w="567" w:type="dxa"/>
            <w:shd w:val="clear" w:color="auto" w:fill="C4EFCE"/>
            <w:noWrap/>
            <w:vAlign w:val="center"/>
          </w:tcPr>
          <w:p w14:paraId="1704115E" w14:textId="514D1C81" w:rsidR="00A15990" w:rsidRDefault="00686A62">
            <w:pPr>
              <w:pStyle w:val="P68B1DB1-Normal12"/>
              <w:spacing w:after="0" w:line="240" w:lineRule="auto"/>
              <w:jc w:val="center"/>
              <w:rPr>
                <w:rFonts w:cstheme="minorHAnsi"/>
                <w:noProof/>
                <w:highlight w:val="yellow"/>
              </w:rPr>
            </w:pPr>
            <w:r>
              <w:rPr>
                <w:noProof/>
              </w:rPr>
              <w:t>TRIMESTRUL 2</w:t>
            </w:r>
          </w:p>
        </w:tc>
        <w:tc>
          <w:tcPr>
            <w:tcW w:w="708" w:type="dxa"/>
            <w:shd w:val="clear" w:color="auto" w:fill="C4EFCE"/>
            <w:noWrap/>
            <w:vAlign w:val="center"/>
          </w:tcPr>
          <w:p w14:paraId="121AEEFC" w14:textId="164B71B5" w:rsidR="00A15990" w:rsidRDefault="00686A62">
            <w:pPr>
              <w:pStyle w:val="P68B1DB1-Normal12"/>
              <w:spacing w:after="0" w:line="240" w:lineRule="auto"/>
              <w:jc w:val="center"/>
              <w:rPr>
                <w:rFonts w:cstheme="minorHAnsi"/>
                <w:noProof/>
                <w:highlight w:val="yellow"/>
              </w:rPr>
            </w:pPr>
            <w:r>
              <w:rPr>
                <w:noProof/>
              </w:rPr>
              <w:t>2026</w:t>
            </w:r>
          </w:p>
        </w:tc>
        <w:tc>
          <w:tcPr>
            <w:tcW w:w="4395" w:type="dxa"/>
            <w:shd w:val="clear" w:color="auto" w:fill="C4EFCE"/>
          </w:tcPr>
          <w:p w14:paraId="6755F55B" w14:textId="6249822E" w:rsidR="00A15990" w:rsidRDefault="00686A62">
            <w:pPr>
              <w:pStyle w:val="P68B1DB1-Bodytext1013"/>
              <w:spacing w:after="0" w:line="240" w:lineRule="auto"/>
              <w:jc w:val="both"/>
              <w:rPr>
                <w:rFonts w:cstheme="minorBidi"/>
                <w:noProof/>
              </w:rPr>
            </w:pPr>
            <w:r>
              <w:rPr>
                <w:noProof/>
              </w:rPr>
              <w:t xml:space="preserve">Finalizarea tuturor lucrărilor contractuale legate de extinderea clădirii CITMA, astfel cum se specifică în M6.26. </w:t>
            </w:r>
          </w:p>
          <w:p w14:paraId="2E4EF6FD" w14:textId="67B2A4A2" w:rsidR="00A15990" w:rsidRDefault="00686A62">
            <w:pPr>
              <w:pStyle w:val="P68B1DB1-Bodytext1013"/>
              <w:spacing w:after="0" w:line="240" w:lineRule="auto"/>
              <w:jc w:val="both"/>
              <w:rPr>
                <w:rFonts w:cstheme="minorHAnsi"/>
                <w:noProof/>
                <w:highlight w:val="yellow"/>
              </w:rPr>
            </w:pPr>
            <w:r>
              <w:rPr>
                <w:noProof/>
              </w:rPr>
              <w:t>Clădirea are o cerere de energie primară cu cel puțin 20 % sub cerințele pentru clădirile al căror consum de energie este aproape egal cu zero.</w:t>
            </w:r>
          </w:p>
        </w:tc>
      </w:tr>
    </w:tbl>
    <w:p w14:paraId="703445A0"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126"/>
          <w:headerReference w:type="default" r:id="rId127"/>
          <w:footerReference w:type="even" r:id="rId128"/>
          <w:footerReference w:type="default" r:id="rId129"/>
          <w:headerReference w:type="first" r:id="rId130"/>
          <w:footerReference w:type="first" r:id="rId131"/>
          <w:pgSz w:w="16839" w:h="11907" w:orient="landscape"/>
          <w:pgMar w:top="1134" w:right="1134" w:bottom="1134" w:left="1134" w:header="567" w:footer="567" w:gutter="0"/>
          <w:cols w:space="720"/>
          <w:docGrid w:linePitch="360"/>
        </w:sectPr>
      </w:pPr>
    </w:p>
    <w:p w14:paraId="0B57B546" w14:textId="00CBED5A" w:rsidR="00A15990" w:rsidRDefault="00686A62">
      <w:pPr>
        <w:pStyle w:val="P68B1DB1-Normal3"/>
        <w:spacing w:before="40" w:after="120" w:line="259" w:lineRule="auto"/>
        <w:ind w:left="130" w:firstLine="720"/>
        <w:jc w:val="both"/>
        <w:outlineLvl w:val="2"/>
        <w:rPr>
          <w:rFonts w:eastAsiaTheme="minorEastAsia" w:cs="Times New Roman"/>
          <w:noProof/>
        </w:rPr>
      </w:pPr>
      <w:r>
        <w:rPr>
          <w:noProof/>
        </w:rPr>
        <w:t>F.3. Descrierea reformelor și a investițiilor pentru împrumut</w:t>
      </w:r>
    </w:p>
    <w:p w14:paraId="4E706AE3" w14:textId="4F5820BE" w:rsidR="00A15990" w:rsidRDefault="00686A62">
      <w:pPr>
        <w:pStyle w:val="P68B1DB1-Heading214"/>
        <w:rPr>
          <w:noProof/>
        </w:rPr>
      </w:pPr>
      <w:bookmarkStart w:id="22" w:name="_Toc137472455"/>
      <w:r>
        <w:rPr>
          <w:noProof/>
        </w:rPr>
        <w:t>Investiția RE-C06-i09: Școli noi sau renovate</w:t>
      </w:r>
      <w:bookmarkEnd w:id="22"/>
    </w:p>
    <w:p w14:paraId="49C17223" w14:textId="77777777" w:rsidR="00A15990" w:rsidRDefault="00686A62">
      <w:pPr>
        <w:pStyle w:val="P68B1DB1-Normal4"/>
        <w:spacing w:after="0" w:line="259" w:lineRule="auto"/>
        <w:jc w:val="both"/>
        <w:rPr>
          <w:rFonts w:cs="Times New Roman"/>
          <w:noProof/>
        </w:rPr>
      </w:pPr>
      <w:r>
        <w:rPr>
          <w:noProof/>
        </w:rPr>
        <w:t>Obiectivul măsurii este de a asigura accesul egal la școli publice de calitate, sporind astfel atractivitatea și incluziunea acestora și reducând disparitățile teritoriale.</w:t>
      </w:r>
    </w:p>
    <w:p w14:paraId="1D44833B" w14:textId="597CE0EA" w:rsidR="00A15990" w:rsidRDefault="00686A62">
      <w:pPr>
        <w:pStyle w:val="P68B1DB1-Normal4"/>
        <w:spacing w:after="0" w:line="259" w:lineRule="auto"/>
        <w:jc w:val="both"/>
        <w:rPr>
          <w:rFonts w:cs="Times New Roman"/>
          <w:noProof/>
        </w:rPr>
      </w:pPr>
      <w:r>
        <w:rPr>
          <w:noProof/>
        </w:rPr>
        <w:t xml:space="preserve">Investiția constă în construirea de noi școli sau renovarea școlilor existente. Investițiile se concentrează asupra a 75 de școli primare și secundare care au fost identificate ca necesitând o intervenție prioritară. </w:t>
      </w:r>
    </w:p>
    <w:p w14:paraId="4983461D" w14:textId="77777777" w:rsidR="00A15990" w:rsidRDefault="00686A62">
      <w:pPr>
        <w:pStyle w:val="P68B1DB1-Normal4"/>
        <w:spacing w:after="0" w:line="259" w:lineRule="auto"/>
        <w:jc w:val="both"/>
        <w:rPr>
          <w:rFonts w:cs="Times New Roman"/>
          <w:noProof/>
        </w:rPr>
        <w:sectPr w:rsidR="00A15990" w:rsidSect="00E00EDD">
          <w:headerReference w:type="even" r:id="rId132"/>
          <w:headerReference w:type="default" r:id="rId133"/>
          <w:footerReference w:type="even" r:id="rId134"/>
          <w:footerReference w:type="default" r:id="rId135"/>
          <w:headerReference w:type="first" r:id="rId136"/>
          <w:footerReference w:type="first" r:id="rId137"/>
          <w:pgSz w:w="11907" w:h="16839"/>
          <w:pgMar w:top="1134" w:right="1134" w:bottom="1134" w:left="1134" w:header="567" w:footer="567" w:gutter="0"/>
          <w:cols w:space="720"/>
          <w:docGrid w:linePitch="360"/>
        </w:sectPr>
      </w:pPr>
      <w:r>
        <w:rPr>
          <w:noProof/>
        </w:rPr>
        <w:t>Punerea în aplicare a investiției se va finaliza până la 30 iunie 2026.</w:t>
      </w:r>
    </w:p>
    <w:p w14:paraId="7558F518" w14:textId="06FC37A9" w:rsidR="00A15990" w:rsidRDefault="00686A62">
      <w:pPr>
        <w:pStyle w:val="P68B1DB1-Normal3"/>
        <w:spacing w:before="40" w:after="120" w:line="259" w:lineRule="auto"/>
        <w:ind w:left="130" w:firstLine="720"/>
        <w:jc w:val="both"/>
        <w:outlineLvl w:val="2"/>
        <w:rPr>
          <w:rFonts w:eastAsiaTheme="minorEastAsia" w:cs="Times New Roman"/>
          <w:noProof/>
        </w:rPr>
      </w:pPr>
      <w:r>
        <w:rPr>
          <w:noProof/>
        </w:rPr>
        <w:t>F.4. Jaloane, ținte, indicatori și calendarul de monitorizare și implementare aplicabile împrumutului</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567"/>
        <w:gridCol w:w="708"/>
        <w:gridCol w:w="4395"/>
      </w:tblGrid>
      <w:tr w:rsidR="00A15990" w14:paraId="35CBC765" w14:textId="77777777">
        <w:trPr>
          <w:trHeight w:val="910"/>
        </w:trPr>
        <w:tc>
          <w:tcPr>
            <w:tcW w:w="1135" w:type="dxa"/>
            <w:vMerge w:val="restart"/>
            <w:shd w:val="clear" w:color="auto" w:fill="BDD6EE"/>
            <w:vAlign w:val="center"/>
            <w:hideMark/>
          </w:tcPr>
          <w:p w14:paraId="1828903B"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6731E7DF"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009937F2" w14:textId="315869C1" w:rsidR="00A15990" w:rsidRDefault="00F32597">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vAlign w:val="center"/>
            <w:hideMark/>
          </w:tcPr>
          <w:p w14:paraId="110401E7"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61C9BD3B"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835" w:type="dxa"/>
            <w:gridSpan w:val="3"/>
            <w:shd w:val="clear" w:color="auto" w:fill="BDD6EE"/>
            <w:vAlign w:val="center"/>
            <w:hideMark/>
          </w:tcPr>
          <w:p w14:paraId="136D5C43"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65792DA3"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395" w:type="dxa"/>
            <w:vMerge w:val="restart"/>
            <w:shd w:val="clear" w:color="auto" w:fill="BDD6EE"/>
            <w:noWrap/>
            <w:vAlign w:val="center"/>
            <w:hideMark/>
          </w:tcPr>
          <w:p w14:paraId="74D8A200"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0BB373E4" w14:textId="77777777">
        <w:trPr>
          <w:trHeight w:val="470"/>
        </w:trPr>
        <w:tc>
          <w:tcPr>
            <w:tcW w:w="1135" w:type="dxa"/>
            <w:vMerge/>
            <w:vAlign w:val="center"/>
            <w:hideMark/>
          </w:tcPr>
          <w:p w14:paraId="65AD4F05"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44BD7125"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vAlign w:val="center"/>
            <w:hideMark/>
          </w:tcPr>
          <w:p w14:paraId="32AA7BB9" w14:textId="77777777" w:rsidR="00A15990" w:rsidRDefault="00A15990">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1593588"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66678DA0"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2DB1308E"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01A093FA"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850" w:type="dxa"/>
            <w:shd w:val="clear" w:color="auto" w:fill="BDD6EE"/>
            <w:vAlign w:val="center"/>
            <w:hideMark/>
          </w:tcPr>
          <w:p w14:paraId="08598FE0"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6EF144BD"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38E6ED20" w14:textId="77777777" w:rsidR="00A15990" w:rsidRDefault="00686A62">
            <w:pPr>
              <w:pStyle w:val="P68B1DB1-Normal6"/>
              <w:spacing w:after="0" w:line="240" w:lineRule="auto"/>
              <w:jc w:val="center"/>
              <w:rPr>
                <w:rFonts w:eastAsia="Times New Roman" w:cs="Times New Roman"/>
                <w:noProof/>
              </w:rPr>
            </w:pPr>
            <w:r>
              <w:rPr>
                <w:noProof/>
              </w:rPr>
              <w:t>Anul</w:t>
            </w:r>
          </w:p>
        </w:tc>
        <w:tc>
          <w:tcPr>
            <w:tcW w:w="4395" w:type="dxa"/>
            <w:vMerge/>
            <w:vAlign w:val="center"/>
            <w:hideMark/>
          </w:tcPr>
          <w:p w14:paraId="0E23BA6C" w14:textId="77777777" w:rsidR="00A15990" w:rsidRDefault="00A15990">
            <w:pPr>
              <w:spacing w:after="0" w:line="240" w:lineRule="auto"/>
              <w:rPr>
                <w:rFonts w:ascii="Times New Roman" w:eastAsia="Times New Roman" w:hAnsi="Times New Roman" w:cs="Times New Roman"/>
                <w:b/>
                <w:noProof/>
                <w:sz w:val="18"/>
              </w:rPr>
            </w:pPr>
          </w:p>
        </w:tc>
      </w:tr>
      <w:tr w:rsidR="00A15990" w14:paraId="3D20A5EA" w14:textId="77777777">
        <w:trPr>
          <w:trHeight w:val="640"/>
        </w:trPr>
        <w:tc>
          <w:tcPr>
            <w:tcW w:w="1135" w:type="dxa"/>
            <w:shd w:val="clear" w:color="auto" w:fill="C5EFCE"/>
            <w:vAlign w:val="center"/>
          </w:tcPr>
          <w:p w14:paraId="6A531982" w14:textId="77777777" w:rsidR="00A15990" w:rsidRDefault="00686A62">
            <w:pPr>
              <w:pStyle w:val="P68B1DB1-Normal11"/>
              <w:spacing w:after="0" w:line="240" w:lineRule="auto"/>
              <w:jc w:val="center"/>
              <w:rPr>
                <w:noProof/>
              </w:rPr>
            </w:pPr>
            <w:r>
              <w:rPr>
                <w:noProof/>
              </w:rPr>
              <w:t>6.28</w:t>
            </w:r>
          </w:p>
        </w:tc>
        <w:tc>
          <w:tcPr>
            <w:tcW w:w="1276" w:type="dxa"/>
            <w:shd w:val="clear" w:color="auto" w:fill="C4EFCE"/>
            <w:noWrap/>
            <w:vAlign w:val="center"/>
          </w:tcPr>
          <w:p w14:paraId="110672C3" w14:textId="77777777" w:rsidR="00A15990" w:rsidRDefault="00686A62">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3F6D50D9" w14:textId="77777777" w:rsidR="00A15990" w:rsidRDefault="00686A62">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5FC35C89" w14:textId="77777777" w:rsidR="00A15990" w:rsidRDefault="00686A62">
            <w:pPr>
              <w:pStyle w:val="P68B1DB1-Normal12"/>
              <w:spacing w:after="0" w:line="240" w:lineRule="auto"/>
              <w:jc w:val="center"/>
              <w:rPr>
                <w:noProof/>
              </w:rPr>
            </w:pPr>
            <w:r>
              <w:rPr>
                <w:noProof/>
              </w:rPr>
              <w:t>Semnarea contractelor pentru construirea și renovarea școlilor publice</w:t>
            </w:r>
          </w:p>
        </w:tc>
        <w:tc>
          <w:tcPr>
            <w:tcW w:w="1275" w:type="dxa"/>
            <w:shd w:val="clear" w:color="auto" w:fill="C4EFCE"/>
            <w:noWrap/>
            <w:vAlign w:val="center"/>
          </w:tcPr>
          <w:p w14:paraId="64C1ED73" w14:textId="77777777" w:rsidR="00A15990" w:rsidRDefault="00686A62">
            <w:pPr>
              <w:pStyle w:val="P68B1DB1-Normal12"/>
              <w:spacing w:after="0" w:line="240" w:lineRule="auto"/>
              <w:jc w:val="center"/>
              <w:rPr>
                <w:noProof/>
              </w:rPr>
            </w:pPr>
            <w:r>
              <w:rPr>
                <w:noProof/>
              </w:rPr>
              <w:t xml:space="preserve"> Contracte semnate </w:t>
            </w:r>
          </w:p>
        </w:tc>
        <w:tc>
          <w:tcPr>
            <w:tcW w:w="993" w:type="dxa"/>
            <w:shd w:val="clear" w:color="auto" w:fill="C4EFCE"/>
            <w:noWrap/>
            <w:vAlign w:val="center"/>
          </w:tcPr>
          <w:p w14:paraId="7EBF5460" w14:textId="77777777" w:rsidR="00A15990" w:rsidRDefault="00686A62">
            <w:pPr>
              <w:pStyle w:val="P68B1DB1-Normal12"/>
              <w:spacing w:after="0" w:line="240" w:lineRule="auto"/>
              <w:jc w:val="center"/>
              <w:rPr>
                <w:noProof/>
              </w:rPr>
            </w:pPr>
            <w:r>
              <w:rPr>
                <w:noProof/>
              </w:rPr>
              <w:t>Numărul</w:t>
            </w:r>
          </w:p>
        </w:tc>
        <w:tc>
          <w:tcPr>
            <w:tcW w:w="992" w:type="dxa"/>
            <w:shd w:val="clear" w:color="auto" w:fill="C4EFCE"/>
            <w:noWrap/>
            <w:vAlign w:val="center"/>
          </w:tcPr>
          <w:p w14:paraId="0D14F3E5" w14:textId="77777777" w:rsidR="00A15990" w:rsidRDefault="00686A62">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77DD45F8" w14:textId="77777777" w:rsidR="00A15990" w:rsidRDefault="00686A62">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ED23A9E" w14:textId="77777777" w:rsidR="00A15990" w:rsidRDefault="00686A62">
            <w:pPr>
              <w:pStyle w:val="P68B1DB1-Normal12"/>
              <w:spacing w:after="0" w:line="240" w:lineRule="auto"/>
              <w:jc w:val="center"/>
              <w:rPr>
                <w:rFonts w:cstheme="minorHAnsi"/>
                <w:noProof/>
              </w:rPr>
            </w:pPr>
            <w:r>
              <w:rPr>
                <w:noProof/>
              </w:rPr>
              <w:t>TRIMESTRUL 4</w:t>
            </w:r>
          </w:p>
        </w:tc>
        <w:tc>
          <w:tcPr>
            <w:tcW w:w="708" w:type="dxa"/>
            <w:shd w:val="clear" w:color="auto" w:fill="C4EFCE"/>
            <w:noWrap/>
            <w:vAlign w:val="center"/>
          </w:tcPr>
          <w:p w14:paraId="621FC598" w14:textId="77777777" w:rsidR="00A15990" w:rsidRDefault="00686A62">
            <w:pPr>
              <w:pStyle w:val="P68B1DB1-Normal12"/>
              <w:spacing w:after="0" w:line="240" w:lineRule="auto"/>
              <w:jc w:val="center"/>
              <w:rPr>
                <w:rFonts w:cstheme="minorHAnsi"/>
                <w:noProof/>
              </w:rPr>
            </w:pPr>
            <w:r>
              <w:rPr>
                <w:noProof/>
              </w:rPr>
              <w:t>2024</w:t>
            </w:r>
          </w:p>
        </w:tc>
        <w:tc>
          <w:tcPr>
            <w:tcW w:w="4395" w:type="dxa"/>
            <w:shd w:val="clear" w:color="auto" w:fill="C4EFCE"/>
          </w:tcPr>
          <w:p w14:paraId="77EC3E58" w14:textId="26CD502B" w:rsidR="00A15990" w:rsidRDefault="00686A62">
            <w:pPr>
              <w:pStyle w:val="P68B1DB1-Bodytext1013"/>
              <w:spacing w:after="0" w:line="240" w:lineRule="auto"/>
              <w:jc w:val="both"/>
              <w:rPr>
                <w:rFonts w:cstheme="minorBidi"/>
                <w:noProof/>
              </w:rPr>
            </w:pPr>
            <w:r>
              <w:rPr>
                <w:noProof/>
              </w:rPr>
              <w:t xml:space="preserve">Se semnează contracte pentru construirea sau renovarea școlilor publice primare și secundare. Alegerea școlilor care urmează să fie renovate și a locurilor în care sunt necesare noi școli se bazează pe o evaluare a nevoilor.  </w:t>
            </w:r>
          </w:p>
        </w:tc>
      </w:tr>
      <w:tr w:rsidR="00A15990" w14:paraId="37FA4D82" w14:textId="77777777">
        <w:trPr>
          <w:trHeight w:val="640"/>
        </w:trPr>
        <w:tc>
          <w:tcPr>
            <w:tcW w:w="1135" w:type="dxa"/>
            <w:shd w:val="clear" w:color="auto" w:fill="C5EFCE"/>
            <w:vAlign w:val="center"/>
          </w:tcPr>
          <w:p w14:paraId="2889C3DF" w14:textId="77777777" w:rsidR="00A15990" w:rsidRDefault="00686A62">
            <w:pPr>
              <w:pStyle w:val="P68B1DB1-Normal11"/>
              <w:spacing w:after="0" w:line="240" w:lineRule="auto"/>
              <w:jc w:val="center"/>
              <w:rPr>
                <w:noProof/>
              </w:rPr>
            </w:pPr>
            <w:r>
              <w:rPr>
                <w:noProof/>
              </w:rPr>
              <w:t>6.29</w:t>
            </w:r>
          </w:p>
        </w:tc>
        <w:tc>
          <w:tcPr>
            <w:tcW w:w="1276" w:type="dxa"/>
            <w:shd w:val="clear" w:color="auto" w:fill="C4EFCE"/>
            <w:noWrap/>
            <w:vAlign w:val="center"/>
          </w:tcPr>
          <w:p w14:paraId="482C0EE3" w14:textId="77777777" w:rsidR="00A15990" w:rsidRDefault="00686A62">
            <w:pPr>
              <w:pStyle w:val="P68B1DB1-Normal12"/>
              <w:spacing w:after="0" w:line="240" w:lineRule="auto"/>
              <w:jc w:val="center"/>
              <w:rPr>
                <w:rFonts w:cstheme="minorHAnsi"/>
                <w:noProof/>
              </w:rPr>
            </w:pPr>
            <w:r>
              <w:rPr>
                <w:noProof/>
              </w:rPr>
              <w:t>RE-C06-i09</w:t>
            </w:r>
          </w:p>
        </w:tc>
        <w:tc>
          <w:tcPr>
            <w:tcW w:w="1134" w:type="dxa"/>
            <w:shd w:val="clear" w:color="auto" w:fill="C4EFCE"/>
            <w:noWrap/>
            <w:vAlign w:val="center"/>
          </w:tcPr>
          <w:p w14:paraId="5D44023D" w14:textId="77777777" w:rsidR="00A15990" w:rsidRDefault="00686A62">
            <w:pPr>
              <w:pStyle w:val="P68B1DB1-Normal12"/>
              <w:spacing w:after="0" w:line="240" w:lineRule="auto"/>
              <w:jc w:val="center"/>
              <w:rPr>
                <w:rFonts w:cstheme="minorHAnsi"/>
                <w:noProof/>
              </w:rPr>
            </w:pPr>
            <w:r>
              <w:rPr>
                <w:noProof/>
              </w:rPr>
              <w:t>T</w:t>
            </w:r>
          </w:p>
        </w:tc>
        <w:tc>
          <w:tcPr>
            <w:tcW w:w="1701" w:type="dxa"/>
            <w:shd w:val="clear" w:color="auto" w:fill="C4EFCE"/>
            <w:noWrap/>
            <w:vAlign w:val="center"/>
          </w:tcPr>
          <w:p w14:paraId="1516CDF5" w14:textId="77777777" w:rsidR="00A15990" w:rsidRDefault="00686A62">
            <w:pPr>
              <w:pStyle w:val="P68B1DB1-Normal12"/>
              <w:spacing w:after="0" w:line="240" w:lineRule="auto"/>
              <w:jc w:val="center"/>
              <w:rPr>
                <w:rFonts w:cstheme="minorHAnsi"/>
                <w:noProof/>
              </w:rPr>
            </w:pPr>
            <w:r>
              <w:rPr>
                <w:noProof/>
              </w:rPr>
              <w:t>Școli construite sau renovate</w:t>
            </w:r>
          </w:p>
        </w:tc>
        <w:tc>
          <w:tcPr>
            <w:tcW w:w="1275" w:type="dxa"/>
            <w:shd w:val="clear" w:color="auto" w:fill="C4EFCE"/>
            <w:noWrap/>
            <w:vAlign w:val="center"/>
          </w:tcPr>
          <w:p w14:paraId="26E7E3C8" w14:textId="77777777" w:rsidR="00A15990" w:rsidRDefault="00A15990">
            <w:pPr>
              <w:spacing w:after="0" w:line="240" w:lineRule="auto"/>
              <w:jc w:val="center"/>
              <w:rPr>
                <w:rFonts w:cstheme="minorHAnsi"/>
                <w:noProof/>
                <w:sz w:val="16"/>
              </w:rPr>
            </w:pPr>
          </w:p>
        </w:tc>
        <w:tc>
          <w:tcPr>
            <w:tcW w:w="993" w:type="dxa"/>
            <w:shd w:val="clear" w:color="auto" w:fill="C4EFCE"/>
            <w:noWrap/>
            <w:vAlign w:val="center"/>
          </w:tcPr>
          <w:p w14:paraId="291A36D7" w14:textId="0D94A62A" w:rsidR="00A15990" w:rsidRDefault="00686A62">
            <w:pPr>
              <w:pStyle w:val="P68B1DB1-Normal12"/>
              <w:spacing w:after="0" w:line="240" w:lineRule="auto"/>
              <w:jc w:val="center"/>
              <w:rPr>
                <w:rFonts w:cstheme="minorHAnsi"/>
                <w:noProof/>
              </w:rPr>
            </w:pPr>
            <w:r>
              <w:rPr>
                <w:noProof/>
              </w:rPr>
              <w:t>Numărul de școli construite sau renovate</w:t>
            </w:r>
          </w:p>
        </w:tc>
        <w:tc>
          <w:tcPr>
            <w:tcW w:w="992" w:type="dxa"/>
            <w:shd w:val="clear" w:color="auto" w:fill="C4EFCE"/>
            <w:noWrap/>
            <w:vAlign w:val="center"/>
          </w:tcPr>
          <w:p w14:paraId="6DB69F02" w14:textId="77777777" w:rsidR="00A15990" w:rsidRDefault="00686A62">
            <w:pPr>
              <w:pStyle w:val="P68B1DB1-Normal12"/>
              <w:spacing w:after="0" w:line="240" w:lineRule="auto"/>
              <w:jc w:val="center"/>
              <w:rPr>
                <w:rFonts w:cstheme="minorHAnsi"/>
                <w:noProof/>
              </w:rPr>
            </w:pPr>
            <w:r>
              <w:rPr>
                <w:noProof/>
              </w:rPr>
              <w:t>0</w:t>
            </w:r>
          </w:p>
        </w:tc>
        <w:tc>
          <w:tcPr>
            <w:tcW w:w="850" w:type="dxa"/>
            <w:shd w:val="clear" w:color="auto" w:fill="C4EFCE"/>
            <w:noWrap/>
            <w:vAlign w:val="center"/>
          </w:tcPr>
          <w:p w14:paraId="11FF05D1" w14:textId="77777777" w:rsidR="00A15990" w:rsidRDefault="00686A62">
            <w:pPr>
              <w:pStyle w:val="P68B1DB1-Normal12"/>
              <w:spacing w:after="0" w:line="240" w:lineRule="auto"/>
              <w:jc w:val="center"/>
              <w:rPr>
                <w:rFonts w:cstheme="minorHAnsi"/>
                <w:noProof/>
              </w:rPr>
            </w:pPr>
            <w:r>
              <w:rPr>
                <w:noProof/>
              </w:rPr>
              <w:t>75</w:t>
            </w:r>
          </w:p>
        </w:tc>
        <w:tc>
          <w:tcPr>
            <w:tcW w:w="567" w:type="dxa"/>
            <w:shd w:val="clear" w:color="auto" w:fill="C4EFCE"/>
            <w:noWrap/>
            <w:vAlign w:val="center"/>
          </w:tcPr>
          <w:p w14:paraId="7F8EE097" w14:textId="77777777" w:rsidR="00A15990" w:rsidRDefault="00686A62">
            <w:pPr>
              <w:pStyle w:val="P68B1DB1-Normal12"/>
              <w:spacing w:after="0" w:line="240" w:lineRule="auto"/>
              <w:jc w:val="center"/>
              <w:rPr>
                <w:rFonts w:cstheme="minorHAnsi"/>
                <w:noProof/>
              </w:rPr>
            </w:pPr>
            <w:r>
              <w:rPr>
                <w:noProof/>
              </w:rPr>
              <w:t>TRIMESTRUL 2</w:t>
            </w:r>
          </w:p>
        </w:tc>
        <w:tc>
          <w:tcPr>
            <w:tcW w:w="708" w:type="dxa"/>
            <w:shd w:val="clear" w:color="auto" w:fill="C4EFCE"/>
            <w:noWrap/>
            <w:vAlign w:val="center"/>
          </w:tcPr>
          <w:p w14:paraId="274AED81" w14:textId="77777777" w:rsidR="00A15990" w:rsidRDefault="00686A62">
            <w:pPr>
              <w:pStyle w:val="P68B1DB1-Normal12"/>
              <w:spacing w:after="0" w:line="240" w:lineRule="auto"/>
              <w:jc w:val="center"/>
              <w:rPr>
                <w:rFonts w:cstheme="minorHAnsi"/>
                <w:noProof/>
              </w:rPr>
            </w:pPr>
            <w:r>
              <w:rPr>
                <w:noProof/>
              </w:rPr>
              <w:t>2026</w:t>
            </w:r>
          </w:p>
        </w:tc>
        <w:tc>
          <w:tcPr>
            <w:tcW w:w="4395" w:type="dxa"/>
            <w:shd w:val="clear" w:color="auto" w:fill="C4EFCE"/>
          </w:tcPr>
          <w:p w14:paraId="00863007" w14:textId="60A9DB36" w:rsidR="00A15990" w:rsidRDefault="00686A62">
            <w:pPr>
              <w:pStyle w:val="P68B1DB1-Bodytext1013"/>
              <w:spacing w:after="0" w:line="240" w:lineRule="auto"/>
              <w:jc w:val="both"/>
              <w:rPr>
                <w:rFonts w:cstheme="minorBidi"/>
                <w:noProof/>
              </w:rPr>
            </w:pPr>
            <w:r>
              <w:rPr>
                <w:noProof/>
              </w:rPr>
              <w:t xml:space="preserve">75 de școli publice vor fi construite sau renovate și vor fi gata de utilizare. Aceasta include achiziționarea de echipamente, cum ar fi suporturile digitale, care sunt necesare pentru funcționarea școlilor noi/renovate. </w:t>
            </w:r>
          </w:p>
          <w:p w14:paraId="36ED3EEE" w14:textId="41AE783C" w:rsidR="00A15990" w:rsidRDefault="00686A62">
            <w:pPr>
              <w:pStyle w:val="P68B1DB1-Bodytext1013"/>
              <w:spacing w:after="0" w:line="240" w:lineRule="auto"/>
              <w:jc w:val="both"/>
              <w:rPr>
                <w:rFonts w:cstheme="minorHAnsi"/>
                <w:noProof/>
              </w:rPr>
            </w:pPr>
            <w:r>
              <w:rPr>
                <w:noProof/>
              </w:rPr>
              <w:t xml:space="preserve">Clădirile noi trebuie să aibă o cerere de energie primară cu cel puțin 20 % sub cerințele clădirilor al căror consum de energie este aproape egal cu zero. </w:t>
            </w:r>
          </w:p>
          <w:p w14:paraId="469407C1" w14:textId="77777777" w:rsidR="00A15990" w:rsidRDefault="00686A62">
            <w:pPr>
              <w:pStyle w:val="P68B1DB1-Bodytext1013"/>
              <w:spacing w:after="0" w:line="240" w:lineRule="auto"/>
              <w:jc w:val="both"/>
              <w:rPr>
                <w:rFonts w:cstheme="minorHAnsi"/>
                <w:noProof/>
              </w:rPr>
            </w:pPr>
            <w:r>
              <w:rPr>
                <w:noProof/>
              </w:rPr>
              <w:t>Renovările realizează, în medie, cel puțin renovări de nivel mediu, definite în Recomandarea Comisiei privind renovarea clădirilor (UE) 2019/786.</w:t>
            </w:r>
          </w:p>
        </w:tc>
      </w:tr>
    </w:tbl>
    <w:p w14:paraId="710B72CF" w14:textId="77777777" w:rsidR="00A15990" w:rsidRDefault="00A15990">
      <w:pPr>
        <w:spacing w:before="40" w:after="0" w:line="259" w:lineRule="auto"/>
        <w:jc w:val="both"/>
        <w:outlineLvl w:val="2"/>
        <w:rPr>
          <w:rFonts w:ascii="Times New Roman" w:eastAsiaTheme="minorEastAsia" w:hAnsi="Times New Roman" w:cs="Times New Roman"/>
          <w:b/>
          <w:noProof/>
          <w:sz w:val="24"/>
          <w:u w:val="single"/>
        </w:rPr>
      </w:pPr>
    </w:p>
    <w:p w14:paraId="4D8543A1" w14:textId="77777777" w:rsidR="00A15990" w:rsidRDefault="00A15990">
      <w:pPr>
        <w:keepNext/>
        <w:spacing w:before="40" w:after="0" w:line="259" w:lineRule="auto"/>
        <w:jc w:val="both"/>
        <w:outlineLvl w:val="1"/>
        <w:rPr>
          <w:rFonts w:ascii="Times New Roman" w:eastAsiaTheme="minorEastAsia" w:hAnsi="Times New Roman" w:cs="Times New Roman"/>
          <w:b/>
          <w:noProof/>
          <w:sz w:val="24"/>
          <w:u w:val="single"/>
        </w:rPr>
        <w:sectPr w:rsidR="00A15990" w:rsidSect="00EE3DC7">
          <w:headerReference w:type="even" r:id="rId138"/>
          <w:headerReference w:type="default" r:id="rId139"/>
          <w:footerReference w:type="even" r:id="rId140"/>
          <w:footerReference w:type="default" r:id="rId141"/>
          <w:headerReference w:type="first" r:id="rId142"/>
          <w:footerReference w:type="first" r:id="rId143"/>
          <w:pgSz w:w="16839" w:h="11907" w:orient="landscape"/>
          <w:pgMar w:top="1134" w:right="1134" w:bottom="1134" w:left="1134" w:header="567" w:footer="567" w:gutter="0"/>
          <w:cols w:space="720"/>
          <w:docGrid w:linePitch="360"/>
        </w:sectPr>
      </w:pPr>
    </w:p>
    <w:p w14:paraId="20600E2D" w14:textId="15EE7507" w:rsidR="00A15990" w:rsidRDefault="00686A62">
      <w:pPr>
        <w:pStyle w:val="P68B1DB1-Normal3"/>
        <w:keepNext/>
        <w:spacing w:before="40" w:after="0" w:line="259" w:lineRule="auto"/>
        <w:ind w:left="130" w:firstLine="720"/>
        <w:jc w:val="both"/>
        <w:outlineLvl w:val="1"/>
        <w:rPr>
          <w:rFonts w:eastAsiaTheme="minorEastAsia" w:cs="Times New Roman"/>
          <w:smallCaps/>
          <w:noProof/>
        </w:rPr>
      </w:pPr>
      <w:r>
        <w:rPr>
          <w:noProof/>
        </w:rPr>
        <w:t xml:space="preserve">G. COMPONENTA 7: Infrastructură </w:t>
      </w:r>
    </w:p>
    <w:p w14:paraId="200CA25A" w14:textId="77777777" w:rsidR="00A15990" w:rsidRDefault="00686A62">
      <w:pPr>
        <w:pStyle w:val="P68B1DB1-Normal4"/>
        <w:keepNext/>
        <w:spacing w:before="40" w:after="0" w:line="259" w:lineRule="auto"/>
        <w:jc w:val="both"/>
        <w:rPr>
          <w:rFonts w:eastAsiaTheme="minorEastAsia" w:cs="Times New Roman"/>
          <w:noProof/>
        </w:rPr>
      </w:pPr>
      <w:r>
        <w:rPr>
          <w:noProof/>
        </w:rPr>
        <w:t>Această</w:t>
      </w:r>
      <w:r>
        <w:rPr>
          <w:i/>
          <w:noProof/>
        </w:rPr>
        <w:t xml:space="preserve"> </w:t>
      </w:r>
      <w:r>
        <w:rPr>
          <w:noProof/>
        </w:rPr>
        <w:t>componentă a planului portughez de redresare și reziliență</w:t>
      </w:r>
      <w:r>
        <w:rPr>
          <w:i/>
          <w:noProof/>
        </w:rPr>
        <w:t xml:space="preserve"> </w:t>
      </w:r>
      <w:r>
        <w:rPr>
          <w:noProof/>
        </w:rPr>
        <w:t xml:space="preserve">abordează provocarea reprezentată de coeziunea teritorială scăzută și de competitivitatea scăzută a întreprinderilor din regiunile interioare cauzată de legăturile inadecvate cu rețeaua rutieră. Acest lucru duce la costuri de context pentru întreprinderi, cum ar fi costurile de transport prin conectivitate rutieră redusă sau dificultatea de a atrage personal calificat. O altă provocare o reprezintă necesitatea de a reduce emisiile în sectorul transporturilor și în parcurile de afaceri. </w:t>
      </w:r>
    </w:p>
    <w:p w14:paraId="1FBD0D8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componentei sunt de a spori coeziunea teritorială și de a îmbunătăți competitivitatea pentru a promova dezvoltarea economică a regiunilor interioare. Prin instalarea stațiilor de încărcare, aceasta urmărește să promoveze decarbonizarea transportului rutier. </w:t>
      </w:r>
    </w:p>
    <w:p w14:paraId="32BD65D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În acest scop, componenta urmărește să facă parcurile de afaceri mai durabile și mai digitale și să le ofere acestora un acces mai bun la rețeaua rutieră. Aceasta urmărește, de asemenea, să îmbunătățească conectivitatea transportului rutier prin extinderea rețelei rutiere, de exemplu prin abordarea legăturilor lipsă, inclusiv în Insulele Azore, și prin furnizarea a patru conexiuni transfrontaliere. Se preconizează că accelerarea extinderii rețelei de stații de încărcare a vehiculelor electrice accesibile publicului va contribui la reducerea amprentei de carbon a sectorului transportului rutier din Portugalia și la creșterea sustenabilității acestuia. Această investiție este o măsură de însoțire pentru extinderea infrastructurii rutiere, în conformitate cu Orientările tehnice privind principiul de „a nu aduce prejudicii semnificative” ale Comisiei (2021/C58/01). </w:t>
      </w:r>
    </w:p>
    <w:p w14:paraId="26F8A281" w14:textId="77777777" w:rsidR="00A15990" w:rsidRDefault="00686A62">
      <w:pPr>
        <w:pStyle w:val="P68B1DB1-Normal4"/>
        <w:keepNext/>
        <w:spacing w:before="40" w:after="0" w:line="259" w:lineRule="auto"/>
        <w:jc w:val="both"/>
        <w:rPr>
          <w:rFonts w:eastAsiaTheme="minorEastAsia" w:cs="Times New Roman"/>
          <w:noProof/>
        </w:rPr>
      </w:pPr>
      <w:r>
        <w:rPr>
          <w:noProof/>
        </w:rPr>
        <w:t>Componenta sprijină abordarea recomandării specifice fiecărei țări privind concentrarea investițiilor asupra tranziției verzi, ținând seama de disparitățile regionale (recomandarea specifică fiecărei țări 3 2019 și recomandarea specifică fiecărei țări 3 2020) și sprijinirea utilizării tehnologiilor digitale pentru a stimula competitivitatea întreprinderilor (recomandarea specifică fiecărei țări 2 2020).</w:t>
      </w:r>
    </w:p>
    <w:p w14:paraId="2B7EE79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3E872C3A"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62B87287" w14:textId="77777777" w:rsidR="00A15990" w:rsidRDefault="00686A62">
      <w:pPr>
        <w:keepNext/>
        <w:spacing w:before="40" w:after="0" w:line="259" w:lineRule="auto"/>
        <w:ind w:left="130" w:firstLine="720"/>
        <w:jc w:val="both"/>
        <w:outlineLvl w:val="2"/>
        <w:rPr>
          <w:rFonts w:ascii="Times New Roman" w:eastAsiaTheme="minorEastAsia" w:hAnsi="Times New Roman" w:cs="Times New Roman"/>
          <w:b/>
          <w:i/>
          <w:noProof/>
          <w:sz w:val="24"/>
          <w:u w:val="single"/>
        </w:rPr>
      </w:pPr>
      <w:r>
        <w:rPr>
          <w:rFonts w:ascii="Times New Roman" w:hAnsi="Times New Roman"/>
          <w:b/>
          <w:noProof/>
          <w:sz w:val="24"/>
          <w:u w:val="single"/>
        </w:rPr>
        <w:t xml:space="preserve">G.1. </w:t>
      </w:r>
      <w:r>
        <w:rPr>
          <w:noProof/>
        </w:rPr>
        <w:tab/>
      </w:r>
      <w:r>
        <w:rPr>
          <w:rFonts w:ascii="Times New Roman" w:hAnsi="Times New Roman"/>
          <w:b/>
          <w:noProof/>
          <w:sz w:val="24"/>
          <w:u w:val="single"/>
        </w:rPr>
        <w:t>Descrierea reformelor și a investițiilor pentru sprijinul financiar nerambursabil</w:t>
      </w:r>
    </w:p>
    <w:p w14:paraId="590E8D7E"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RE-C07-i00: Extinderea rețelei de încărcare a vehiculelor electrice</w:t>
      </w:r>
    </w:p>
    <w:p w14:paraId="1E56FC8F"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măsurii este de a promova decarbonizarea transportului rutier prin promovarea mobilității electrice. </w:t>
      </w:r>
    </w:p>
    <w:p w14:paraId="0A23AF01" w14:textId="62EBFE78" w:rsidR="00A15990" w:rsidRDefault="00686A62">
      <w:pPr>
        <w:pStyle w:val="P68B1DB1-Normal4"/>
        <w:keepNext/>
        <w:spacing w:before="40" w:after="0" w:line="259" w:lineRule="auto"/>
        <w:jc w:val="both"/>
        <w:rPr>
          <w:rFonts w:eastAsiaTheme="minorEastAsia" w:cs="Times New Roman"/>
          <w:noProof/>
        </w:rPr>
      </w:pPr>
      <w:r>
        <w:rPr>
          <w:noProof/>
        </w:rPr>
        <w:t>Investiția constă în asigurarea faptului că 15 000 de puncte de reîncărcare accesibile publicului sunt operaționale în Portugalia. Aceasta este o măsură de însoțire pentru investițiile în infrastructura rutieră în C07-I02, I03, I04 și I05 pentru a asigura respectarea principiului de „a nu aduce prejudicii semnificative” în ceea ce privește obiectivele de atenuare a schimbărilor climatice și de prevenire și control al poluării. Entitățile private au devenit principalii actori în extinderea rețelei. Statul portughez își concentrează investițiile pe platforma de gestionare a rețelei Mobi.E și pe acoperirea disfuncționalităților pieței prin sprijinirea investițiilor în regiuni în care sectorul privat nu asigură acoperirea necesară.</w:t>
      </w:r>
    </w:p>
    <w:p w14:paraId="15FD5D8E"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finalizează la 31 decembrie 2025. </w:t>
      </w:r>
    </w:p>
    <w:p w14:paraId="33FAE029"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RE-C07-i01: Zone de primire a întreprinderilor</w:t>
      </w:r>
    </w:p>
    <w:p w14:paraId="3A765AFD" w14:textId="77777777" w:rsidR="00A15990" w:rsidRDefault="00686A62">
      <w:pPr>
        <w:pStyle w:val="P68B1DB1-Normal4"/>
        <w:keepNext/>
        <w:spacing w:before="40" w:after="0" w:line="259" w:lineRule="auto"/>
        <w:jc w:val="both"/>
        <w:rPr>
          <w:rFonts w:eastAsiaTheme="minorEastAsia" w:cs="Times New Roman"/>
          <w:noProof/>
        </w:rPr>
      </w:pPr>
      <w:r>
        <w:rPr>
          <w:noProof/>
        </w:rPr>
        <w:t>Obiectivul măsurii este de a moderniza zonele de primire a întreprinderilor, care reprezintă o zonă de teren dezvoltată ca spațiu pentru birouri, fabrici și alte întreprinderi. Modernizarea parcurilor de afaceri este, de asemenea, identificată ca fiind o nevoie de investiții în planul național de infrastructură al Portugaliei din 2030 (PNI 2030).</w:t>
      </w:r>
    </w:p>
    <w:p w14:paraId="698D6A6F"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intervenții în parcuri de afaceri selectate care includ promovarea sistemelor de producție și stocare a energiei din surse regenerabile, intervenții pilot pentru îmbunătățirea stabilității energetice, instalarea de stații de încărcare cu energie electrică și pe bază de hidrogen, o acoperire 5G sporită și măsuri active de prevenire a incendiilor. Aceste intervenții în direcția durabilității mediului și a digitalizării se desfășoară în 10 de zone de primire a întreprinderilor, alese prin intermediul unei licitații publice. </w:t>
      </w:r>
    </w:p>
    <w:p w14:paraId="71390BF3"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punerea în aplicare a investiției va fi finalizată până la 31 decembrie 2025.</w:t>
      </w:r>
    </w:p>
    <w:p w14:paraId="348C4B22"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RE-C07-i02: Legăturile lipsă și creșterea capacității rețelei</w:t>
      </w:r>
    </w:p>
    <w:p w14:paraId="052B39E3" w14:textId="77777777" w:rsidR="00A15990" w:rsidRDefault="00686A62">
      <w:pPr>
        <w:pStyle w:val="P68B1DB1-Normal4"/>
        <w:keepNext/>
        <w:spacing w:before="40" w:after="0" w:line="259" w:lineRule="auto"/>
        <w:jc w:val="both"/>
        <w:rPr>
          <w:rFonts w:eastAsiaTheme="minorEastAsia" w:cs="Times New Roman"/>
          <w:noProof/>
        </w:rPr>
      </w:pPr>
      <w:r>
        <w:rPr>
          <w:noProof/>
        </w:rPr>
        <w:t>Obiectivul măsurii este de a îmbunătăți coeziunea teritorială și competitivitatea prin abordarea „legăturilor lipsă” din rețeaua rutieră. Aceste verigi lipsă reduc performanța rețelei rutiere și conduc la o pierdere a competitivității întreprinderilor. Investiția urmărește, de asemenea, să abordeze problema congestionării traficului, să îmbunătățească siguranța rutieră și calitatea aerului și să reducă zgomotul în zonele din apropierea drumurilor.</w:t>
      </w:r>
    </w:p>
    <w:p w14:paraId="66586778"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construirea și modernizarea drumurilor. Intervențiile includ eliminarea trecerilor urbane și asigurarea caracterului adecvat al capacității căii ferate, creșterea accesibilității la principalele coridoare de transport și la interfețele multimodale. Intervențiile includ modernizarea drumurilor care fac parte din rețeaua TEN-T, cum ar fi șoseaua de centură estică a IP2 Évora sau investițiile în IP8. </w:t>
      </w:r>
    </w:p>
    <w:p w14:paraId="688654A9"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această măsură nu prejudiciază în mod semnificativ obiectivele de mediu în sensul articolul 17 din Regulamentul (UE) 2020/852, ținând seama de descrierea măsurii și de etapele de atenuare prevăzute în planul de redresare și reziliență în conformitate cu Orientările tehnice DNSH (2021/C58/01). În special, conformitatea cu principiul DNSH este asigurată prin investițiile C07-I0 (extinderea rețelei de încărcare a vehiculelor electrice) ca măsură de însoțire. Orice proiect rutier care ar putea avea efecte negative semnificative asupra mediului face obiectul unei evaluări a impactului asupra mediului (EIM) în conformitate cu Directiva 2011/92/UE, pentru a se asigura că respectarea principiului de „a nu aduce prejudicii semnificative” este integrată în proiect și respectată cu strictețe în etapele de construcție, exploatare și dezafectare a infrastructurii.</w:t>
      </w:r>
    </w:p>
    <w:p w14:paraId="046AD115" w14:textId="79CA9C50" w:rsidR="00A15990" w:rsidRDefault="00686A62">
      <w:pPr>
        <w:pStyle w:val="P68B1DB1-Normal4"/>
        <w:keepNext/>
        <w:spacing w:before="40" w:after="0" w:line="259" w:lineRule="auto"/>
        <w:jc w:val="both"/>
        <w:rPr>
          <w:rFonts w:eastAsiaTheme="minorEastAsia" w:cs="Times New Roman"/>
          <w:noProof/>
        </w:rPr>
      </w:pPr>
      <w:r>
        <w:rPr>
          <w:noProof/>
        </w:rPr>
        <w:t xml:space="preserve">Dintre drumurile enumerate, se construiesc sau se modernizează 111 de kilometri: </w:t>
      </w:r>
    </w:p>
    <w:p w14:paraId="10E3C582"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interfața rutieră/feroviară din Trofa/Santana, inclusiv un nou pod peste râul Ave; </w:t>
      </w:r>
    </w:p>
    <w:p w14:paraId="0D1CCC85"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EN14: Interfața Maia (Via Diagonal)/stradă/feroviară din Trofa; </w:t>
      </w:r>
    </w:p>
    <w:p w14:paraId="24DEB7F3"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EN4: Șoseaua de centură Atalaia; </w:t>
      </w:r>
    </w:p>
    <w:p w14:paraId="0F43B082"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Penafiel (EN15)/Rans; </w:t>
      </w:r>
    </w:p>
    <w:p w14:paraId="32D72CCA"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IC35: RAN/Entre-os Rios; </w:t>
      </w:r>
    </w:p>
    <w:p w14:paraId="03DE18C1"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IP2: Șoseaua de centură estică Évora; </w:t>
      </w:r>
    </w:p>
    <w:p w14:paraId="7A684FA5"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Legătura de la Baião la podul Ermida; </w:t>
      </w:r>
    </w:p>
    <w:p w14:paraId="0EC45B3D"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Axa rutieră Aveiro – Águeda; </w:t>
      </w:r>
    </w:p>
    <w:p w14:paraId="1DECF506"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EN344: km 67-km 75 – Pampilhosa da Serra; </w:t>
      </w:r>
    </w:p>
    <w:p w14:paraId="2680B40F"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EN125: Șoseaua de centură estică a Olhão; </w:t>
      </w:r>
    </w:p>
    <w:p w14:paraId="328864DD"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IC2 (EN1): Meirinhas (km 136)/Pombal (km 148); </w:t>
      </w:r>
    </w:p>
    <w:p w14:paraId="35923BB7"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(EN121): Ferreira do Alentejo/Beja, inclusiv șoseaua de centură Beringel; </w:t>
      </w:r>
    </w:p>
    <w:p w14:paraId="4609B59F"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(EN259): STA. Margarida do Sado/Ferreira do Alentejo, inclusiv șoseaua de centură Figueira de Cavaleiros; </w:t>
      </w:r>
    </w:p>
    <w:p w14:paraId="7D895BF1"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IP8 (A26): Creșterea capacității conexiunii dintre Sines și A2; </w:t>
      </w:r>
    </w:p>
    <w:p w14:paraId="19991BD2" w14:textId="77777777" w:rsidR="00A15990" w:rsidRDefault="00686A62">
      <w:pPr>
        <w:pStyle w:val="P68B1DB1-Normal4"/>
        <w:keepNext/>
        <w:numPr>
          <w:ilvl w:val="0"/>
          <w:numId w:val="22"/>
        </w:numPr>
        <w:spacing w:before="40" w:after="160" w:line="259" w:lineRule="auto"/>
        <w:contextualSpacing/>
        <w:jc w:val="both"/>
        <w:rPr>
          <w:rFonts w:eastAsiaTheme="minorEastAsia" w:cs="Times New Roman"/>
          <w:noProof/>
        </w:rPr>
      </w:pPr>
      <w:r>
        <w:rPr>
          <w:noProof/>
        </w:rPr>
        <w:t xml:space="preserve">EN211 – șosea de centură Quintă/Mesquinhata. </w:t>
      </w:r>
    </w:p>
    <w:p w14:paraId="21CD1717"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4CD69178"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RE-C07-i05-RAA: Circuite logistice – Rețeaua regională a Insulelor Azore</w:t>
      </w:r>
    </w:p>
    <w:p w14:paraId="5E978CC5" w14:textId="77777777" w:rsidR="00A15990" w:rsidRDefault="00686A62">
      <w:pPr>
        <w:pStyle w:val="P68B1DB1-Normal4"/>
        <w:keepNext/>
        <w:spacing w:before="40" w:after="0" w:line="259" w:lineRule="auto"/>
        <w:jc w:val="both"/>
        <w:rPr>
          <w:rFonts w:eastAsiaTheme="minorEastAsia" w:cs="Times New Roman"/>
          <w:noProof/>
        </w:rPr>
      </w:pPr>
      <w:r>
        <w:rPr>
          <w:noProof/>
        </w:rPr>
        <w:t>Obiectivul măsurii este de a crea condițiile pentru o dezvoltare economică mai echilibrată prin promovarea operatorilor economici în afara marilor centre urbane. Intervențiile vizează, de asemenea, reducerea distanțelor de călătorie, a duratei călătoriei și a congestionării traficului.</w:t>
      </w:r>
    </w:p>
    <w:p w14:paraId="77005C25"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extinderea și modernizarea infrastructurii rutiere din Azore. Scopul său este de a îmbunătăți accesibilitatea centrelor de populație și a centrelor de activitate economică, precum și a infrastructurilor principale de intrare pe fiecare insulă. Scopul său este, de asemenea, de a interveni în construcția de drumuri circulare către principalele centre urbane, prin reducerea trecerilor urbane. </w:t>
      </w:r>
    </w:p>
    <w:p w14:paraId="63DBFDF0"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această măsură nu prejudiciază în mod semnificativ obiectivele de mediu în sensul articolul 17 din Regulamentul (UE) 2020/852, ținând seama de descrierea măsurii și de etapele de atenuare prevăzute în planul de redresare și reziliență în conformitate cu Orientările tehnice DNSH (2021/C58/01). În special, conformitatea cu principiul DNSH este asigurată prin investițiile C07-I0 (extinderea rețelei de încărcare a vehiculelor electrice) ca măsură de însoțire. Orice proiect rutier care ar putea avea efecte negative semnificative asupra mediului face obiectul unei evaluări a impactului asupra mediului (EIM) în conformitate cu Directiva 2011/92/UE, pentru a se asigura că respectarea principiului de „a nu aduce prejudicii semnificative” este integrată în proiect și respectată cu strictețe în etapele de construcție, exploatare și dezafectare a infrastructurii. În total, se construiesc sau se modernizează 34 de kilometri de drumuri. Sunt planificate următoarele intervenții rutiere:</w:t>
      </w:r>
    </w:p>
    <w:p w14:paraId="09A9BBD4"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Santa Maria</w:t>
      </w:r>
    </w:p>
    <w:p w14:paraId="4F976D1C"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Șoseaua de centură Vila do Porto</w:t>
      </w:r>
    </w:p>
    <w:p w14:paraId="7F41B4BE"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Miguel</w:t>
      </w:r>
    </w:p>
    <w:p w14:paraId="16BFDA9B"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Cuptoare de îmbunătățire a accesibilității/Povoação –</w:t>
      </w:r>
      <w:r>
        <w:rPr>
          <w:noProof/>
          <w:vertAlign w:val="superscript"/>
        </w:rPr>
        <w:t>etapa</w:t>
      </w:r>
      <w:r>
        <w:rPr>
          <w:noProof/>
        </w:rPr>
        <w:t xml:space="preserve"> 1: Șosea ocolitoare Furnas</w:t>
      </w:r>
    </w:p>
    <w:p w14:paraId="59323044"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Șosea de centură Capelas</w:t>
      </w:r>
    </w:p>
    <w:p w14:paraId="7572973D"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Șosea de centură São Roque</w:t>
      </w:r>
    </w:p>
    <w:p w14:paraId="4820E6A3"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Șoseaua de centură a portalului Vento</w:t>
      </w:r>
    </w:p>
    <w:p w14:paraId="313CCF36"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Ilha Terceira</w:t>
      </w:r>
    </w:p>
    <w:p w14:paraId="04E615D9"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Promovarea accesibilității, a mobilității și a condițiilor de siguranță rutieră – legătura dintre Via Vitorino Nemésio și Angra Circular</w:t>
      </w:r>
    </w:p>
    <w:p w14:paraId="09E0E766"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Ilha Graciosa</w:t>
      </w:r>
    </w:p>
    <w:p w14:paraId="1419E510"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Conexiune între E.R. 3-2 și E.R. 4-2</w:t>
      </w:r>
    </w:p>
    <w:p w14:paraId="40754259"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Ilha de São Jorge</w:t>
      </w:r>
    </w:p>
    <w:p w14:paraId="6D7F1843"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Promovarea accesibilității, a mobilității și a condițiilor de siguranță rutieră – conexiunea nord-sud</w:t>
      </w:r>
    </w:p>
    <w:p w14:paraId="3FD2AA91"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Ilha do Pico </w:t>
      </w:r>
    </w:p>
    <w:p w14:paraId="0FE649A1"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Construirea drumului circular către Vila da Madalena</w:t>
      </w:r>
    </w:p>
    <w:p w14:paraId="10A36DDF"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Ilha do Faial</w:t>
      </w:r>
    </w:p>
    <w:p w14:paraId="68BAC951" w14:textId="77777777" w:rsidR="00A15990" w:rsidRDefault="00686A62">
      <w:pPr>
        <w:pStyle w:val="P68B1DB1-Normal4"/>
        <w:keepNext/>
        <w:numPr>
          <w:ilvl w:val="1"/>
          <w:numId w:val="25"/>
        </w:numPr>
        <w:spacing w:before="40" w:after="160" w:line="259" w:lineRule="auto"/>
        <w:contextualSpacing/>
        <w:jc w:val="both"/>
        <w:rPr>
          <w:rFonts w:eastAsiaTheme="minorEastAsia" w:cs="Times New Roman"/>
          <w:noProof/>
        </w:rPr>
      </w:pPr>
      <w:r>
        <w:rPr>
          <w:noProof/>
        </w:rPr>
        <w:t>Construcția celei de-a</w:t>
      </w:r>
      <w:r>
        <w:rPr>
          <w:noProof/>
          <w:vertAlign w:val="superscript"/>
        </w:rPr>
        <w:t>2-a</w:t>
      </w:r>
      <w:r>
        <w:rPr>
          <w:noProof/>
        </w:rPr>
        <w:t xml:space="preserve"> etape a șoselei de centură Cidade da Horta</w:t>
      </w:r>
    </w:p>
    <w:p w14:paraId="5A803078" w14:textId="21946209" w:rsidR="00A15990" w:rsidRDefault="00686A62">
      <w:pPr>
        <w:pStyle w:val="P68B1DB1-Normal4"/>
        <w:keepNext/>
        <w:spacing w:before="40" w:after="0" w:line="259" w:lineRule="auto"/>
        <w:jc w:val="both"/>
        <w:rPr>
          <w:rFonts w:eastAsiaTheme="minorEastAsia" w:cs="Times New Roman"/>
          <w:noProof/>
        </w:rPr>
        <w:sectPr w:rsidR="00A15990" w:rsidSect="00E00EDD">
          <w:headerReference w:type="even" r:id="rId144"/>
          <w:headerReference w:type="default" r:id="rId145"/>
          <w:footerReference w:type="even" r:id="rId146"/>
          <w:footerReference w:type="default" r:id="rId147"/>
          <w:headerReference w:type="first" r:id="rId148"/>
          <w:footerReference w:type="first" r:id="rId149"/>
          <w:pgSz w:w="11907" w:h="16839"/>
          <w:pgMar w:top="1134" w:right="1134" w:bottom="1134" w:left="1134" w:header="567" w:footer="567" w:gutter="0"/>
          <w:cols w:space="720"/>
          <w:docGrid w:linePitch="360"/>
        </w:sectPr>
      </w:pPr>
      <w:r>
        <w:rPr>
          <w:noProof/>
        </w:rPr>
        <w:t>Punerea în aplicare a investiției se va finaliza până la 30 iunie 2026.</w:t>
      </w:r>
    </w:p>
    <w:p w14:paraId="02D059F8"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E182190" w14:textId="77777777" w:rsidR="00A15990" w:rsidRDefault="00686A62">
      <w:pPr>
        <w:pStyle w:val="P68B1DB1-Normal3"/>
        <w:keepNext/>
        <w:spacing w:before="40" w:after="120" w:line="259" w:lineRule="auto"/>
        <w:ind w:left="130" w:firstLine="720"/>
        <w:jc w:val="both"/>
        <w:outlineLvl w:val="2"/>
        <w:rPr>
          <w:rFonts w:eastAsiaTheme="minorEastAsia" w:cs="Times New Roman"/>
          <w:noProof/>
        </w:rPr>
      </w:pPr>
      <w:r>
        <w:rPr>
          <w:noProof/>
        </w:rPr>
        <w:t xml:space="preserve">G.2. </w:t>
      </w:r>
      <w:r>
        <w:rPr>
          <w:noProof/>
        </w:rPr>
        <w:tab/>
        <w:t>Obiective de etapă, ținte, indicatori și calendar pentru monitorizarea și punerea în aplicare a sprijinului financiar nerambursabil</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A15990" w14:paraId="76204668" w14:textId="77777777">
        <w:trPr>
          <w:trHeight w:val="910"/>
          <w:tblHeader/>
        </w:trPr>
        <w:tc>
          <w:tcPr>
            <w:tcW w:w="1135" w:type="dxa"/>
            <w:vMerge w:val="restart"/>
            <w:shd w:val="clear" w:color="auto" w:fill="BDD6EE"/>
            <w:vAlign w:val="center"/>
            <w:hideMark/>
          </w:tcPr>
          <w:p w14:paraId="10A83D55"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2145A2B9"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07805992" w14:textId="1772C180" w:rsidR="00A15990" w:rsidRDefault="00F32597">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vAlign w:val="center"/>
            <w:hideMark/>
          </w:tcPr>
          <w:p w14:paraId="61F8D8A7"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229C7BBA"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shd w:val="clear" w:color="auto" w:fill="BDD6EE"/>
            <w:vAlign w:val="center"/>
            <w:hideMark/>
          </w:tcPr>
          <w:p w14:paraId="6843481D"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78326D8D"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41A1C571"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76EB62E6" w14:textId="77777777">
        <w:trPr>
          <w:trHeight w:val="470"/>
          <w:tblHeader/>
        </w:trPr>
        <w:tc>
          <w:tcPr>
            <w:tcW w:w="1135" w:type="dxa"/>
            <w:vMerge/>
            <w:vAlign w:val="center"/>
            <w:hideMark/>
          </w:tcPr>
          <w:p w14:paraId="4F39F320"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7D30E977"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vAlign w:val="center"/>
            <w:hideMark/>
          </w:tcPr>
          <w:p w14:paraId="58796813" w14:textId="7999AEB8" w:rsidR="00A15990" w:rsidRDefault="00A15990">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449A85D5"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770D098D"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A3469DF"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57CE6F65"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vAlign w:val="center"/>
            <w:hideMark/>
          </w:tcPr>
          <w:p w14:paraId="2594584D"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470C36F2"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3AA4CBDD"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5F2DB0FA" w14:textId="77777777" w:rsidR="00A15990" w:rsidRDefault="00A15990">
            <w:pPr>
              <w:spacing w:after="0" w:line="240" w:lineRule="auto"/>
              <w:rPr>
                <w:rFonts w:ascii="Times New Roman" w:eastAsia="Times New Roman" w:hAnsi="Times New Roman" w:cs="Times New Roman"/>
                <w:b/>
                <w:noProof/>
                <w:sz w:val="18"/>
              </w:rPr>
            </w:pPr>
          </w:p>
        </w:tc>
      </w:tr>
      <w:tr w:rsidR="00A15990" w14:paraId="7CFEA922" w14:textId="77777777">
        <w:trPr>
          <w:trHeight w:val="300"/>
        </w:trPr>
        <w:tc>
          <w:tcPr>
            <w:tcW w:w="1135" w:type="dxa"/>
            <w:shd w:val="clear" w:color="auto" w:fill="C4EFCE"/>
            <w:vAlign w:val="center"/>
            <w:hideMark/>
          </w:tcPr>
          <w:p w14:paraId="3F3E09F7" w14:textId="77777777" w:rsidR="00A15990" w:rsidRDefault="00686A62">
            <w:pPr>
              <w:pStyle w:val="P68B1DB1-Normal7"/>
              <w:spacing w:after="0" w:line="240" w:lineRule="auto"/>
              <w:jc w:val="center"/>
              <w:rPr>
                <w:rFonts w:eastAsia="Times New Roman" w:cs="Calibri"/>
                <w:noProof/>
              </w:rPr>
            </w:pPr>
            <w:r>
              <w:rPr>
                <w:noProof/>
              </w:rPr>
              <w:t>7.1</w:t>
            </w:r>
          </w:p>
        </w:tc>
        <w:tc>
          <w:tcPr>
            <w:tcW w:w="1276" w:type="dxa"/>
            <w:shd w:val="clear" w:color="auto" w:fill="C4EFCE"/>
            <w:noWrap/>
            <w:vAlign w:val="center"/>
            <w:hideMark/>
          </w:tcPr>
          <w:p w14:paraId="4A111EAC" w14:textId="77777777" w:rsidR="00A15990" w:rsidRDefault="00686A62">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0DD29370"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26EF931" w14:textId="10CF120E" w:rsidR="00A15990" w:rsidRDefault="00686A62">
            <w:pPr>
              <w:pStyle w:val="P68B1DB1-Normal8"/>
              <w:spacing w:after="0" w:line="240" w:lineRule="auto"/>
              <w:jc w:val="center"/>
              <w:rPr>
                <w:rFonts w:eastAsia="Times New Roman" w:cs="Calibri"/>
                <w:noProof/>
              </w:rPr>
            </w:pPr>
            <w:r>
              <w:rPr>
                <w:noProof/>
              </w:rPr>
              <w:t>Puncte de reîncărcare a vehiculelor electrice accesibile publicului</w:t>
            </w:r>
          </w:p>
        </w:tc>
        <w:tc>
          <w:tcPr>
            <w:tcW w:w="1275" w:type="dxa"/>
            <w:shd w:val="clear" w:color="auto" w:fill="C4EFCE"/>
            <w:noWrap/>
            <w:vAlign w:val="center"/>
            <w:hideMark/>
          </w:tcPr>
          <w:p w14:paraId="565AADE8"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CE86B4"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92" w:type="dxa"/>
            <w:shd w:val="clear" w:color="auto" w:fill="C4EFCE"/>
            <w:noWrap/>
            <w:vAlign w:val="center"/>
            <w:hideMark/>
          </w:tcPr>
          <w:p w14:paraId="61129708" w14:textId="77777777" w:rsidR="00A15990" w:rsidRDefault="00686A62">
            <w:pPr>
              <w:pStyle w:val="P68B1DB1-Normal8"/>
              <w:spacing w:after="0" w:line="240" w:lineRule="auto"/>
              <w:jc w:val="center"/>
              <w:rPr>
                <w:rFonts w:eastAsia="Times New Roman" w:cs="Calibri"/>
                <w:noProof/>
              </w:rPr>
            </w:pPr>
            <w:r>
              <w:rPr>
                <w:noProof/>
              </w:rPr>
              <w:t>3 520</w:t>
            </w:r>
          </w:p>
        </w:tc>
        <w:tc>
          <w:tcPr>
            <w:tcW w:w="709" w:type="dxa"/>
            <w:shd w:val="clear" w:color="auto" w:fill="C4EFCE"/>
            <w:noWrap/>
            <w:vAlign w:val="center"/>
            <w:hideMark/>
          </w:tcPr>
          <w:p w14:paraId="213900A0" w14:textId="77777777" w:rsidR="00A15990" w:rsidRDefault="00686A62">
            <w:pPr>
              <w:pStyle w:val="P68B1DB1-Normal8"/>
              <w:spacing w:after="0" w:line="240" w:lineRule="auto"/>
              <w:jc w:val="center"/>
              <w:rPr>
                <w:rFonts w:eastAsia="Times New Roman" w:cs="Calibri"/>
                <w:noProof/>
              </w:rPr>
            </w:pPr>
            <w:r>
              <w:rPr>
                <w:noProof/>
              </w:rPr>
              <w:t>5 250</w:t>
            </w:r>
          </w:p>
        </w:tc>
        <w:tc>
          <w:tcPr>
            <w:tcW w:w="567" w:type="dxa"/>
            <w:shd w:val="clear" w:color="auto" w:fill="C4EFCE"/>
            <w:noWrap/>
            <w:vAlign w:val="center"/>
            <w:hideMark/>
          </w:tcPr>
          <w:p w14:paraId="22D9B120"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146CD88B"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EBBFDA7" w14:textId="72F46DC9" w:rsidR="00A15990" w:rsidRDefault="00686A62">
            <w:pPr>
              <w:pStyle w:val="P68B1DB1-Normal8"/>
              <w:spacing w:after="0" w:line="240" w:lineRule="auto"/>
              <w:jc w:val="both"/>
              <w:rPr>
                <w:rFonts w:eastAsia="Times New Roman" w:cs="Calibri"/>
                <w:noProof/>
              </w:rPr>
            </w:pPr>
            <w:r>
              <w:rPr>
                <w:noProof/>
              </w:rPr>
              <w:t>Numărul de puncte de încărcare pentru vehiculele electrice accesibile publicului (comparativ cu scenariul de referință T4 2021)</w:t>
            </w:r>
          </w:p>
        </w:tc>
      </w:tr>
      <w:tr w:rsidR="00A15990" w14:paraId="411748AE" w14:textId="77777777">
        <w:trPr>
          <w:trHeight w:val="300"/>
        </w:trPr>
        <w:tc>
          <w:tcPr>
            <w:tcW w:w="1135" w:type="dxa"/>
            <w:shd w:val="clear" w:color="auto" w:fill="C4EFCE"/>
            <w:vAlign w:val="center"/>
            <w:hideMark/>
          </w:tcPr>
          <w:p w14:paraId="50AB89C4" w14:textId="77777777" w:rsidR="00A15990" w:rsidRDefault="00686A62">
            <w:pPr>
              <w:pStyle w:val="P68B1DB1-Normal7"/>
              <w:spacing w:after="0" w:line="240" w:lineRule="auto"/>
              <w:jc w:val="center"/>
              <w:rPr>
                <w:rFonts w:eastAsia="Times New Roman" w:cs="Calibri"/>
                <w:noProof/>
              </w:rPr>
            </w:pPr>
            <w:r>
              <w:rPr>
                <w:noProof/>
              </w:rPr>
              <w:t>7.2</w:t>
            </w:r>
          </w:p>
        </w:tc>
        <w:tc>
          <w:tcPr>
            <w:tcW w:w="1276" w:type="dxa"/>
            <w:shd w:val="clear" w:color="auto" w:fill="C4EFCE"/>
            <w:noWrap/>
            <w:vAlign w:val="center"/>
            <w:hideMark/>
          </w:tcPr>
          <w:p w14:paraId="5FD10D53" w14:textId="77777777" w:rsidR="00A15990" w:rsidRDefault="00686A62">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71F92348"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DCB8434" w14:textId="6A490E0A" w:rsidR="00A15990" w:rsidRDefault="00686A62">
            <w:pPr>
              <w:pStyle w:val="P68B1DB1-Normal8"/>
              <w:spacing w:after="0" w:line="240" w:lineRule="auto"/>
              <w:jc w:val="center"/>
              <w:rPr>
                <w:rFonts w:eastAsia="Times New Roman" w:cs="Calibri"/>
                <w:noProof/>
              </w:rPr>
            </w:pPr>
            <w:r>
              <w:rPr>
                <w:noProof/>
              </w:rPr>
              <w:t>Puncte de reîncărcare a vehiculelor electrice accesibile publicului</w:t>
            </w:r>
          </w:p>
        </w:tc>
        <w:tc>
          <w:tcPr>
            <w:tcW w:w="1275" w:type="dxa"/>
            <w:shd w:val="clear" w:color="auto" w:fill="C4EFCE"/>
            <w:noWrap/>
            <w:vAlign w:val="center"/>
            <w:hideMark/>
          </w:tcPr>
          <w:p w14:paraId="039BB342"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738A1E7"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92" w:type="dxa"/>
            <w:shd w:val="clear" w:color="auto" w:fill="C4EFCE"/>
            <w:noWrap/>
            <w:vAlign w:val="center"/>
            <w:hideMark/>
          </w:tcPr>
          <w:p w14:paraId="22A7D3DE" w14:textId="77777777" w:rsidR="00A15990" w:rsidRDefault="00686A62">
            <w:pPr>
              <w:pStyle w:val="P68B1DB1-Normal8"/>
              <w:spacing w:after="0" w:line="240" w:lineRule="auto"/>
              <w:jc w:val="center"/>
              <w:rPr>
                <w:rFonts w:eastAsia="Times New Roman" w:cs="Calibri"/>
                <w:noProof/>
              </w:rPr>
            </w:pPr>
            <w:r>
              <w:rPr>
                <w:noProof/>
              </w:rPr>
              <w:t>5 250</w:t>
            </w:r>
          </w:p>
        </w:tc>
        <w:tc>
          <w:tcPr>
            <w:tcW w:w="709" w:type="dxa"/>
            <w:shd w:val="clear" w:color="auto" w:fill="C4EFCE"/>
            <w:noWrap/>
            <w:vAlign w:val="center"/>
            <w:hideMark/>
          </w:tcPr>
          <w:p w14:paraId="1B77A0ED" w14:textId="77777777" w:rsidR="00A15990" w:rsidRDefault="00686A62">
            <w:pPr>
              <w:pStyle w:val="P68B1DB1-Normal8"/>
              <w:spacing w:after="0" w:line="240" w:lineRule="auto"/>
              <w:jc w:val="center"/>
              <w:rPr>
                <w:rFonts w:eastAsia="Times New Roman" w:cs="Calibri"/>
                <w:noProof/>
              </w:rPr>
            </w:pPr>
            <w:r>
              <w:rPr>
                <w:noProof/>
              </w:rPr>
              <w:t>10 450</w:t>
            </w:r>
          </w:p>
        </w:tc>
        <w:tc>
          <w:tcPr>
            <w:tcW w:w="567" w:type="dxa"/>
            <w:shd w:val="clear" w:color="auto" w:fill="C4EFCE"/>
            <w:noWrap/>
            <w:vAlign w:val="center"/>
            <w:hideMark/>
          </w:tcPr>
          <w:p w14:paraId="57655D31"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66B50A5F" w14:textId="7777777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A5BDC17" w14:textId="0FAC8B46" w:rsidR="00A15990" w:rsidRDefault="00686A62">
            <w:pPr>
              <w:pStyle w:val="P68B1DB1-Normal8"/>
              <w:spacing w:after="0" w:line="240" w:lineRule="auto"/>
              <w:jc w:val="both"/>
              <w:rPr>
                <w:rFonts w:eastAsia="Times New Roman" w:cs="Calibri"/>
                <w:noProof/>
              </w:rPr>
            </w:pPr>
            <w:r>
              <w:rPr>
                <w:noProof/>
              </w:rPr>
              <w:t>Numărul de puncte de încărcare pentru vehiculele electrice accesibile publicului (comparativ cu scenariul de referință T4 2022)</w:t>
            </w:r>
          </w:p>
        </w:tc>
      </w:tr>
      <w:tr w:rsidR="00A15990" w14:paraId="0EAF8566" w14:textId="77777777">
        <w:trPr>
          <w:trHeight w:val="300"/>
        </w:trPr>
        <w:tc>
          <w:tcPr>
            <w:tcW w:w="1135" w:type="dxa"/>
            <w:shd w:val="clear" w:color="auto" w:fill="C4EFCE"/>
            <w:vAlign w:val="center"/>
            <w:hideMark/>
          </w:tcPr>
          <w:p w14:paraId="354C0B63" w14:textId="77777777" w:rsidR="00A15990" w:rsidRDefault="00686A62">
            <w:pPr>
              <w:pStyle w:val="P68B1DB1-Normal7"/>
              <w:spacing w:after="0" w:line="240" w:lineRule="auto"/>
              <w:jc w:val="center"/>
              <w:rPr>
                <w:rFonts w:eastAsia="Times New Roman" w:cs="Calibri"/>
                <w:noProof/>
              </w:rPr>
            </w:pPr>
            <w:r>
              <w:rPr>
                <w:noProof/>
              </w:rPr>
              <w:t>7.3</w:t>
            </w:r>
          </w:p>
        </w:tc>
        <w:tc>
          <w:tcPr>
            <w:tcW w:w="1276" w:type="dxa"/>
            <w:shd w:val="clear" w:color="auto" w:fill="C4EFCE"/>
            <w:noWrap/>
            <w:vAlign w:val="center"/>
            <w:hideMark/>
          </w:tcPr>
          <w:p w14:paraId="415D9614" w14:textId="77777777" w:rsidR="00A15990" w:rsidRDefault="00686A62">
            <w:pPr>
              <w:pStyle w:val="P68B1DB1-Normal8"/>
              <w:spacing w:after="0" w:line="240" w:lineRule="auto"/>
              <w:jc w:val="center"/>
              <w:rPr>
                <w:rFonts w:eastAsia="Times New Roman" w:cs="Calibri"/>
                <w:noProof/>
              </w:rPr>
            </w:pPr>
            <w:r>
              <w:rPr>
                <w:noProof/>
              </w:rPr>
              <w:t>RE-C07-i00</w:t>
            </w:r>
          </w:p>
        </w:tc>
        <w:tc>
          <w:tcPr>
            <w:tcW w:w="1134" w:type="dxa"/>
            <w:shd w:val="clear" w:color="auto" w:fill="C4EFCE"/>
            <w:noWrap/>
            <w:vAlign w:val="center"/>
            <w:hideMark/>
          </w:tcPr>
          <w:p w14:paraId="3E535130"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D5E62B3" w14:textId="4AD6DD50" w:rsidR="00A15990" w:rsidRDefault="00686A62">
            <w:pPr>
              <w:pStyle w:val="P68B1DB1-Normal8"/>
              <w:spacing w:after="0" w:line="240" w:lineRule="auto"/>
              <w:jc w:val="center"/>
              <w:rPr>
                <w:rFonts w:eastAsia="Times New Roman" w:cs="Calibri"/>
                <w:noProof/>
              </w:rPr>
            </w:pPr>
            <w:r>
              <w:rPr>
                <w:noProof/>
              </w:rPr>
              <w:t>Puncte de reîncărcare a vehiculelor electrice accesibile publicului</w:t>
            </w:r>
          </w:p>
        </w:tc>
        <w:tc>
          <w:tcPr>
            <w:tcW w:w="1275" w:type="dxa"/>
            <w:shd w:val="clear" w:color="auto" w:fill="C4EFCE"/>
            <w:noWrap/>
            <w:vAlign w:val="center"/>
            <w:hideMark/>
          </w:tcPr>
          <w:p w14:paraId="48FD32B6"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48F471C"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92" w:type="dxa"/>
            <w:shd w:val="clear" w:color="auto" w:fill="C4EFCE"/>
            <w:noWrap/>
            <w:vAlign w:val="center"/>
            <w:hideMark/>
          </w:tcPr>
          <w:p w14:paraId="77A7D296" w14:textId="77777777" w:rsidR="00A15990" w:rsidRDefault="00686A62">
            <w:pPr>
              <w:pStyle w:val="P68B1DB1-Normal8"/>
              <w:spacing w:after="0" w:line="240" w:lineRule="auto"/>
              <w:jc w:val="center"/>
              <w:rPr>
                <w:rFonts w:eastAsia="Times New Roman" w:cs="Calibri"/>
                <w:noProof/>
              </w:rPr>
            </w:pPr>
            <w:r>
              <w:rPr>
                <w:noProof/>
              </w:rPr>
              <w:t>10 450</w:t>
            </w:r>
          </w:p>
        </w:tc>
        <w:tc>
          <w:tcPr>
            <w:tcW w:w="709" w:type="dxa"/>
            <w:shd w:val="clear" w:color="auto" w:fill="C4EFCE"/>
            <w:noWrap/>
            <w:vAlign w:val="center"/>
            <w:hideMark/>
          </w:tcPr>
          <w:p w14:paraId="7C46C763" w14:textId="77777777" w:rsidR="00A15990" w:rsidRDefault="00686A62">
            <w:pPr>
              <w:pStyle w:val="P68B1DB1-Normal8"/>
              <w:spacing w:after="0" w:line="240" w:lineRule="auto"/>
              <w:jc w:val="center"/>
              <w:rPr>
                <w:rFonts w:eastAsia="Times New Roman" w:cs="Calibri"/>
                <w:noProof/>
              </w:rPr>
            </w:pPr>
            <w:r>
              <w:rPr>
                <w:noProof/>
              </w:rPr>
              <w:t>15 000</w:t>
            </w:r>
          </w:p>
        </w:tc>
        <w:tc>
          <w:tcPr>
            <w:tcW w:w="567" w:type="dxa"/>
            <w:shd w:val="clear" w:color="auto" w:fill="C4EFCE"/>
            <w:noWrap/>
            <w:vAlign w:val="center"/>
            <w:hideMark/>
          </w:tcPr>
          <w:p w14:paraId="425C2DC1"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65542AA4"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8F4B423" w14:textId="2FF52C31" w:rsidR="00A15990" w:rsidRDefault="00686A62">
            <w:pPr>
              <w:pStyle w:val="P68B1DB1-Normal8"/>
              <w:spacing w:after="0" w:line="240" w:lineRule="auto"/>
              <w:jc w:val="both"/>
              <w:rPr>
                <w:rFonts w:eastAsia="Times New Roman" w:cs="Calibri"/>
                <w:noProof/>
              </w:rPr>
            </w:pPr>
            <w:r>
              <w:rPr>
                <w:noProof/>
              </w:rPr>
              <w:t>Numărul de puncte de încărcare pentru vehiculele electrice accesibile publicului (comparativ cu scenariul de referință T4 2024)</w:t>
            </w:r>
          </w:p>
        </w:tc>
      </w:tr>
      <w:tr w:rsidR="00A15990" w14:paraId="6CDEF770" w14:textId="77777777">
        <w:trPr>
          <w:trHeight w:val="640"/>
        </w:trPr>
        <w:tc>
          <w:tcPr>
            <w:tcW w:w="1135" w:type="dxa"/>
            <w:shd w:val="clear" w:color="auto" w:fill="C4EFCE"/>
            <w:vAlign w:val="center"/>
            <w:hideMark/>
          </w:tcPr>
          <w:p w14:paraId="7E9D55FE" w14:textId="77777777" w:rsidR="00A15990" w:rsidRDefault="00686A62">
            <w:pPr>
              <w:pStyle w:val="P68B1DB1-Normal7"/>
              <w:spacing w:after="0" w:line="240" w:lineRule="auto"/>
              <w:jc w:val="center"/>
              <w:rPr>
                <w:rFonts w:eastAsia="Times New Roman" w:cs="Calibri"/>
                <w:noProof/>
              </w:rPr>
            </w:pPr>
            <w:r>
              <w:rPr>
                <w:noProof/>
              </w:rPr>
              <w:t>7.4</w:t>
            </w:r>
          </w:p>
        </w:tc>
        <w:tc>
          <w:tcPr>
            <w:tcW w:w="1276" w:type="dxa"/>
            <w:shd w:val="clear" w:color="auto" w:fill="C4EFCE"/>
            <w:noWrap/>
            <w:vAlign w:val="center"/>
            <w:hideMark/>
          </w:tcPr>
          <w:p w14:paraId="74F8FD76" w14:textId="77777777" w:rsidR="00A15990" w:rsidRDefault="00686A62">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0F209261"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F9C461D" w14:textId="77777777" w:rsidR="00A15990" w:rsidRDefault="00686A62">
            <w:pPr>
              <w:pStyle w:val="P68B1DB1-Normal8"/>
              <w:spacing w:after="0" w:line="240" w:lineRule="auto"/>
              <w:jc w:val="center"/>
              <w:rPr>
                <w:rFonts w:eastAsia="Times New Roman" w:cs="Calibri"/>
                <w:noProof/>
              </w:rPr>
            </w:pPr>
            <w:r>
              <w:rPr>
                <w:noProof/>
              </w:rPr>
              <w:t>Selectarea zonelor de primire a întreprinderilor pentru intervenții în vederea îmbunătățirii durabilității mediului și a digitalizării</w:t>
            </w:r>
          </w:p>
        </w:tc>
        <w:tc>
          <w:tcPr>
            <w:tcW w:w="1275" w:type="dxa"/>
            <w:shd w:val="clear" w:color="auto" w:fill="C4EFCE"/>
            <w:noWrap/>
            <w:vAlign w:val="center"/>
            <w:hideMark/>
          </w:tcPr>
          <w:p w14:paraId="593AAD30" w14:textId="77777777" w:rsidR="00A15990" w:rsidRDefault="00686A62">
            <w:pPr>
              <w:pStyle w:val="P68B1DB1-Normal8"/>
              <w:spacing w:after="0" w:line="240" w:lineRule="auto"/>
              <w:jc w:val="center"/>
              <w:rPr>
                <w:rFonts w:eastAsia="Times New Roman" w:cs="Calibri"/>
                <w:noProof/>
              </w:rPr>
            </w:pPr>
            <w:r>
              <w:rPr>
                <w:noProof/>
              </w:rPr>
              <w:t>Semnarea unui protocol public care să confirme selectarea zonelor de primire a activităților</w:t>
            </w:r>
          </w:p>
        </w:tc>
        <w:tc>
          <w:tcPr>
            <w:tcW w:w="993" w:type="dxa"/>
            <w:shd w:val="clear" w:color="auto" w:fill="C4EFCE"/>
            <w:noWrap/>
            <w:vAlign w:val="center"/>
            <w:hideMark/>
          </w:tcPr>
          <w:p w14:paraId="3B12DE95"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DF1D34B"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2143C3EF"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FC05994" w14:textId="77777777"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51394D9E"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E6391D9" w14:textId="77777777" w:rsidR="00A15990" w:rsidRDefault="00686A62">
            <w:pPr>
              <w:pStyle w:val="P68B1DB1-Normal8"/>
              <w:spacing w:after="0" w:line="240" w:lineRule="auto"/>
              <w:jc w:val="both"/>
              <w:rPr>
                <w:rFonts w:eastAsia="Times New Roman" w:cs="Calibri"/>
                <w:noProof/>
              </w:rPr>
            </w:pPr>
            <w:r>
              <w:rPr>
                <w:noProof/>
              </w:rPr>
              <w:t xml:space="preserve">Zonele de primire a activității sunt selectate în cadrul unei proceduri competitive de atribuire. Comisia i se transmite un protocol public semnat, prin care se confirmă încheierea procesului de selecție a serviciilor de primire și se identifică serviciile de preluare selectate. </w:t>
            </w:r>
          </w:p>
        </w:tc>
      </w:tr>
      <w:tr w:rsidR="00A15990" w14:paraId="0512DFAB" w14:textId="77777777">
        <w:trPr>
          <w:trHeight w:val="420"/>
        </w:trPr>
        <w:tc>
          <w:tcPr>
            <w:tcW w:w="1135" w:type="dxa"/>
            <w:shd w:val="clear" w:color="auto" w:fill="C4EFCE"/>
            <w:vAlign w:val="center"/>
            <w:hideMark/>
          </w:tcPr>
          <w:p w14:paraId="40C77A13" w14:textId="77777777" w:rsidR="00A15990" w:rsidRDefault="00686A62">
            <w:pPr>
              <w:pStyle w:val="P68B1DB1-Normal7"/>
              <w:spacing w:after="0" w:line="240" w:lineRule="auto"/>
              <w:jc w:val="center"/>
              <w:rPr>
                <w:rFonts w:eastAsia="Times New Roman" w:cs="Calibri"/>
                <w:noProof/>
              </w:rPr>
            </w:pPr>
            <w:r>
              <w:rPr>
                <w:noProof/>
              </w:rPr>
              <w:t>7.5</w:t>
            </w:r>
          </w:p>
        </w:tc>
        <w:tc>
          <w:tcPr>
            <w:tcW w:w="1276" w:type="dxa"/>
            <w:shd w:val="clear" w:color="auto" w:fill="C4EFCE"/>
            <w:noWrap/>
            <w:vAlign w:val="center"/>
            <w:hideMark/>
          </w:tcPr>
          <w:p w14:paraId="3FA30471" w14:textId="77777777" w:rsidR="00A15990" w:rsidRDefault="00686A62">
            <w:pPr>
              <w:pStyle w:val="P68B1DB1-Normal8"/>
              <w:spacing w:after="0" w:line="240" w:lineRule="auto"/>
              <w:jc w:val="center"/>
              <w:rPr>
                <w:rFonts w:eastAsia="Times New Roman" w:cs="Calibri"/>
                <w:noProof/>
              </w:rPr>
            </w:pPr>
            <w:r>
              <w:rPr>
                <w:noProof/>
              </w:rPr>
              <w:t>RE-C07-i01</w:t>
            </w:r>
          </w:p>
        </w:tc>
        <w:tc>
          <w:tcPr>
            <w:tcW w:w="1134" w:type="dxa"/>
            <w:shd w:val="clear" w:color="auto" w:fill="C4EFCE"/>
            <w:noWrap/>
            <w:vAlign w:val="center"/>
            <w:hideMark/>
          </w:tcPr>
          <w:p w14:paraId="6BEE3F36"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DFBE47E" w14:textId="77777777" w:rsidR="00A15990" w:rsidRDefault="00686A62">
            <w:pPr>
              <w:pStyle w:val="P68B1DB1-Normal8"/>
              <w:spacing w:after="0" w:line="240" w:lineRule="auto"/>
              <w:jc w:val="center"/>
              <w:rPr>
                <w:rFonts w:eastAsia="Times New Roman" w:cs="Calibri"/>
                <w:noProof/>
              </w:rPr>
            </w:pPr>
            <w:r>
              <w:rPr>
                <w:noProof/>
              </w:rPr>
              <w:t xml:space="preserve">Finalizarea intervențiilor în anumite zone de primire a întreprinderilor </w:t>
            </w:r>
          </w:p>
        </w:tc>
        <w:tc>
          <w:tcPr>
            <w:tcW w:w="1275" w:type="dxa"/>
            <w:shd w:val="clear" w:color="auto" w:fill="C4EFCE"/>
            <w:noWrap/>
            <w:vAlign w:val="center"/>
            <w:hideMark/>
          </w:tcPr>
          <w:p w14:paraId="33798293"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7932235"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42943F2B"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4C482E62" w14:textId="77777777" w:rsidR="00A15990" w:rsidRDefault="00686A62">
            <w:pPr>
              <w:pStyle w:val="P68B1DB1-Normal8"/>
              <w:spacing w:after="0" w:line="240" w:lineRule="auto"/>
              <w:jc w:val="center"/>
              <w:rPr>
                <w:rFonts w:eastAsia="Times New Roman" w:cs="Calibri"/>
                <w:noProof/>
              </w:rPr>
            </w:pPr>
            <w:r>
              <w:rPr>
                <w:noProof/>
              </w:rPr>
              <w:t>10</w:t>
            </w:r>
          </w:p>
        </w:tc>
        <w:tc>
          <w:tcPr>
            <w:tcW w:w="567" w:type="dxa"/>
            <w:shd w:val="clear" w:color="auto" w:fill="C4EFCE"/>
            <w:noWrap/>
            <w:vAlign w:val="center"/>
            <w:hideMark/>
          </w:tcPr>
          <w:p w14:paraId="082856AC"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0E91BBA3"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C3A76A8" w14:textId="77777777" w:rsidR="00A15990" w:rsidRDefault="00686A62">
            <w:pPr>
              <w:pStyle w:val="P68B1DB1-Normal8"/>
              <w:spacing w:after="0" w:line="240" w:lineRule="auto"/>
              <w:jc w:val="both"/>
              <w:rPr>
                <w:rFonts w:eastAsia="Times New Roman" w:cs="Calibri"/>
                <w:noProof/>
              </w:rPr>
            </w:pPr>
            <w:r>
              <w:rPr>
                <w:noProof/>
              </w:rPr>
              <w:t xml:space="preserve">Numărul de zone de primire a întreprinderilor cu lucrări finalizate pentru a-și îmbunătăți durabilitatea mediului și digitalizarea. </w:t>
            </w:r>
          </w:p>
          <w:p w14:paraId="07D803B5" w14:textId="10D8E79F" w:rsidR="00A15990" w:rsidRDefault="00686A62">
            <w:pPr>
              <w:pStyle w:val="P68B1DB1-Normal8"/>
              <w:spacing w:after="0" w:line="240" w:lineRule="auto"/>
              <w:jc w:val="both"/>
              <w:rPr>
                <w:rFonts w:eastAsia="Times New Roman" w:cs="Calibri"/>
                <w:noProof/>
              </w:rPr>
            </w:pPr>
            <w:r>
              <w:rPr>
                <w:noProof/>
              </w:rPr>
              <w:t>Zone de primire a întreprinderilor pentru intervenție selectate în cadrul unei proceduri competitive de atribuire.</w:t>
            </w:r>
          </w:p>
        </w:tc>
      </w:tr>
      <w:tr w:rsidR="00A15990" w14:paraId="10CFA4E1" w14:textId="77777777">
        <w:trPr>
          <w:trHeight w:val="420"/>
        </w:trPr>
        <w:tc>
          <w:tcPr>
            <w:tcW w:w="1135" w:type="dxa"/>
            <w:shd w:val="clear" w:color="auto" w:fill="C4EFCE"/>
            <w:vAlign w:val="center"/>
            <w:hideMark/>
          </w:tcPr>
          <w:p w14:paraId="6BA90D44" w14:textId="77777777" w:rsidR="00A15990" w:rsidRDefault="00686A62">
            <w:pPr>
              <w:pStyle w:val="P68B1DB1-Normal7"/>
              <w:spacing w:after="0" w:line="240" w:lineRule="auto"/>
              <w:jc w:val="center"/>
              <w:rPr>
                <w:rFonts w:eastAsia="Times New Roman" w:cs="Calibri"/>
                <w:noProof/>
              </w:rPr>
            </w:pPr>
            <w:r>
              <w:rPr>
                <w:noProof/>
              </w:rPr>
              <w:t>7.6</w:t>
            </w:r>
          </w:p>
        </w:tc>
        <w:tc>
          <w:tcPr>
            <w:tcW w:w="1276" w:type="dxa"/>
            <w:shd w:val="clear" w:color="auto" w:fill="C4EFCE"/>
            <w:noWrap/>
            <w:vAlign w:val="center"/>
            <w:hideMark/>
          </w:tcPr>
          <w:p w14:paraId="4F6EE5A3" w14:textId="77777777" w:rsidR="00A15990" w:rsidRDefault="00686A62">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6C6C701C"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715D078" w14:textId="77777777" w:rsidR="00A15990" w:rsidRDefault="00686A62">
            <w:pPr>
              <w:pStyle w:val="P68B1DB1-Normal8"/>
              <w:spacing w:after="0" w:line="240" w:lineRule="auto"/>
              <w:jc w:val="center"/>
              <w:rPr>
                <w:rFonts w:eastAsia="Times New Roman" w:cs="Calibri"/>
                <w:noProof/>
              </w:rPr>
            </w:pPr>
            <w:r>
              <w:rPr>
                <w:noProof/>
              </w:rPr>
              <w:t>Contract semnat pentru proiectul rutier 1</w:t>
            </w:r>
          </w:p>
        </w:tc>
        <w:tc>
          <w:tcPr>
            <w:tcW w:w="1275" w:type="dxa"/>
            <w:shd w:val="clear" w:color="auto" w:fill="C4EFCE"/>
            <w:noWrap/>
            <w:vAlign w:val="center"/>
            <w:hideMark/>
          </w:tcPr>
          <w:p w14:paraId="3AEB4D75" w14:textId="77777777" w:rsidR="00A15990" w:rsidRDefault="00686A62">
            <w:pPr>
              <w:pStyle w:val="P68B1DB1-Normal8"/>
              <w:spacing w:after="0" w:line="240" w:lineRule="auto"/>
              <w:jc w:val="center"/>
              <w:rPr>
                <w:rFonts w:eastAsia="Times New Roman" w:cs="Calibri"/>
                <w:noProof/>
              </w:rPr>
            </w:pPr>
            <w:r>
              <w:rPr>
                <w:noProof/>
              </w:rPr>
              <w:t>Semnarea contractului cu contractantul pentru proiectul rutier</w:t>
            </w:r>
          </w:p>
        </w:tc>
        <w:tc>
          <w:tcPr>
            <w:tcW w:w="993" w:type="dxa"/>
            <w:shd w:val="clear" w:color="auto" w:fill="C4EFCE"/>
            <w:noWrap/>
            <w:vAlign w:val="center"/>
            <w:hideMark/>
          </w:tcPr>
          <w:p w14:paraId="70074E61"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356C703"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31DADF6"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74A7711C"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6AB2898"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518505D" w14:textId="77777777" w:rsidR="00A15990" w:rsidRDefault="00686A62">
            <w:pPr>
              <w:pStyle w:val="P68B1DB1-Normal8"/>
              <w:spacing w:after="0" w:line="240" w:lineRule="auto"/>
              <w:jc w:val="both"/>
              <w:rPr>
                <w:rFonts w:eastAsia="Times New Roman" w:cs="Calibri"/>
                <w:noProof/>
              </w:rPr>
            </w:pPr>
            <w:r>
              <w:rPr>
                <w:noProof/>
              </w:rPr>
              <w:t>Semnarea de către părți a documentului care reglementează obligațiile acestora în ceea ce privește executarea lucrărilor, în urma unei proceduri de achiziții publice.</w:t>
            </w:r>
          </w:p>
        </w:tc>
      </w:tr>
      <w:tr w:rsidR="00A15990" w14:paraId="0CFF3903" w14:textId="77777777">
        <w:trPr>
          <w:trHeight w:val="420"/>
        </w:trPr>
        <w:tc>
          <w:tcPr>
            <w:tcW w:w="1135" w:type="dxa"/>
            <w:shd w:val="clear" w:color="auto" w:fill="C4EFCE"/>
            <w:vAlign w:val="center"/>
            <w:hideMark/>
          </w:tcPr>
          <w:p w14:paraId="65D7863A" w14:textId="77777777" w:rsidR="00A15990" w:rsidRDefault="00686A62">
            <w:pPr>
              <w:pStyle w:val="P68B1DB1-Normal7"/>
              <w:spacing w:after="0" w:line="240" w:lineRule="auto"/>
              <w:jc w:val="center"/>
              <w:rPr>
                <w:rFonts w:eastAsia="Times New Roman" w:cs="Calibri"/>
                <w:noProof/>
              </w:rPr>
            </w:pPr>
            <w:r>
              <w:rPr>
                <w:noProof/>
              </w:rPr>
              <w:t>7.7</w:t>
            </w:r>
          </w:p>
        </w:tc>
        <w:tc>
          <w:tcPr>
            <w:tcW w:w="1276" w:type="dxa"/>
            <w:shd w:val="clear" w:color="auto" w:fill="C4EFCE"/>
            <w:noWrap/>
            <w:vAlign w:val="center"/>
            <w:hideMark/>
          </w:tcPr>
          <w:p w14:paraId="184546E3" w14:textId="77777777" w:rsidR="00A15990" w:rsidRDefault="00686A62">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34BD2C29"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53F57D" w14:textId="77777777" w:rsidR="00A15990" w:rsidRDefault="00686A62">
            <w:pPr>
              <w:pStyle w:val="P68B1DB1-Normal8"/>
              <w:spacing w:after="0" w:line="240" w:lineRule="auto"/>
              <w:jc w:val="center"/>
              <w:rPr>
                <w:rFonts w:eastAsia="Times New Roman" w:cs="Calibri"/>
                <w:noProof/>
              </w:rPr>
            </w:pPr>
            <w:r>
              <w:rPr>
                <w:noProof/>
              </w:rPr>
              <w:t>Contract semnat pentru 2 proiecte rutiere</w:t>
            </w:r>
          </w:p>
        </w:tc>
        <w:tc>
          <w:tcPr>
            <w:tcW w:w="1275" w:type="dxa"/>
            <w:shd w:val="clear" w:color="auto" w:fill="C4EFCE"/>
            <w:noWrap/>
            <w:vAlign w:val="center"/>
            <w:hideMark/>
          </w:tcPr>
          <w:p w14:paraId="27FD9906" w14:textId="77777777" w:rsidR="00A15990" w:rsidRDefault="00686A62">
            <w:pPr>
              <w:pStyle w:val="P68B1DB1-Normal8"/>
              <w:spacing w:after="0" w:line="240" w:lineRule="auto"/>
              <w:jc w:val="center"/>
              <w:rPr>
                <w:rFonts w:eastAsia="Times New Roman" w:cs="Calibri"/>
                <w:noProof/>
              </w:rPr>
            </w:pPr>
            <w:r>
              <w:rPr>
                <w:noProof/>
              </w:rPr>
              <w:t>Contract semnat cu contractantul pentru proiecte rutiere</w:t>
            </w:r>
          </w:p>
        </w:tc>
        <w:tc>
          <w:tcPr>
            <w:tcW w:w="993" w:type="dxa"/>
            <w:shd w:val="clear" w:color="auto" w:fill="C4EFCE"/>
            <w:noWrap/>
            <w:vAlign w:val="center"/>
            <w:hideMark/>
          </w:tcPr>
          <w:p w14:paraId="46E44223"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DCA1314"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C4AC25B"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0ED99A"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73BEB9CA"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C5F3EF7" w14:textId="77777777" w:rsidR="00A15990" w:rsidRDefault="00686A62">
            <w:pPr>
              <w:pStyle w:val="P68B1DB1-Normal8"/>
              <w:spacing w:after="0" w:line="240" w:lineRule="auto"/>
              <w:jc w:val="both"/>
              <w:rPr>
                <w:rFonts w:eastAsia="Times New Roman" w:cs="Calibri"/>
                <w:noProof/>
              </w:rPr>
            </w:pPr>
            <w:r>
              <w:rPr>
                <w:noProof/>
              </w:rPr>
              <w:t>Semnarea de către părți a documentului care reglementează obligațiile acestora în ceea ce privește executarea lucrărilor, în urma unei proceduri de achiziții publice.</w:t>
            </w:r>
          </w:p>
        </w:tc>
      </w:tr>
      <w:tr w:rsidR="00A15990" w14:paraId="265A481C" w14:textId="77777777">
        <w:trPr>
          <w:trHeight w:val="420"/>
        </w:trPr>
        <w:tc>
          <w:tcPr>
            <w:tcW w:w="1135" w:type="dxa"/>
            <w:shd w:val="clear" w:color="auto" w:fill="C4EFCE"/>
            <w:vAlign w:val="center"/>
            <w:hideMark/>
          </w:tcPr>
          <w:p w14:paraId="5CB9830A" w14:textId="77777777" w:rsidR="00A15990" w:rsidRDefault="00686A62">
            <w:pPr>
              <w:pStyle w:val="P68B1DB1-Normal7"/>
              <w:spacing w:after="0" w:line="240" w:lineRule="auto"/>
              <w:jc w:val="center"/>
              <w:rPr>
                <w:rFonts w:eastAsia="Times New Roman" w:cs="Calibri"/>
                <w:noProof/>
              </w:rPr>
            </w:pPr>
            <w:r>
              <w:rPr>
                <w:noProof/>
              </w:rPr>
              <w:t>7.8</w:t>
            </w:r>
          </w:p>
        </w:tc>
        <w:tc>
          <w:tcPr>
            <w:tcW w:w="1276" w:type="dxa"/>
            <w:shd w:val="clear" w:color="auto" w:fill="C4EFCE"/>
            <w:noWrap/>
            <w:vAlign w:val="center"/>
            <w:hideMark/>
          </w:tcPr>
          <w:p w14:paraId="53E4F8B7" w14:textId="77777777" w:rsidR="00A15990" w:rsidRDefault="00686A62">
            <w:pPr>
              <w:pStyle w:val="P68B1DB1-Normal8"/>
              <w:spacing w:after="0" w:line="240" w:lineRule="auto"/>
              <w:jc w:val="center"/>
              <w:rPr>
                <w:rFonts w:eastAsia="Times New Roman" w:cs="Calibri"/>
                <w:noProof/>
              </w:rPr>
            </w:pPr>
            <w:r>
              <w:rPr>
                <w:noProof/>
              </w:rPr>
              <w:t>RE-C07-i02</w:t>
            </w:r>
          </w:p>
        </w:tc>
        <w:tc>
          <w:tcPr>
            <w:tcW w:w="1134" w:type="dxa"/>
            <w:shd w:val="clear" w:color="auto" w:fill="C4EFCE"/>
            <w:noWrap/>
            <w:vAlign w:val="center"/>
            <w:hideMark/>
          </w:tcPr>
          <w:p w14:paraId="12265568"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3A730D9" w14:textId="77777777" w:rsidR="00A15990" w:rsidRDefault="00686A62">
            <w:pPr>
              <w:pStyle w:val="P68B1DB1-Normal8"/>
              <w:spacing w:after="0" w:line="240" w:lineRule="auto"/>
              <w:jc w:val="center"/>
              <w:rPr>
                <w:rFonts w:eastAsia="Times New Roman" w:cs="Calibri"/>
                <w:noProof/>
              </w:rPr>
            </w:pPr>
            <w:r>
              <w:rPr>
                <w:noProof/>
              </w:rPr>
              <w:t>Drumuri construite sau reabilitate</w:t>
            </w:r>
          </w:p>
        </w:tc>
        <w:tc>
          <w:tcPr>
            <w:tcW w:w="1275" w:type="dxa"/>
            <w:shd w:val="clear" w:color="auto" w:fill="C4EFCE"/>
            <w:noWrap/>
            <w:vAlign w:val="center"/>
            <w:hideMark/>
          </w:tcPr>
          <w:p w14:paraId="2009EC45"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B9DB13"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701630BB"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58650E" w14:textId="77777777" w:rsidR="00A15990" w:rsidRDefault="00686A62">
            <w:pPr>
              <w:pStyle w:val="P68B1DB1-Normal8"/>
              <w:spacing w:after="0" w:line="240" w:lineRule="auto"/>
              <w:jc w:val="center"/>
              <w:rPr>
                <w:rFonts w:eastAsia="Times New Roman" w:cs="Calibri"/>
                <w:noProof/>
              </w:rPr>
            </w:pPr>
            <w:r>
              <w:rPr>
                <w:noProof/>
              </w:rPr>
              <w:t>111</w:t>
            </w:r>
          </w:p>
        </w:tc>
        <w:tc>
          <w:tcPr>
            <w:tcW w:w="567" w:type="dxa"/>
            <w:shd w:val="clear" w:color="auto" w:fill="C4EFCE"/>
            <w:noWrap/>
            <w:vAlign w:val="center"/>
            <w:hideMark/>
          </w:tcPr>
          <w:p w14:paraId="40298BF3"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14EAB628"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8015658" w14:textId="77777777" w:rsidR="00A15990" w:rsidRDefault="00686A62">
            <w:pPr>
              <w:pStyle w:val="P68B1DB1-Normal8"/>
              <w:spacing w:after="0" w:line="240" w:lineRule="auto"/>
              <w:jc w:val="both"/>
              <w:rPr>
                <w:rFonts w:eastAsia="Times New Roman" w:cs="Calibri"/>
                <w:noProof/>
              </w:rPr>
            </w:pPr>
            <w:r>
              <w:rPr>
                <w:noProof/>
              </w:rPr>
              <w:t>Km de drumuri construite sau reabilitate în conformitate cu specificațiile tehnice ale licitației și încorporând pe deplin orice rezultat și condiție din evaluarea impactului asupra mediului.</w:t>
            </w:r>
          </w:p>
        </w:tc>
      </w:tr>
      <w:tr w:rsidR="00A15990" w14:paraId="2261DAAD" w14:textId="77777777">
        <w:trPr>
          <w:trHeight w:val="420"/>
        </w:trPr>
        <w:tc>
          <w:tcPr>
            <w:tcW w:w="1135" w:type="dxa"/>
            <w:shd w:val="clear" w:color="auto" w:fill="C4EFCE"/>
            <w:vAlign w:val="center"/>
            <w:hideMark/>
          </w:tcPr>
          <w:p w14:paraId="4034FC64" w14:textId="77777777" w:rsidR="00A15990" w:rsidRDefault="00686A62">
            <w:pPr>
              <w:pStyle w:val="P68B1DB1-Normal7"/>
              <w:spacing w:after="0" w:line="240" w:lineRule="auto"/>
              <w:jc w:val="center"/>
              <w:rPr>
                <w:rFonts w:eastAsia="Times New Roman" w:cs="Calibri"/>
                <w:noProof/>
              </w:rPr>
            </w:pPr>
            <w:r>
              <w:rPr>
                <w:noProof/>
              </w:rPr>
              <w:t>7.13</w:t>
            </w:r>
          </w:p>
        </w:tc>
        <w:tc>
          <w:tcPr>
            <w:tcW w:w="1276" w:type="dxa"/>
            <w:shd w:val="clear" w:color="auto" w:fill="C4EFCE"/>
            <w:noWrap/>
            <w:vAlign w:val="center"/>
            <w:hideMark/>
          </w:tcPr>
          <w:p w14:paraId="4BC36517" w14:textId="77777777" w:rsidR="00A15990" w:rsidRDefault="00686A62">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209F840"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385815E" w14:textId="77777777" w:rsidR="00A15990" w:rsidRDefault="00686A62">
            <w:pPr>
              <w:pStyle w:val="P68B1DB1-Normal8"/>
              <w:spacing w:after="0" w:line="240" w:lineRule="auto"/>
              <w:jc w:val="center"/>
              <w:rPr>
                <w:rFonts w:eastAsia="Times New Roman" w:cs="Calibri"/>
                <w:noProof/>
              </w:rPr>
            </w:pPr>
            <w:r>
              <w:rPr>
                <w:noProof/>
              </w:rPr>
              <w:t>Contract semnat pentru 2 proiecte rutiere</w:t>
            </w:r>
          </w:p>
        </w:tc>
        <w:tc>
          <w:tcPr>
            <w:tcW w:w="1275" w:type="dxa"/>
            <w:shd w:val="clear" w:color="auto" w:fill="C4EFCE"/>
            <w:noWrap/>
            <w:vAlign w:val="center"/>
            <w:hideMark/>
          </w:tcPr>
          <w:p w14:paraId="63C0F659" w14:textId="77777777" w:rsidR="00A15990" w:rsidRDefault="00686A62">
            <w:pPr>
              <w:pStyle w:val="P68B1DB1-Normal8"/>
              <w:spacing w:after="0" w:line="240" w:lineRule="auto"/>
              <w:jc w:val="center"/>
              <w:rPr>
                <w:rFonts w:eastAsia="Times New Roman" w:cs="Calibri"/>
                <w:noProof/>
              </w:rPr>
            </w:pPr>
            <w:r>
              <w:rPr>
                <w:noProof/>
              </w:rPr>
              <w:t xml:space="preserve">Contract semnat cu contractantul pentru proiectele rutiere </w:t>
            </w:r>
          </w:p>
        </w:tc>
        <w:tc>
          <w:tcPr>
            <w:tcW w:w="993" w:type="dxa"/>
            <w:shd w:val="clear" w:color="auto" w:fill="C4EFCE"/>
            <w:noWrap/>
            <w:vAlign w:val="center"/>
            <w:hideMark/>
          </w:tcPr>
          <w:p w14:paraId="7CB79044"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9267C09"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4713E82"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4777E7E1"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E0776BB"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6DA65D9A" w14:textId="77777777" w:rsidR="00A15990" w:rsidRDefault="00686A62">
            <w:pPr>
              <w:pStyle w:val="P68B1DB1-Normal8"/>
              <w:spacing w:after="0" w:line="240" w:lineRule="auto"/>
              <w:jc w:val="both"/>
              <w:rPr>
                <w:rFonts w:eastAsia="Times New Roman" w:cs="Calibri"/>
                <w:noProof/>
              </w:rPr>
            </w:pPr>
            <w:r>
              <w:rPr>
                <w:noProof/>
              </w:rPr>
              <w:t>Semnarea de către părți a documentului care reglementează obligațiile acestora în ceea ce privește executarea lucrărilor, la un preț, în urma unei proceduri de achiziții publice.</w:t>
            </w:r>
          </w:p>
        </w:tc>
      </w:tr>
      <w:tr w:rsidR="00A15990" w14:paraId="0682BEE4" w14:textId="77777777">
        <w:trPr>
          <w:trHeight w:val="401"/>
        </w:trPr>
        <w:tc>
          <w:tcPr>
            <w:tcW w:w="1135" w:type="dxa"/>
            <w:shd w:val="clear" w:color="auto" w:fill="C4EFCE"/>
            <w:vAlign w:val="center"/>
            <w:hideMark/>
          </w:tcPr>
          <w:p w14:paraId="1CA58A5D" w14:textId="77777777" w:rsidR="00A15990" w:rsidRDefault="00686A62">
            <w:pPr>
              <w:pStyle w:val="P68B1DB1-Normal7"/>
              <w:spacing w:after="0" w:line="240" w:lineRule="auto"/>
              <w:jc w:val="center"/>
              <w:rPr>
                <w:rFonts w:eastAsia="Times New Roman" w:cs="Calibri"/>
                <w:noProof/>
              </w:rPr>
            </w:pPr>
            <w:r>
              <w:rPr>
                <w:noProof/>
              </w:rPr>
              <w:t>7.14</w:t>
            </w:r>
          </w:p>
        </w:tc>
        <w:tc>
          <w:tcPr>
            <w:tcW w:w="1276" w:type="dxa"/>
            <w:shd w:val="clear" w:color="auto" w:fill="C4EFCE"/>
            <w:noWrap/>
            <w:vAlign w:val="center"/>
            <w:hideMark/>
          </w:tcPr>
          <w:p w14:paraId="15B9C650" w14:textId="77777777" w:rsidR="00A15990" w:rsidRDefault="00686A62">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12F9B6B5"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E2EC1A" w14:textId="77777777" w:rsidR="00A15990" w:rsidRDefault="00686A62">
            <w:pPr>
              <w:pStyle w:val="P68B1DB1-Normal8"/>
              <w:spacing w:after="0" w:line="240" w:lineRule="auto"/>
              <w:jc w:val="center"/>
              <w:rPr>
                <w:rFonts w:eastAsia="Times New Roman" w:cs="Calibri"/>
                <w:noProof/>
              </w:rPr>
            </w:pPr>
            <w:r>
              <w:rPr>
                <w:noProof/>
              </w:rPr>
              <w:t>Contract semnat pentru 8 proiecte rutiere</w:t>
            </w:r>
          </w:p>
        </w:tc>
        <w:tc>
          <w:tcPr>
            <w:tcW w:w="1275" w:type="dxa"/>
            <w:shd w:val="clear" w:color="auto" w:fill="C4EFCE"/>
            <w:noWrap/>
            <w:vAlign w:val="center"/>
            <w:hideMark/>
          </w:tcPr>
          <w:p w14:paraId="6C884EF6" w14:textId="77777777" w:rsidR="00A15990" w:rsidRDefault="00686A62">
            <w:pPr>
              <w:pStyle w:val="P68B1DB1-Normal8"/>
              <w:spacing w:after="0" w:line="240" w:lineRule="auto"/>
              <w:jc w:val="center"/>
              <w:rPr>
                <w:rFonts w:eastAsia="Times New Roman" w:cs="Calibri"/>
                <w:noProof/>
              </w:rPr>
            </w:pPr>
            <w:r>
              <w:rPr>
                <w:noProof/>
              </w:rPr>
              <w:t xml:space="preserve">Contractul semnat cu contractantul proiectelor rutiere </w:t>
            </w:r>
          </w:p>
        </w:tc>
        <w:tc>
          <w:tcPr>
            <w:tcW w:w="993" w:type="dxa"/>
            <w:shd w:val="clear" w:color="auto" w:fill="C4EFCE"/>
            <w:noWrap/>
            <w:vAlign w:val="center"/>
            <w:hideMark/>
          </w:tcPr>
          <w:p w14:paraId="444A2DB0"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CC793F9"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3F84ABE5"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5FC35485" w14:textId="1E6AD43C"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638E5478" w14:textId="77777777" w:rsidR="00A15990" w:rsidRDefault="00686A62">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927CA24" w14:textId="1065D024" w:rsidR="00A15990" w:rsidRDefault="00686A62">
            <w:pPr>
              <w:pStyle w:val="P68B1DB1-Normal8"/>
              <w:spacing w:after="0" w:line="240" w:lineRule="auto"/>
              <w:jc w:val="both"/>
              <w:rPr>
                <w:rFonts w:eastAsia="Times New Roman" w:cs="Calibri"/>
                <w:noProof/>
              </w:rPr>
            </w:pPr>
            <w:r>
              <w:rPr>
                <w:noProof/>
              </w:rPr>
              <w:t xml:space="preserve">Semnarea de către părți a documentului care reglementează obligațiile acestora în ceea ce privește executarea lucrărilor, la un preț, în urma unei proceduri de achiziții publice. </w:t>
            </w:r>
          </w:p>
        </w:tc>
      </w:tr>
      <w:tr w:rsidR="00A15990" w14:paraId="7B5B5CC1" w14:textId="77777777">
        <w:trPr>
          <w:trHeight w:val="420"/>
        </w:trPr>
        <w:tc>
          <w:tcPr>
            <w:tcW w:w="1135" w:type="dxa"/>
            <w:shd w:val="clear" w:color="auto" w:fill="C4EFCE"/>
            <w:vAlign w:val="center"/>
            <w:hideMark/>
          </w:tcPr>
          <w:p w14:paraId="700C397C" w14:textId="77777777" w:rsidR="00A15990" w:rsidRDefault="00686A62">
            <w:pPr>
              <w:pStyle w:val="P68B1DB1-Normal7"/>
              <w:spacing w:after="0" w:line="240" w:lineRule="auto"/>
              <w:jc w:val="center"/>
              <w:rPr>
                <w:rFonts w:eastAsia="Times New Roman" w:cs="Calibri"/>
                <w:noProof/>
              </w:rPr>
            </w:pPr>
            <w:r>
              <w:rPr>
                <w:noProof/>
              </w:rPr>
              <w:t>7.15</w:t>
            </w:r>
          </w:p>
        </w:tc>
        <w:tc>
          <w:tcPr>
            <w:tcW w:w="1276" w:type="dxa"/>
            <w:shd w:val="clear" w:color="auto" w:fill="C4EFCE"/>
            <w:noWrap/>
            <w:vAlign w:val="center"/>
            <w:hideMark/>
          </w:tcPr>
          <w:p w14:paraId="20063F9D" w14:textId="77777777" w:rsidR="00A15990" w:rsidRDefault="00686A62">
            <w:pPr>
              <w:pStyle w:val="P68B1DB1-Normal8"/>
              <w:spacing w:after="0" w:line="240" w:lineRule="auto"/>
              <w:jc w:val="center"/>
              <w:rPr>
                <w:rFonts w:eastAsia="Times New Roman" w:cs="Calibri"/>
                <w:noProof/>
              </w:rPr>
            </w:pPr>
            <w:r>
              <w:rPr>
                <w:noProof/>
              </w:rPr>
              <w:t>RE-C07-i05-RAA</w:t>
            </w:r>
          </w:p>
        </w:tc>
        <w:tc>
          <w:tcPr>
            <w:tcW w:w="1134" w:type="dxa"/>
            <w:shd w:val="clear" w:color="auto" w:fill="C4EFCE"/>
            <w:noWrap/>
            <w:vAlign w:val="center"/>
            <w:hideMark/>
          </w:tcPr>
          <w:p w14:paraId="2AC31D5D"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A4A3C86" w14:textId="77777777" w:rsidR="00A15990" w:rsidRDefault="00686A62">
            <w:pPr>
              <w:pStyle w:val="P68B1DB1-Normal8"/>
              <w:spacing w:after="0" w:line="240" w:lineRule="auto"/>
              <w:jc w:val="center"/>
              <w:rPr>
                <w:rFonts w:eastAsia="Times New Roman" w:cs="Calibri"/>
                <w:noProof/>
              </w:rPr>
            </w:pPr>
            <w:r>
              <w:rPr>
                <w:noProof/>
              </w:rPr>
              <w:t>Drumuri construite sau reabilitate</w:t>
            </w:r>
          </w:p>
        </w:tc>
        <w:tc>
          <w:tcPr>
            <w:tcW w:w="1275" w:type="dxa"/>
            <w:shd w:val="clear" w:color="auto" w:fill="C4EFCE"/>
            <w:noWrap/>
            <w:vAlign w:val="center"/>
            <w:hideMark/>
          </w:tcPr>
          <w:p w14:paraId="2D009BF3"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B6B86C2"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371D6CE9"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EE7F577" w14:textId="77777777" w:rsidR="00A15990" w:rsidRDefault="00686A62">
            <w:pPr>
              <w:pStyle w:val="P68B1DB1-Normal8"/>
              <w:spacing w:after="0" w:line="240" w:lineRule="auto"/>
              <w:jc w:val="center"/>
              <w:rPr>
                <w:rFonts w:eastAsia="Times New Roman" w:cs="Calibri"/>
                <w:noProof/>
              </w:rPr>
            </w:pPr>
            <w:r>
              <w:rPr>
                <w:noProof/>
              </w:rPr>
              <w:t>34.38</w:t>
            </w:r>
          </w:p>
        </w:tc>
        <w:tc>
          <w:tcPr>
            <w:tcW w:w="567" w:type="dxa"/>
            <w:shd w:val="clear" w:color="auto" w:fill="C4EFCE"/>
            <w:noWrap/>
            <w:vAlign w:val="center"/>
            <w:hideMark/>
          </w:tcPr>
          <w:p w14:paraId="23C0D9BB" w14:textId="035CC7DC"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386DAC62" w14:textId="196BF008"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1595695" w14:textId="77777777" w:rsidR="00A15990" w:rsidRDefault="00686A62">
            <w:pPr>
              <w:pStyle w:val="P68B1DB1-Normal8"/>
              <w:spacing w:after="0" w:line="240" w:lineRule="auto"/>
              <w:jc w:val="both"/>
              <w:rPr>
                <w:rFonts w:eastAsia="Times New Roman" w:cs="Calibri"/>
                <w:noProof/>
              </w:rPr>
            </w:pPr>
            <w:r>
              <w:rPr>
                <w:noProof/>
              </w:rPr>
              <w:t>Km de drumuri construite sau reabilitate în conformitate cu specificațiile tehnice ale licitației și încorporând pe deplin orice rezultat și condiție din evaluarea impactului asupra mediului.</w:t>
            </w:r>
          </w:p>
        </w:tc>
      </w:tr>
    </w:tbl>
    <w:p w14:paraId="215FEBDE" w14:textId="77777777"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150"/>
          <w:headerReference w:type="default" r:id="rId151"/>
          <w:footerReference w:type="even" r:id="rId152"/>
          <w:footerReference w:type="default" r:id="rId153"/>
          <w:headerReference w:type="first" r:id="rId154"/>
          <w:footerReference w:type="first" r:id="rId155"/>
          <w:pgSz w:w="16839" w:h="11907" w:orient="landscape"/>
          <w:pgMar w:top="1134" w:right="1134" w:bottom="1134" w:left="1134" w:header="567" w:footer="567" w:gutter="0"/>
          <w:cols w:space="720"/>
          <w:docGrid w:linePitch="360"/>
        </w:sectPr>
      </w:pPr>
    </w:p>
    <w:p w14:paraId="5FFBA500" w14:textId="77777777" w:rsidR="00A15990" w:rsidRDefault="00686A62">
      <w:pPr>
        <w:pStyle w:val="P68B1DB1-Normal3"/>
        <w:keepNext/>
        <w:spacing w:before="240" w:after="0" w:line="259" w:lineRule="auto"/>
        <w:ind w:left="851"/>
        <w:jc w:val="both"/>
        <w:outlineLvl w:val="3"/>
        <w:rPr>
          <w:rFonts w:eastAsiaTheme="minorEastAsia" w:cs="Times New Roman"/>
          <w:noProof/>
        </w:rPr>
      </w:pPr>
      <w:r>
        <w:rPr>
          <w:noProof/>
        </w:rPr>
        <w:t>G.3. Descrierea reformelor și a investițiilor pentru împrumut</w:t>
      </w:r>
    </w:p>
    <w:p w14:paraId="5DC9AA23"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RE-C07-i03: Legături transfrontaliere</w:t>
      </w:r>
    </w:p>
    <w:p w14:paraId="1C90E8F1" w14:textId="77777777" w:rsidR="00A15990" w:rsidRDefault="00686A62">
      <w:pPr>
        <w:pStyle w:val="P68B1DB1-Normal4"/>
        <w:keepNext/>
        <w:spacing w:before="40" w:after="0" w:line="259" w:lineRule="auto"/>
        <w:jc w:val="both"/>
        <w:rPr>
          <w:rFonts w:eastAsiaTheme="minorEastAsia" w:cs="Times New Roman"/>
          <w:noProof/>
        </w:rPr>
      </w:pPr>
      <w:r>
        <w:rPr>
          <w:noProof/>
        </w:rPr>
        <w:t>Obiectivele măsurii sunt de a stimula dezvoltarea mobilității transfrontaliere și de a îmbunătăți competitivitatea întreprinderilor, de exemplu prin promovarea mobilității forței de muncă. Consolidarea coridoarelor de mare capacitate urmărește, de asemenea, să permită utilizarea în comun a infrastructurii, cum ar fi linia de cale ferată de mare viteză din Sanabria sau aerodromul Bragança, și să îmbunătățească siguranța rutieră.</w:t>
      </w:r>
    </w:p>
    <w:p w14:paraId="7E45326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crearea și modernizarea infrastructurii rutiere pentru a consolida legăturile transfrontaliere cu Spania. </w:t>
      </w:r>
    </w:p>
    <w:p w14:paraId="3FAC6760"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Se preconizează că această măsură nu prejudiciază în mod semnificativ obiectivele de mediu în sensul articolul 17 din Regulamentul (UE) 2020/852, ținând seama de descrierea măsurii și de etapele de atenuare prevăzute în planul de redresare și reziliență în conformitate cu Orientările tehnice DNSH (2021/C58/01). În special, conformitatea cu principiul DNSH este asigurată prin investițiile C07-I0 (extinderea rețelei de încărcare a vehiculelor electrice) ca măsură de însoțire. Orice proiect rutier care ar putea avea efecte negative semnificative asupra mediului face obiectul unei evaluări a impactului asupra mediului (EIM) în conformitate cu Directiva 2011/92/UE, pentru a se asigura că respectarea principiului de „a nu aduce prejudicii semnificative” este integrată în proiect și respectată cu strictețe în etapele de construcție, exploatare și dezafectare a infrastructurii. </w:t>
      </w:r>
    </w:p>
    <w:p w14:paraId="54069761" w14:textId="73841A5B" w:rsidR="00A15990" w:rsidRDefault="00686A62">
      <w:pPr>
        <w:pStyle w:val="P68B1DB1-Normal4"/>
        <w:keepNext/>
        <w:spacing w:before="40" w:after="0" w:line="259" w:lineRule="auto"/>
        <w:jc w:val="both"/>
        <w:rPr>
          <w:rFonts w:eastAsiaTheme="minorEastAsia" w:cs="Times New Roman"/>
          <w:noProof/>
        </w:rPr>
      </w:pPr>
      <w:r>
        <w:rPr>
          <w:noProof/>
        </w:rPr>
        <w:t>Dintre drumurile enumerate, se construiesc sau se modernizează 30 de kilometri:</w:t>
      </w:r>
    </w:p>
    <w:p w14:paraId="1BEA4559" w14:textId="77777777" w:rsidR="00A15990" w:rsidRDefault="00686A62">
      <w:pPr>
        <w:pStyle w:val="P68B1DB1-Normal4"/>
        <w:keepNext/>
        <w:numPr>
          <w:ilvl w:val="0"/>
          <w:numId w:val="23"/>
        </w:numPr>
        <w:spacing w:before="40" w:after="160" w:line="259" w:lineRule="auto"/>
        <w:contextualSpacing/>
        <w:jc w:val="both"/>
        <w:rPr>
          <w:rFonts w:eastAsiaTheme="minorEastAsia" w:cs="Times New Roman"/>
          <w:noProof/>
        </w:rPr>
      </w:pPr>
      <w:r>
        <w:rPr>
          <w:noProof/>
        </w:rPr>
        <w:t>EN103: Vinhais/Bragança (șosea de centură);</w:t>
      </w:r>
    </w:p>
    <w:p w14:paraId="05732A66" w14:textId="77777777" w:rsidR="00A15990" w:rsidRDefault="00686A62">
      <w:pPr>
        <w:pStyle w:val="P68B1DB1-Normal4"/>
        <w:keepNext/>
        <w:numPr>
          <w:ilvl w:val="0"/>
          <w:numId w:val="23"/>
        </w:numPr>
        <w:spacing w:before="40" w:after="160" w:line="259" w:lineRule="auto"/>
        <w:contextualSpacing/>
        <w:jc w:val="both"/>
        <w:rPr>
          <w:rFonts w:eastAsiaTheme="minorEastAsia" w:cs="Times New Roman"/>
          <w:noProof/>
        </w:rPr>
      </w:pPr>
      <w:r>
        <w:rPr>
          <w:noProof/>
        </w:rPr>
        <w:t>Legătura de la Bragança la Puebla de Sanabria (Spania);</w:t>
      </w:r>
    </w:p>
    <w:p w14:paraId="2E2E2DF9" w14:textId="77777777" w:rsidR="00A15990" w:rsidRDefault="00686A62">
      <w:pPr>
        <w:pStyle w:val="P68B1DB1-Normal4"/>
        <w:keepNext/>
        <w:numPr>
          <w:ilvl w:val="0"/>
          <w:numId w:val="23"/>
        </w:numPr>
        <w:spacing w:before="40" w:after="160" w:line="259" w:lineRule="auto"/>
        <w:contextualSpacing/>
        <w:jc w:val="both"/>
        <w:rPr>
          <w:rFonts w:eastAsiaTheme="minorEastAsia" w:cs="Times New Roman"/>
          <w:noProof/>
        </w:rPr>
      </w:pPr>
      <w:r>
        <w:rPr>
          <w:noProof/>
        </w:rPr>
        <w:t>Podul internațional peste râul Sever;</w:t>
      </w:r>
    </w:p>
    <w:p w14:paraId="3CA675A9" w14:textId="77777777" w:rsidR="00A15990" w:rsidRDefault="00686A62">
      <w:pPr>
        <w:pStyle w:val="P68B1DB1-Normal4"/>
        <w:keepNext/>
        <w:numPr>
          <w:ilvl w:val="0"/>
          <w:numId w:val="23"/>
        </w:numPr>
        <w:spacing w:before="40" w:after="160" w:line="259" w:lineRule="auto"/>
        <w:contextualSpacing/>
        <w:jc w:val="both"/>
        <w:rPr>
          <w:rFonts w:eastAsiaTheme="minorEastAsia" w:cs="Times New Roman"/>
          <w:noProof/>
        </w:rPr>
      </w:pPr>
      <w:r>
        <w:rPr>
          <w:noProof/>
        </w:rPr>
        <w:t>Podul Alcoutim – Salunar de Guadiana (Spania).</w:t>
      </w:r>
    </w:p>
    <w:p w14:paraId="58FCA3D1"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6F257771"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RE-C07-i04: Zonele de primire a întreprinderilor – accesibilitatea drumurilor</w:t>
      </w:r>
    </w:p>
    <w:p w14:paraId="0B64272F" w14:textId="77777777" w:rsidR="00A15990" w:rsidRDefault="00686A62">
      <w:pPr>
        <w:pStyle w:val="P68B1DB1-Normal4"/>
        <w:keepNext/>
        <w:spacing w:before="40" w:after="0" w:line="259" w:lineRule="auto"/>
        <w:jc w:val="both"/>
        <w:rPr>
          <w:rFonts w:eastAsiaTheme="minorEastAsia" w:cs="Times New Roman"/>
          <w:noProof/>
        </w:rPr>
      </w:pPr>
      <w:r>
        <w:rPr>
          <w:noProof/>
        </w:rPr>
        <w:t>Obiectivul măsurilor este de a îmbunătăți competitivitatea parcurilor de afaceri prin îmbunătățirea conectivității rețelelor lor rutiere, contribuind la reindustrializarea zonelor rurale.</w:t>
      </w:r>
    </w:p>
    <w:p w14:paraId="1C3FF6B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investiții în extinderea și modernizarea infrastructurii rutiere. Acesta este complementar investiției RE-CCT-C7-I1, care vizează modernizarea parcurilor de afaceri. </w:t>
      </w:r>
    </w:p>
    <w:p w14:paraId="5CE98122"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Se preconizează că această măsură nu prejudiciază în mod semnificativ obiectivele de mediu în sensul articolul 17 din Regulamentul (UE) 2020/852, ținând seama de descrierea măsurii și de etapele de atenuare prevăzute în planul de redresare și reziliență în conformitate cu Orientările tehnice DNSH (2021/C58/01). În special, conformitatea cu principiul DNSH este asigurată prin investițiile C07-I0 (extinderea rețelei de încărcare a vehiculelor electrice) ca măsură de însoțire. Orice proiect rutier care ar putea avea efecte negative semnificative asupra mediului face obiectul unei evaluări a impactului asupra mediului (EIM) în conformitate cu Directiva 2011/92/UE, pentru a se asigura că respectarea principiului de „a nu aduce prejudicii semnificative” este integrată în proiect și respectată cu strictețe în etapele de construcție, exploatare și dezafectare a infrastructurii. </w:t>
      </w:r>
    </w:p>
    <w:p w14:paraId="050BD257" w14:textId="4CB0EAD2" w:rsidR="00A15990" w:rsidRDefault="00686A62">
      <w:pPr>
        <w:pStyle w:val="P68B1DB1-Normal4"/>
        <w:keepNext/>
        <w:spacing w:before="40" w:after="0" w:line="259" w:lineRule="auto"/>
        <w:jc w:val="both"/>
        <w:rPr>
          <w:rFonts w:eastAsiaTheme="minorEastAsia" w:cs="Times New Roman"/>
          <w:noProof/>
        </w:rPr>
      </w:pPr>
      <w:r>
        <w:rPr>
          <w:noProof/>
        </w:rPr>
        <w:t>Dintre drumurile enumerate, se construiesc sau se modernizează 42 de kilometri:</w:t>
      </w:r>
    </w:p>
    <w:p w14:paraId="3191170B"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Conectarea la parcul industrial Mundão: eliminarea constrângerilor din EN229 Viseu/Sátão; </w:t>
      </w:r>
    </w:p>
    <w:p w14:paraId="262DC6C2"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Conectarea la parcul industrial Mundão: EN229 – ex-IP5/Mundão parc industrial; </w:t>
      </w:r>
    </w:p>
    <w:p w14:paraId="452EB813"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Accesibilitatea la zona industrială Riachos; </w:t>
      </w:r>
    </w:p>
    <w:p w14:paraId="2C588233"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Accesul IC8 (Ansião) la parcul de afaceri Camporês; </w:t>
      </w:r>
    </w:p>
    <w:p w14:paraId="5A87BB70"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EN10-4: Setúbal/Mitrena; </w:t>
      </w:r>
    </w:p>
    <w:p w14:paraId="242E9A85"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Conectarea la parcul industrial Fontiscos și reabilitarea nodului Ermida (Santo Tirso); </w:t>
      </w:r>
    </w:p>
    <w:p w14:paraId="2AEAAA33"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Conectarea A8 la parcul industrial Palhagueiras din Torres Vedras; </w:t>
      </w:r>
    </w:p>
    <w:p w14:paraId="07901DC1"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Conectarea A11 la zona industrială Cabeça de Porca (Felgueiras);</w:t>
      </w:r>
    </w:p>
    <w:p w14:paraId="3ED22392"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Conectarea EN114 la zona industrială Rio Maior; </w:t>
      </w:r>
    </w:p>
    <w:p w14:paraId="1EAB6332"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Îmbunătățirea accesului la zona de localizare a activității Lavagueiras (Castelo de Paiva); </w:t>
      </w:r>
    </w:p>
    <w:p w14:paraId="30092FC2"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Îmbunătățirea accesibilității zonei industriale a Maior Campo;</w:t>
      </w:r>
    </w:p>
    <w:p w14:paraId="6B7A00F6"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Șoseaua de centură EN248 (Arruda dos Vinhos); </w:t>
      </w:r>
    </w:p>
    <w:p w14:paraId="4283D541"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Șoseaua de centură Aljustrel – Îmbunătățirea accesului la zona minieră și la zona de localizare a activității; </w:t>
      </w:r>
    </w:p>
    <w:p w14:paraId="5698EA11"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VIa do Tâmega a șoselei de centură EN210 (Celorico de Basto); </w:t>
      </w:r>
    </w:p>
    <w:p w14:paraId="435864A5"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Conectarea IC2 la parcul industrial Casarão; </w:t>
      </w:r>
    </w:p>
    <w:p w14:paraId="3119D8F2"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Noua traversare a Rio Lima între EN203 – Deocriste și EN202 – Nogueira; </w:t>
      </w:r>
    </w:p>
    <w:p w14:paraId="47A48EEF"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Rotundă la EN246 pentru accesul la zona industrială Portalegre; </w:t>
      </w:r>
    </w:p>
    <w:p w14:paraId="0F0C4A8F"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 xml:space="preserve">Accesul la Avepark – Parcul Științific și Tehnic din Taipas (Guimarães); </w:t>
      </w:r>
    </w:p>
    <w:p w14:paraId="6594FA5B" w14:textId="77777777" w:rsidR="00A15990" w:rsidRDefault="00686A62">
      <w:pPr>
        <w:pStyle w:val="P68B1DB1-Normal4"/>
        <w:keepNext/>
        <w:numPr>
          <w:ilvl w:val="0"/>
          <w:numId w:val="24"/>
        </w:numPr>
        <w:spacing w:before="40" w:after="160" w:line="259" w:lineRule="auto"/>
        <w:contextualSpacing/>
        <w:jc w:val="both"/>
        <w:rPr>
          <w:rFonts w:eastAsiaTheme="minorEastAsia" w:cs="Times New Roman"/>
          <w:noProof/>
        </w:rPr>
      </w:pPr>
      <w:r>
        <w:rPr>
          <w:noProof/>
        </w:rPr>
        <w:t>Accesul în zona industrială Vale do Neiva din nodul A28.</w:t>
      </w:r>
    </w:p>
    <w:p w14:paraId="1F556DE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529BEBFB"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4B27D11F"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28DDE69"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BF3640">
          <w:headerReference w:type="even" r:id="rId156"/>
          <w:headerReference w:type="default" r:id="rId157"/>
          <w:footerReference w:type="even" r:id="rId158"/>
          <w:footerReference w:type="default" r:id="rId159"/>
          <w:headerReference w:type="first" r:id="rId160"/>
          <w:footerReference w:type="first" r:id="rId161"/>
          <w:type w:val="continuous"/>
          <w:pgSz w:w="11907" w:h="16839" w:code="9"/>
          <w:pgMar w:top="1134" w:right="1134" w:bottom="1134" w:left="1134" w:header="567" w:footer="567" w:gutter="0"/>
          <w:cols w:space="720"/>
          <w:docGrid w:linePitch="360"/>
        </w:sectPr>
      </w:pPr>
    </w:p>
    <w:p w14:paraId="6299134D" w14:textId="7FD7908A" w:rsidR="00A15990" w:rsidRDefault="00686A62">
      <w:pPr>
        <w:pStyle w:val="P68B1DB1-Normal3"/>
        <w:spacing w:before="40" w:after="0" w:line="259" w:lineRule="auto"/>
        <w:ind w:left="130" w:firstLine="720"/>
        <w:jc w:val="both"/>
        <w:outlineLvl w:val="2"/>
        <w:rPr>
          <w:rFonts w:eastAsiaTheme="minorEastAsia" w:cs="Times New Roman"/>
          <w:noProof/>
        </w:rPr>
      </w:pPr>
      <w:r>
        <w:rPr>
          <w:noProof/>
        </w:rPr>
        <w:t>G.4. Jaloane, ținte, indicatori și calendarul de monitorizare și implementare aplicabile împrumutului</w:t>
      </w:r>
    </w:p>
    <w:p w14:paraId="2F2CB9FD" w14:textId="77777777" w:rsidR="00A15990" w:rsidRDefault="00A15990">
      <w:pPr>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A15990" w14:paraId="36A011EF" w14:textId="77777777">
        <w:trPr>
          <w:trHeight w:val="910"/>
          <w:tblHeader/>
        </w:trPr>
        <w:tc>
          <w:tcPr>
            <w:tcW w:w="1135" w:type="dxa"/>
            <w:vMerge w:val="restart"/>
            <w:shd w:val="clear" w:color="auto" w:fill="BDD6EE"/>
            <w:vAlign w:val="center"/>
            <w:hideMark/>
          </w:tcPr>
          <w:p w14:paraId="44FD47D0"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43B8D62C"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24FD2722" w14:textId="36E6634C" w:rsidR="00A15990" w:rsidRDefault="00F32597">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vAlign w:val="center"/>
            <w:hideMark/>
          </w:tcPr>
          <w:p w14:paraId="1ED31254"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2272E53A"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shd w:val="clear" w:color="auto" w:fill="BDD6EE"/>
            <w:vAlign w:val="center"/>
            <w:hideMark/>
          </w:tcPr>
          <w:p w14:paraId="2CD0AB34"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5C44A828"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50F3DE32"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6E3E0C94" w14:textId="77777777">
        <w:trPr>
          <w:trHeight w:val="470"/>
          <w:tblHeader/>
        </w:trPr>
        <w:tc>
          <w:tcPr>
            <w:tcW w:w="1135" w:type="dxa"/>
            <w:vMerge/>
            <w:vAlign w:val="center"/>
            <w:hideMark/>
          </w:tcPr>
          <w:p w14:paraId="35DCDBA3"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74E2BF93"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vAlign w:val="center"/>
            <w:hideMark/>
          </w:tcPr>
          <w:p w14:paraId="39DC4F8E" w14:textId="77777777" w:rsidR="00A15990" w:rsidRDefault="00A15990">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3E4DCD1"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0DF81CCA"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02752337"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62D4A070"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vAlign w:val="center"/>
            <w:hideMark/>
          </w:tcPr>
          <w:p w14:paraId="121BD005"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50080670"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5EEBE07C"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1A0FE12C" w14:textId="77777777" w:rsidR="00A15990" w:rsidRDefault="00A15990">
            <w:pPr>
              <w:spacing w:after="0" w:line="240" w:lineRule="auto"/>
              <w:rPr>
                <w:rFonts w:ascii="Times New Roman" w:eastAsia="Times New Roman" w:hAnsi="Times New Roman" w:cs="Times New Roman"/>
                <w:b/>
                <w:noProof/>
                <w:sz w:val="18"/>
              </w:rPr>
            </w:pPr>
          </w:p>
        </w:tc>
      </w:tr>
      <w:tr w:rsidR="00A15990" w14:paraId="59915854" w14:textId="77777777">
        <w:trPr>
          <w:trHeight w:val="503"/>
          <w:tblHeader/>
        </w:trPr>
        <w:tc>
          <w:tcPr>
            <w:tcW w:w="1135" w:type="dxa"/>
            <w:shd w:val="clear" w:color="auto" w:fill="C4EFCE"/>
            <w:vAlign w:val="center"/>
            <w:hideMark/>
          </w:tcPr>
          <w:p w14:paraId="01EFD0C3" w14:textId="77777777" w:rsidR="00A15990" w:rsidRDefault="00686A62">
            <w:pPr>
              <w:pStyle w:val="P68B1DB1-Normal7"/>
              <w:spacing w:after="0" w:line="240" w:lineRule="auto"/>
              <w:jc w:val="center"/>
              <w:rPr>
                <w:rFonts w:eastAsia="Times New Roman" w:cs="Calibri"/>
                <w:noProof/>
              </w:rPr>
            </w:pPr>
            <w:r>
              <w:rPr>
                <w:noProof/>
              </w:rPr>
              <w:t>7.9</w:t>
            </w:r>
          </w:p>
        </w:tc>
        <w:tc>
          <w:tcPr>
            <w:tcW w:w="1276" w:type="dxa"/>
            <w:shd w:val="clear" w:color="auto" w:fill="C4EFCE"/>
            <w:noWrap/>
            <w:vAlign w:val="center"/>
            <w:hideMark/>
          </w:tcPr>
          <w:p w14:paraId="68287771" w14:textId="77777777" w:rsidR="00A15990" w:rsidRDefault="00686A62">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737B2981"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6F42995" w14:textId="77777777" w:rsidR="00A15990" w:rsidRDefault="00686A62">
            <w:pPr>
              <w:pStyle w:val="P68B1DB1-Normal8"/>
              <w:spacing w:after="0" w:line="240" w:lineRule="auto"/>
              <w:jc w:val="center"/>
              <w:rPr>
                <w:rFonts w:eastAsia="Times New Roman" w:cs="Calibri"/>
                <w:noProof/>
              </w:rPr>
            </w:pPr>
            <w:r>
              <w:rPr>
                <w:noProof/>
              </w:rPr>
              <w:t>Finalizarea primei evaluări a impactului asupra mediului</w:t>
            </w:r>
          </w:p>
        </w:tc>
        <w:tc>
          <w:tcPr>
            <w:tcW w:w="1275" w:type="dxa"/>
            <w:shd w:val="clear" w:color="auto" w:fill="C4EFCE"/>
            <w:noWrap/>
            <w:vAlign w:val="center"/>
            <w:hideMark/>
          </w:tcPr>
          <w:p w14:paraId="6FEC0C5F" w14:textId="77777777" w:rsidR="00A15990" w:rsidRDefault="00686A62">
            <w:pPr>
              <w:pStyle w:val="P68B1DB1-Normal8"/>
              <w:spacing w:after="0" w:line="240" w:lineRule="auto"/>
              <w:jc w:val="center"/>
              <w:rPr>
                <w:rFonts w:eastAsia="Times New Roman" w:cs="Calibri"/>
                <w:noProof/>
              </w:rPr>
            </w:pPr>
            <w:r>
              <w:rPr>
                <w:noProof/>
              </w:rPr>
              <w:t>Finalizarea evaluării impactului asupra mediului</w:t>
            </w:r>
          </w:p>
        </w:tc>
        <w:tc>
          <w:tcPr>
            <w:tcW w:w="993" w:type="dxa"/>
            <w:shd w:val="clear" w:color="auto" w:fill="C4EFCE"/>
            <w:noWrap/>
            <w:vAlign w:val="center"/>
            <w:hideMark/>
          </w:tcPr>
          <w:p w14:paraId="4DA39125"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704235E"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4CD8858"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BF45E7A"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58D9453C"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242039D" w14:textId="77777777" w:rsidR="00A15990" w:rsidRDefault="00686A62">
            <w:pPr>
              <w:pStyle w:val="P68B1DB1-Normal8"/>
              <w:spacing w:after="0" w:line="240" w:lineRule="auto"/>
              <w:jc w:val="both"/>
              <w:rPr>
                <w:rFonts w:eastAsia="Times New Roman" w:cs="Calibri"/>
                <w:noProof/>
              </w:rPr>
            </w:pPr>
            <w:r>
              <w:rPr>
                <w:noProof/>
              </w:rPr>
              <w:t>Evaluarea impactului asupra mediului al unui proiect rutier a fost finalizată.</w:t>
            </w:r>
          </w:p>
        </w:tc>
      </w:tr>
      <w:tr w:rsidR="00A15990" w14:paraId="18BA168D" w14:textId="77777777">
        <w:trPr>
          <w:trHeight w:val="420"/>
          <w:tblHeader/>
        </w:trPr>
        <w:tc>
          <w:tcPr>
            <w:tcW w:w="1135" w:type="dxa"/>
            <w:shd w:val="clear" w:color="auto" w:fill="C4EFCE"/>
            <w:vAlign w:val="center"/>
            <w:hideMark/>
          </w:tcPr>
          <w:p w14:paraId="37F6747E" w14:textId="77777777" w:rsidR="00A15990" w:rsidRDefault="00686A62">
            <w:pPr>
              <w:pStyle w:val="P68B1DB1-Normal7"/>
              <w:spacing w:after="0" w:line="240" w:lineRule="auto"/>
              <w:jc w:val="center"/>
              <w:rPr>
                <w:rFonts w:eastAsia="Times New Roman" w:cs="Calibri"/>
                <w:noProof/>
              </w:rPr>
            </w:pPr>
            <w:r>
              <w:rPr>
                <w:noProof/>
              </w:rPr>
              <w:t>7.10</w:t>
            </w:r>
          </w:p>
        </w:tc>
        <w:tc>
          <w:tcPr>
            <w:tcW w:w="1276" w:type="dxa"/>
            <w:shd w:val="clear" w:color="auto" w:fill="C4EFCE"/>
            <w:noWrap/>
            <w:vAlign w:val="center"/>
            <w:hideMark/>
          </w:tcPr>
          <w:p w14:paraId="04DFE7C9" w14:textId="77777777" w:rsidR="00A15990" w:rsidRDefault="00686A62">
            <w:pPr>
              <w:pStyle w:val="P68B1DB1-Normal8"/>
              <w:spacing w:after="0" w:line="240" w:lineRule="auto"/>
              <w:jc w:val="center"/>
              <w:rPr>
                <w:rFonts w:eastAsia="Times New Roman" w:cs="Calibri"/>
                <w:noProof/>
              </w:rPr>
            </w:pPr>
            <w:r>
              <w:rPr>
                <w:noProof/>
              </w:rPr>
              <w:t>RE-C07-i03</w:t>
            </w:r>
          </w:p>
        </w:tc>
        <w:tc>
          <w:tcPr>
            <w:tcW w:w="1134" w:type="dxa"/>
            <w:shd w:val="clear" w:color="auto" w:fill="C4EFCE"/>
            <w:noWrap/>
            <w:vAlign w:val="center"/>
            <w:hideMark/>
          </w:tcPr>
          <w:p w14:paraId="1CCBAD9D"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D01E3A" w14:textId="77777777" w:rsidR="00A15990" w:rsidRDefault="00686A62">
            <w:pPr>
              <w:pStyle w:val="P68B1DB1-Normal8"/>
              <w:spacing w:after="0" w:line="240" w:lineRule="auto"/>
              <w:jc w:val="center"/>
              <w:rPr>
                <w:rFonts w:eastAsia="Times New Roman" w:cs="Calibri"/>
                <w:noProof/>
              </w:rPr>
            </w:pPr>
            <w:r>
              <w:rPr>
                <w:noProof/>
              </w:rPr>
              <w:t>Drumuri construite sau reabilitate</w:t>
            </w:r>
          </w:p>
        </w:tc>
        <w:tc>
          <w:tcPr>
            <w:tcW w:w="1275" w:type="dxa"/>
            <w:shd w:val="clear" w:color="auto" w:fill="C4EFCE"/>
            <w:noWrap/>
            <w:vAlign w:val="center"/>
            <w:hideMark/>
          </w:tcPr>
          <w:p w14:paraId="672467C4"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ADBC17"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7615C227"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BC63F7D" w14:textId="77777777" w:rsidR="00A15990" w:rsidRDefault="00686A62">
            <w:pPr>
              <w:pStyle w:val="P68B1DB1-Normal8"/>
              <w:spacing w:after="0" w:line="240" w:lineRule="auto"/>
              <w:jc w:val="center"/>
              <w:rPr>
                <w:rFonts w:eastAsia="Times New Roman" w:cs="Calibri"/>
                <w:noProof/>
              </w:rPr>
            </w:pPr>
            <w:r>
              <w:rPr>
                <w:noProof/>
              </w:rPr>
              <w:t>30</w:t>
            </w:r>
          </w:p>
        </w:tc>
        <w:tc>
          <w:tcPr>
            <w:tcW w:w="567" w:type="dxa"/>
            <w:shd w:val="clear" w:color="auto" w:fill="C4EFCE"/>
            <w:noWrap/>
            <w:vAlign w:val="center"/>
            <w:hideMark/>
          </w:tcPr>
          <w:p w14:paraId="3F7E78D9"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1EEFFE2"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8DB863F" w14:textId="77777777" w:rsidR="00A15990" w:rsidRDefault="00686A62">
            <w:pPr>
              <w:pStyle w:val="P68B1DB1-Normal8"/>
              <w:spacing w:after="0" w:line="240" w:lineRule="auto"/>
              <w:jc w:val="both"/>
              <w:rPr>
                <w:rFonts w:eastAsia="Times New Roman" w:cs="Calibri"/>
                <w:noProof/>
              </w:rPr>
            </w:pPr>
            <w:r>
              <w:rPr>
                <w:noProof/>
              </w:rPr>
              <w:t>Km de drumuri construite sau reabilitate în conformitate cu specificațiile tehnice ale licitației și încorporând pe deplin orice rezultat și condiție din evaluarea impactului asupra mediului.</w:t>
            </w:r>
          </w:p>
        </w:tc>
      </w:tr>
      <w:tr w:rsidR="00A15990" w14:paraId="5BBC378C" w14:textId="77777777">
        <w:trPr>
          <w:trHeight w:val="420"/>
          <w:tblHeader/>
        </w:trPr>
        <w:tc>
          <w:tcPr>
            <w:tcW w:w="1135" w:type="dxa"/>
            <w:shd w:val="clear" w:color="auto" w:fill="C4EFCE"/>
            <w:vAlign w:val="center"/>
            <w:hideMark/>
          </w:tcPr>
          <w:p w14:paraId="35FFD5D9" w14:textId="77777777" w:rsidR="00A15990" w:rsidRDefault="00686A62">
            <w:pPr>
              <w:pStyle w:val="P68B1DB1-Normal7"/>
              <w:spacing w:after="0" w:line="240" w:lineRule="auto"/>
              <w:jc w:val="center"/>
              <w:rPr>
                <w:rFonts w:eastAsia="Times New Roman" w:cs="Calibri"/>
                <w:noProof/>
              </w:rPr>
            </w:pPr>
            <w:r>
              <w:rPr>
                <w:noProof/>
              </w:rPr>
              <w:t>7.11</w:t>
            </w:r>
          </w:p>
        </w:tc>
        <w:tc>
          <w:tcPr>
            <w:tcW w:w="1276" w:type="dxa"/>
            <w:shd w:val="clear" w:color="auto" w:fill="C4EFCE"/>
            <w:noWrap/>
            <w:vAlign w:val="center"/>
            <w:hideMark/>
          </w:tcPr>
          <w:p w14:paraId="32BBA945" w14:textId="77777777" w:rsidR="00A15990" w:rsidRDefault="00686A62">
            <w:pPr>
              <w:pStyle w:val="P68B1DB1-Normal8"/>
              <w:spacing w:after="0" w:line="240" w:lineRule="auto"/>
              <w:jc w:val="center"/>
              <w:rPr>
                <w:rFonts w:eastAsia="Times New Roman" w:cs="Calibri"/>
                <w:noProof/>
              </w:rPr>
            </w:pPr>
            <w:r>
              <w:rPr>
                <w:noProof/>
              </w:rPr>
              <w:t>RE-C07-i04</w:t>
            </w:r>
          </w:p>
        </w:tc>
        <w:tc>
          <w:tcPr>
            <w:tcW w:w="1134" w:type="dxa"/>
            <w:shd w:val="clear" w:color="auto" w:fill="C4EFCE"/>
            <w:noWrap/>
            <w:vAlign w:val="center"/>
            <w:hideMark/>
          </w:tcPr>
          <w:p w14:paraId="645981D3"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8D6599C" w14:textId="77777777" w:rsidR="00A15990" w:rsidRDefault="00686A62">
            <w:pPr>
              <w:pStyle w:val="P68B1DB1-Normal8"/>
              <w:spacing w:after="0" w:line="240" w:lineRule="auto"/>
              <w:jc w:val="center"/>
              <w:rPr>
                <w:rFonts w:eastAsia="Times New Roman" w:cs="Calibri"/>
                <w:noProof/>
              </w:rPr>
            </w:pPr>
            <w:r>
              <w:rPr>
                <w:noProof/>
              </w:rPr>
              <w:t>Contract semnat pentru 10 proiecte rutiere</w:t>
            </w:r>
          </w:p>
        </w:tc>
        <w:tc>
          <w:tcPr>
            <w:tcW w:w="1275" w:type="dxa"/>
            <w:shd w:val="clear" w:color="auto" w:fill="C4EFCE"/>
            <w:noWrap/>
            <w:vAlign w:val="center"/>
            <w:hideMark/>
          </w:tcPr>
          <w:p w14:paraId="3238AD55" w14:textId="77777777" w:rsidR="00A15990" w:rsidRDefault="00686A62">
            <w:pPr>
              <w:pStyle w:val="P68B1DB1-Normal8"/>
              <w:spacing w:after="0" w:line="240" w:lineRule="auto"/>
              <w:jc w:val="center"/>
              <w:rPr>
                <w:rFonts w:eastAsia="Times New Roman" w:cs="Calibri"/>
                <w:noProof/>
              </w:rPr>
            </w:pPr>
            <w:r>
              <w:rPr>
                <w:noProof/>
              </w:rPr>
              <w:t>Contract semnat cu contractantul pentru proiectele rutiere</w:t>
            </w:r>
          </w:p>
        </w:tc>
        <w:tc>
          <w:tcPr>
            <w:tcW w:w="993" w:type="dxa"/>
            <w:shd w:val="clear" w:color="auto" w:fill="C4EFCE"/>
            <w:noWrap/>
            <w:vAlign w:val="center"/>
            <w:hideMark/>
          </w:tcPr>
          <w:p w14:paraId="435E72CA"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9669237"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0F0411DD"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2A2E0282" w14:textId="77777777"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42230A0C" w14:textId="77777777" w:rsidR="00A15990" w:rsidRDefault="00686A62">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55453983" w14:textId="77777777" w:rsidR="00A15990" w:rsidRDefault="00686A62">
            <w:pPr>
              <w:pStyle w:val="P68B1DB1-Normal8"/>
              <w:spacing w:after="0" w:line="240" w:lineRule="auto"/>
              <w:jc w:val="both"/>
              <w:rPr>
                <w:rFonts w:eastAsia="Times New Roman" w:cs="Calibri"/>
                <w:noProof/>
              </w:rPr>
            </w:pPr>
            <w:r>
              <w:rPr>
                <w:noProof/>
              </w:rPr>
              <w:t>Semnarea de către părți a documentului care reglementează obligațiile acestora în ceea ce privește executarea lucrărilor, la un preț, în urma unei proceduri de achiziții publice.</w:t>
            </w:r>
          </w:p>
        </w:tc>
      </w:tr>
      <w:tr w:rsidR="00A15990" w14:paraId="10AD745D" w14:textId="77777777">
        <w:trPr>
          <w:trHeight w:val="420"/>
          <w:tblHeader/>
        </w:trPr>
        <w:tc>
          <w:tcPr>
            <w:tcW w:w="1135" w:type="dxa"/>
            <w:shd w:val="clear" w:color="auto" w:fill="C4EFCE"/>
            <w:vAlign w:val="center"/>
            <w:hideMark/>
          </w:tcPr>
          <w:p w14:paraId="5EABD158" w14:textId="77777777" w:rsidR="00A15990" w:rsidRDefault="00686A62">
            <w:pPr>
              <w:pStyle w:val="P68B1DB1-Normal7"/>
              <w:spacing w:after="0" w:line="240" w:lineRule="auto"/>
              <w:jc w:val="center"/>
              <w:rPr>
                <w:rFonts w:eastAsia="Times New Roman" w:cs="Calibri"/>
                <w:noProof/>
              </w:rPr>
            </w:pPr>
            <w:r>
              <w:rPr>
                <w:noProof/>
              </w:rPr>
              <w:t>7.12</w:t>
            </w:r>
          </w:p>
        </w:tc>
        <w:tc>
          <w:tcPr>
            <w:tcW w:w="1276" w:type="dxa"/>
            <w:shd w:val="clear" w:color="auto" w:fill="C4EFCE"/>
            <w:noWrap/>
            <w:vAlign w:val="center"/>
            <w:hideMark/>
          </w:tcPr>
          <w:p w14:paraId="008B14DC" w14:textId="77777777" w:rsidR="00A15990" w:rsidRDefault="00686A62">
            <w:pPr>
              <w:pStyle w:val="P68B1DB1-Normal8"/>
              <w:spacing w:after="0" w:line="240" w:lineRule="auto"/>
              <w:jc w:val="center"/>
              <w:rPr>
                <w:rFonts w:eastAsia="Times New Roman" w:cs="Calibri"/>
                <w:noProof/>
              </w:rPr>
            </w:pPr>
            <w:r>
              <w:rPr>
                <w:noProof/>
              </w:rPr>
              <w:t>RE-C07-i04</w:t>
            </w:r>
          </w:p>
        </w:tc>
        <w:tc>
          <w:tcPr>
            <w:tcW w:w="1134" w:type="dxa"/>
            <w:shd w:val="clear" w:color="auto" w:fill="C4EFCE"/>
            <w:noWrap/>
            <w:vAlign w:val="center"/>
            <w:hideMark/>
          </w:tcPr>
          <w:p w14:paraId="72ABE102"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6E4068F" w14:textId="77777777" w:rsidR="00A15990" w:rsidRDefault="00686A62">
            <w:pPr>
              <w:pStyle w:val="P68B1DB1-Normal8"/>
              <w:spacing w:after="0" w:line="240" w:lineRule="auto"/>
              <w:jc w:val="center"/>
              <w:rPr>
                <w:rFonts w:eastAsia="Times New Roman" w:cs="Calibri"/>
                <w:noProof/>
              </w:rPr>
            </w:pPr>
            <w:r>
              <w:rPr>
                <w:noProof/>
              </w:rPr>
              <w:t>Drumuri construite sau reabilitate</w:t>
            </w:r>
          </w:p>
        </w:tc>
        <w:tc>
          <w:tcPr>
            <w:tcW w:w="1275" w:type="dxa"/>
            <w:shd w:val="clear" w:color="auto" w:fill="C4EFCE"/>
            <w:noWrap/>
            <w:vAlign w:val="center"/>
            <w:hideMark/>
          </w:tcPr>
          <w:p w14:paraId="34DC727E"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8211DC0"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797EF748"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6E18FA0" w14:textId="77777777" w:rsidR="00A15990" w:rsidRDefault="00686A62">
            <w:pPr>
              <w:pStyle w:val="P68B1DB1-Normal8"/>
              <w:spacing w:after="0" w:line="240" w:lineRule="auto"/>
              <w:jc w:val="center"/>
              <w:rPr>
                <w:rFonts w:eastAsia="Times New Roman" w:cs="Calibri"/>
                <w:noProof/>
              </w:rPr>
            </w:pPr>
            <w:r>
              <w:rPr>
                <w:noProof/>
              </w:rPr>
              <w:t>42</w:t>
            </w:r>
          </w:p>
        </w:tc>
        <w:tc>
          <w:tcPr>
            <w:tcW w:w="567" w:type="dxa"/>
            <w:shd w:val="clear" w:color="auto" w:fill="C4EFCE"/>
            <w:noWrap/>
            <w:vAlign w:val="center"/>
            <w:hideMark/>
          </w:tcPr>
          <w:p w14:paraId="664FBA60"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1BADD922"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6FA22C" w14:textId="77777777" w:rsidR="00A15990" w:rsidRDefault="00686A62">
            <w:pPr>
              <w:pStyle w:val="P68B1DB1-Normal8"/>
              <w:spacing w:after="0" w:line="240" w:lineRule="auto"/>
              <w:jc w:val="both"/>
              <w:rPr>
                <w:rFonts w:eastAsia="Times New Roman" w:cs="Calibri"/>
                <w:noProof/>
              </w:rPr>
            </w:pPr>
            <w:r>
              <w:rPr>
                <w:noProof/>
              </w:rPr>
              <w:t>Km de drumuri construite sau reabilitate în conformitate cu specificațiile tehnice ale licitației și încorporând pe deplin orice rezultat și condiție din evaluarea impactului asupra mediului.</w:t>
            </w:r>
          </w:p>
        </w:tc>
      </w:tr>
    </w:tbl>
    <w:p w14:paraId="7B849270" w14:textId="77777777" w:rsidR="00A15990" w:rsidRDefault="00A15990">
      <w:pPr>
        <w:spacing w:before="40" w:after="0" w:line="259" w:lineRule="auto"/>
        <w:jc w:val="both"/>
        <w:rPr>
          <w:rFonts w:ascii="Times New Roman" w:eastAsiaTheme="minorEastAsia" w:hAnsi="Times New Roman" w:cs="Times New Roman"/>
          <w:noProof/>
          <w:sz w:val="24"/>
        </w:rPr>
      </w:pPr>
    </w:p>
    <w:p w14:paraId="29354AB7" w14:textId="77777777" w:rsidR="00A15990" w:rsidRDefault="00A15990">
      <w:pPr>
        <w:spacing w:before="40" w:after="0" w:line="259" w:lineRule="auto"/>
        <w:jc w:val="both"/>
        <w:rPr>
          <w:rFonts w:ascii="Times New Roman" w:eastAsiaTheme="minorEastAsia" w:hAnsi="Times New Roman" w:cs="Times New Roman"/>
          <w:noProof/>
          <w:sz w:val="24"/>
        </w:rPr>
      </w:pPr>
    </w:p>
    <w:p w14:paraId="179A26C8" w14:textId="77777777" w:rsidR="00A15990" w:rsidRDefault="00A15990">
      <w:pPr>
        <w:spacing w:before="40" w:after="0" w:line="259" w:lineRule="auto"/>
        <w:jc w:val="both"/>
        <w:rPr>
          <w:rFonts w:ascii="Times New Roman" w:eastAsiaTheme="minorEastAsia" w:hAnsi="Times New Roman" w:cs="Times New Roman"/>
          <w:noProof/>
          <w:sz w:val="24"/>
        </w:rPr>
        <w:sectPr w:rsidR="00A15990" w:rsidSect="00FD562E">
          <w:headerReference w:type="even" r:id="rId162"/>
          <w:headerReference w:type="default" r:id="rId163"/>
          <w:footerReference w:type="even" r:id="rId164"/>
          <w:footerReference w:type="default" r:id="rId165"/>
          <w:headerReference w:type="first" r:id="rId166"/>
          <w:footerReference w:type="first" r:id="rId167"/>
          <w:pgSz w:w="16839" w:h="11907" w:orient="landscape"/>
          <w:pgMar w:top="1134" w:right="1134" w:bottom="1134" w:left="1134" w:header="567" w:footer="567" w:gutter="0"/>
          <w:cols w:space="720"/>
          <w:docGrid w:linePitch="360"/>
        </w:sectPr>
      </w:pPr>
    </w:p>
    <w:p w14:paraId="77E856F9" w14:textId="214EB4BC"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H. COMPONENTA 8: Păduri</w:t>
      </w:r>
    </w:p>
    <w:p w14:paraId="275D788F"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Componenta abordează următoarele provocări: declinul socioeconomic și demografic din zonele rurale, existența unor zone extinse fără o gestionare activă pentru a preveni incendiile sau pentru a proteja biodiversitatea, precum și gradul ridicat de fragmentare a proprietății private asupra terenurilor. Exodul populației către marile centre urbane și îmbătrânirea progresivă a populației rurale au condus la abandonarea teritoriilor rurale și a sectoarelor economice primare tradiționale. Acest lucru a condus la extinderea treptată a zonelor forestiere, neplanificate și negestionate și cu o concentrație ridicată de combustibil. Aceste zone prezintă o expunere puternică la pericolul incendiilor rurale, care pot duce la pierderea de vieți omenești, la pagube masive ale terenurilor și proprietăților și la distrugerea pădurilor și a bunurilor și serviciilor pe care le produc. Portugalia este țara din sudul Europei, cu cea mai mare parte a zonelor arse din zonele rurale și cu cel mai mare număr mediu de incendii. Conform Sistemului european de informare privind incendiile forestiere (EFFIS), între 169 000 și 2015 au fost arse, în medie, aproximativ 2019 de hectare pe an. </w:t>
      </w:r>
    </w:p>
    <w:p w14:paraId="47E6C138"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acestei componente sunt: </w:t>
      </w:r>
    </w:p>
    <w:p w14:paraId="7A8F4ED1" w14:textId="6664DD94"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promovarea planificării și gestionării active a terenurilor agricole și forestiere vulnerabile și cu valoare ecologică ridicată; </w:t>
      </w:r>
    </w:p>
    <w:p w14:paraId="66CFA115"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protejarea biodiversității prin sprijinirea refacerii ecosistemelor agricole și forestiere, în special în zonele arse; </w:t>
      </w:r>
    </w:p>
    <w:p w14:paraId="466397E4"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 xml:space="preserve">să contribuie la coeziunea teritorială și la crearea de locuri de muncă prin revitalizarea activităților economice ale teritoriilor rurale; și </w:t>
      </w:r>
    </w:p>
    <w:p w14:paraId="75C6E9EE" w14:textId="77777777" w:rsidR="00A15990" w:rsidRDefault="00686A62">
      <w:pPr>
        <w:pStyle w:val="P68B1DB1-Normal4"/>
        <w:keepNext/>
        <w:numPr>
          <w:ilvl w:val="0"/>
          <w:numId w:val="25"/>
        </w:numPr>
        <w:spacing w:before="40" w:after="160" w:line="259" w:lineRule="auto"/>
        <w:contextualSpacing/>
        <w:jc w:val="both"/>
        <w:rPr>
          <w:rFonts w:eastAsiaTheme="minorEastAsia" w:cs="Times New Roman"/>
          <w:noProof/>
        </w:rPr>
      </w:pPr>
      <w:r>
        <w:rPr>
          <w:noProof/>
        </w:rPr>
        <w:t>creșterea rezilienței acestor teritorii prin reducerea riscului de incendii prin prevenirea eficace și eficientă a incendiilor și, în cazul incendiilor, prin reducerea pagubelor prin combaterea eficace și eficientă a incendiilor.</w:t>
      </w:r>
    </w:p>
    <w:p w14:paraId="6B094313" w14:textId="77777777" w:rsidR="00A15990" w:rsidRDefault="00686A62">
      <w:pPr>
        <w:pStyle w:val="P68B1DB1-Normal4"/>
        <w:keepNext/>
        <w:spacing w:before="40" w:after="0" w:line="259" w:lineRule="auto"/>
        <w:jc w:val="both"/>
        <w:rPr>
          <w:rFonts w:eastAsiaTheme="minorEastAsia" w:cs="Times New Roman"/>
          <w:noProof/>
        </w:rPr>
      </w:pPr>
      <w:r>
        <w:rPr>
          <w:noProof/>
        </w:rPr>
        <w:t>Componenta contribuie la punerea în aplicare a Recomandării specifice fiecărei țări privind îmbunătățirea calității finanțelor publice prin acordarea de prioritate cheltuielilor care favorizează creșterea (recomandarea specifică fiecărei țări 1 2019). Cheltuielile publice asociate cu modernizarea registrului proprietăților rurale ar promova gestionarea adecvată a acestora și, eventual, ar face ca activitatea economică din zonele rurale să devină mai dinamică. În plus, componenta are o contribuție importantă la abordarea recomandărilor specifice fiecărei țări privind concentrarea investițiilor asupra tranziției verzi și digitale, ținând seama de disparitățile regionale (recomandarea specifică fiecărei țări 3 2019 și recomandarea specifică fiecărei țări 3 2020).</w:t>
      </w:r>
    </w:p>
    <w:p w14:paraId="5D5F143B"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această componentă va contribui atât la tranziția verde, cât și la cea digitală. În ceea ce privește dimensiunea verde, componenta contribuie în mod direct la adaptarea la schimbările climatice, deoarece urmărește să sporească reziliența teritoriilor rurale la incendii. În plus, gestionarea durabilă activă a acestor teritorii contribuie la prevenirea eroziunii solului, la controlul speciilor invazive și al dăunătorilor și la sechestrarea carbonului de către păduri. În cele din urmă, în ceea ce privește dimensiunea digitală, măsurile planificate pentru sistemul de cadastru al proprietății funciare, sistemul de monitorizare a acoperirii terenurilor (Land Cover Monitoring System – SMOS), inclusiv LiDAR (Light Detection and Ranging) și imaginile prin satelit de înaltă rezoluție, sunt evidențiate deoarece promovează e-guvernarea și serviciile publice digitale.</w:t>
      </w:r>
    </w:p>
    <w:p w14:paraId="2397FDAB" w14:textId="5B73F43F" w:rsidR="00A15990" w:rsidRDefault="00686A62">
      <w:pPr>
        <w:pStyle w:val="P68B1DB1-Normal4"/>
        <w:keepNext/>
        <w:spacing w:before="40" w:after="0" w:line="259" w:lineRule="auto"/>
        <w:jc w:val="both"/>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0A6E08A8" w14:textId="3A4EBA7F" w:rsidR="00A15990" w:rsidRDefault="00A15990">
      <w:pPr>
        <w:keepNext/>
        <w:spacing w:before="40" w:after="0" w:line="259" w:lineRule="auto"/>
        <w:jc w:val="both"/>
        <w:rPr>
          <w:rFonts w:ascii="Times New Roman" w:eastAsiaTheme="minorEastAsia" w:hAnsi="Times New Roman" w:cs="Times New Roman"/>
          <w:noProof/>
          <w:sz w:val="24"/>
        </w:rPr>
      </w:pPr>
    </w:p>
    <w:p w14:paraId="79556D14" w14:textId="5D469B64" w:rsidR="00A15990" w:rsidRDefault="00A15990">
      <w:pPr>
        <w:keepNext/>
        <w:spacing w:before="40" w:after="0" w:line="259" w:lineRule="auto"/>
        <w:jc w:val="both"/>
        <w:rPr>
          <w:rFonts w:ascii="Times New Roman" w:eastAsiaTheme="minorEastAsia" w:hAnsi="Times New Roman" w:cs="Times New Roman"/>
          <w:noProof/>
          <w:sz w:val="24"/>
        </w:rPr>
      </w:pPr>
    </w:p>
    <w:p w14:paraId="78C4205E"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18EB419F"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14412298"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H.1. Descrierea reformelor și a investițiilor pentru sprijinul financiar nerambursabil</w:t>
      </w:r>
    </w:p>
    <w:p w14:paraId="21D8CCAE"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 xml:space="preserve">Reforma RE-r19: Transformarea peisajului în zonele forestiere vulnerabile </w:t>
      </w:r>
    </w:p>
    <w:p w14:paraId="1530F02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transforma peisajul teritoriilor forestiere vulnerabile cu zone extinse de monoculturi negestionate și cu riscuri ridicate de incendii, pentru a preveni incendiile rurale și a spori reziliența economică și climatică. </w:t>
      </w:r>
    </w:p>
    <w:p w14:paraId="117AB455"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reformă va fi pusă în aplicare prin intermediul investițiilor RE-C08-i01 (Transformarea peisajului în zonele forestiere vulnerabile). Reforma constă în patru măsuri care se completează reciproc și sunt prezentate mai jos: </w:t>
      </w:r>
    </w:p>
    <w:p w14:paraId="2B64ED62" w14:textId="2E148AA3" w:rsidR="00A15990" w:rsidRDefault="00686A62">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programele de planificare și gestionare (PRGP); </w:t>
      </w:r>
    </w:p>
    <w:p w14:paraId="59F38D89" w14:textId="240A2AF0" w:rsidR="00A15990" w:rsidRDefault="00686A62">
      <w:pPr>
        <w:pStyle w:val="P68B1DB1-Normal4"/>
        <w:keepNext/>
        <w:numPr>
          <w:ilvl w:val="0"/>
          <w:numId w:val="26"/>
        </w:numPr>
        <w:spacing w:before="40" w:after="160" w:line="259" w:lineRule="auto"/>
        <w:contextualSpacing/>
        <w:jc w:val="both"/>
        <w:rPr>
          <w:rFonts w:eastAsiaTheme="minorEastAsia" w:cs="Times New Roman"/>
          <w:noProof/>
        </w:rPr>
      </w:pPr>
      <w:r>
        <w:rPr>
          <w:noProof/>
        </w:rPr>
        <w:t>zona de gestionare integrată a peisajului (AIGP);</w:t>
      </w:r>
    </w:p>
    <w:p w14:paraId="6F899ECD" w14:textId="77777777" w:rsidR="00A15990" w:rsidRDefault="00686A62">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un program integrat de sprijin pentru satele rurale situate în teritoriile forestiere (comunitatea satelor); și </w:t>
      </w:r>
    </w:p>
    <w:p w14:paraId="0D9E1D1B" w14:textId="77777777" w:rsidR="00A15990" w:rsidRDefault="00686A62">
      <w:pPr>
        <w:pStyle w:val="P68B1DB1-Normal4"/>
        <w:keepNext/>
        <w:numPr>
          <w:ilvl w:val="0"/>
          <w:numId w:val="26"/>
        </w:numPr>
        <w:spacing w:before="40" w:after="160" w:line="259" w:lineRule="auto"/>
        <w:contextualSpacing/>
        <w:jc w:val="both"/>
        <w:rPr>
          <w:rFonts w:eastAsiaTheme="minorEastAsia" w:cs="Times New Roman"/>
          <w:noProof/>
        </w:rPr>
      </w:pPr>
      <w:r>
        <w:rPr>
          <w:noProof/>
        </w:rPr>
        <w:t xml:space="preserve">programul </w:t>
      </w:r>
      <w:r>
        <w:rPr>
          <w:i/>
          <w:noProof/>
        </w:rPr>
        <w:t>Emparcelar para</w:t>
      </w:r>
      <w:r>
        <w:rPr>
          <w:noProof/>
        </w:rPr>
        <w:t xml:space="preserve"> Ordenar. </w:t>
      </w:r>
    </w:p>
    <w:p w14:paraId="05CF4764" w14:textId="77777777" w:rsidR="00A15990" w:rsidRDefault="00686A62">
      <w:pPr>
        <w:pStyle w:val="P68B1DB1-Normal4"/>
        <w:keepNext/>
        <w:spacing w:before="40" w:after="0" w:line="259" w:lineRule="auto"/>
        <w:jc w:val="both"/>
        <w:rPr>
          <w:rFonts w:eastAsiaTheme="minorEastAsia" w:cs="Times New Roman"/>
          <w:noProof/>
        </w:rPr>
      </w:pPr>
      <w:r>
        <w:rPr>
          <w:noProof/>
        </w:rPr>
        <w:t>Reforma se bazează pe programul de transformare peisagistică (</w:t>
      </w:r>
      <w:r>
        <w:rPr>
          <w:i/>
          <w:noProof/>
        </w:rPr>
        <w:t>Programa de Transformação da paisagem –</w:t>
      </w:r>
      <w:r>
        <w:rPr>
          <w:noProof/>
        </w:rPr>
        <w:t xml:space="preserve"> PTP) și sprijină acest program cu cadrul juridic necesar. Acest cadru juridic include cel puțin legislația privind conversia peisajelor prin intermediul programelor de planificare și gestionare peisagistică (PRGP) și al zonelor de gestionare integrată a peisajului (AIGP), legislația care vizează aprobarea delimitării teritoriilor vulnerabile cărora li se pot aplica programele de planificare și gestionare peisagistică și zonele de gestionare integrată a peisajului, precum și legislația privind deținerea obligatorie a terenurilor rurale în zonele forestiere.</w:t>
      </w:r>
    </w:p>
    <w:p w14:paraId="7BF26BBD" w14:textId="77777777" w:rsidR="00A15990" w:rsidRDefault="00686A62">
      <w:pPr>
        <w:pStyle w:val="P68B1DB1-Normal4"/>
        <w:keepNext/>
        <w:spacing w:after="0" w:line="259" w:lineRule="auto"/>
        <w:jc w:val="both"/>
        <w:rPr>
          <w:rFonts w:eastAsiaTheme="minorEastAsia" w:cs="Times New Roman"/>
          <w:noProof/>
        </w:rPr>
      </w:pPr>
      <w:r>
        <w:rPr>
          <w:noProof/>
        </w:rPr>
        <w:t xml:space="preserve">Punerea în aplicare a reformei se finalizează până la 30 septembrie 2021. </w:t>
      </w:r>
    </w:p>
    <w:p w14:paraId="1E1C3C81"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RE-r20: Reorganizarea registrului funciar și a sistemului de monitorizare a acoperirii terenurilor</w:t>
      </w:r>
    </w:p>
    <w:p w14:paraId="3C49EAAB"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măsuri este de a depăși absența unui registru funciar multifuncțional prin introducerea și dezvoltarea unui sistem de identificare și verificare a limitelor proprietății funciare și înregistrarea ulterioară a proprietății funciare. Acest lucru va permite o viziune coerentă, actualizată și holistică a teritoriului, care să sporească valoarea terenurilor pentru proprietarii săi și să permită statului să elaboreze politici publice concrete, durabile și multisectoriale.</w:t>
      </w:r>
    </w:p>
    <w:p w14:paraId="7ABC78BC" w14:textId="760D1E29" w:rsidR="00A15990" w:rsidRDefault="00686A62">
      <w:pPr>
        <w:pStyle w:val="P68B1DB1-Normal4"/>
        <w:keepNext/>
        <w:spacing w:before="40" w:after="0" w:line="259" w:lineRule="auto"/>
        <w:jc w:val="both"/>
        <w:rPr>
          <w:rFonts w:eastAsiaTheme="minorEastAsia" w:cs="Times New Roman"/>
          <w:noProof/>
        </w:rPr>
      </w:pPr>
      <w:r>
        <w:rPr>
          <w:noProof/>
        </w:rPr>
        <w:t>Reforma constă în punerea în funcțiune a sistemului de monitorizare a acoperirii terenurilor (Land Cover Monitoring System – SMOS) și dezvoltarea platformei BUPi (Registrul digital al terenurilor), un contor fizic și virtual cu informații georeferențiate privind proprietățile, care agregă informațiile necesare pentru înregistrarea acestora și facilitează interacțiunea cetățenilor cu administrația publică în cadrul domeniului de aplicare al cărții funciare. Reforma stabilește, de asemenea, cadrul juridic necesar pentru operaționalizarea investițiilor RE-C08-i02: Registrul proprietăților rurale și sistemul de monitorizare a acoperirii terenurilor. Reforma include:</w:t>
      </w:r>
    </w:p>
    <w:p w14:paraId="2B70C39A" w14:textId="77777777"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adoptarea unei legi de instituire a structurii misiunii pentru extinderea Sistemului de informații cadastrale simplificate, o entitate publică care monitorizează extinderea sistemului național simplificat de informații cadastrale și dezvoltarea platformei BUPi; </w:t>
      </w:r>
    </w:p>
    <w:p w14:paraId="200CB5CD" w14:textId="77777777"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adoptarea unui act de instituire a sistemului de operare și finanțare a modelului de organizare și dezvoltare a sistemului informatic cadastral simplificat; </w:t>
      </w:r>
    </w:p>
    <w:p w14:paraId="22A73E8F" w14:textId="704AFECE"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adoptarea unei legi de aprobare a regimului juridic al cărții funciare, de instituire a Sistemului Național de Informații Cadastrale, articulată cu Sistemul simplificat de informații cadastrale și consacrarea Cartei Cadastrale ca hartă națională a terenurilor cadastrale;</w:t>
      </w:r>
    </w:p>
    <w:p w14:paraId="0517B990" w14:textId="77777777"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adoptarea unui act juridic de modificare a Decretului de reglementare nr. 9-A/2017 din 3 noiembrie,</w:t>
      </w:r>
      <w:r>
        <w:rPr>
          <w:noProof/>
        </w:rPr>
        <w:footnoteReference w:id="39"/>
      </w:r>
      <w:r>
        <w:rPr>
          <w:noProof/>
        </w:rPr>
        <w:t xml:space="preserve"> care clarifică funcționarea Sistemului simplificat de informații cadastrale și a platformei BUPi, adoptând măsuri pentru identificarea imediată a structurii terenurilor și a proprietății asupra terenurilor agricole și mixte; și</w:t>
      </w:r>
    </w:p>
    <w:p w14:paraId="15E59400" w14:textId="77777777"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elaborarea unei propuneri de lege de instituire a unui sistem extraordinar de înregistrare a terenurilor rurale și de modificare a Codului de carte funciară (CRP).</w:t>
      </w:r>
    </w:p>
    <w:p w14:paraId="236B79E0"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31 decembrie 2022.</w:t>
      </w:r>
    </w:p>
    <w:p w14:paraId="6D2F50DA"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Reforma RE-r21: Prevenirea și combaterea incendiilor în mediul rural</w:t>
      </w:r>
    </w:p>
    <w:p w14:paraId="4B3DAA2A"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acestei măsuri sunt de a spori prevenirea incendiilor din mediul rural și de a îmbunătăți lupta împotriva acestora prin crearea unei rețele primare de întreruperi ale gestionării combustibilului și prin consolidarea entităților responsabile cu gestionarea și protecția împotriva incendiilor din mediul rural. </w:t>
      </w:r>
    </w:p>
    <w:p w14:paraId="17B5E78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Reforma constă în următoarele:  </w:t>
      </w:r>
    </w:p>
    <w:p w14:paraId="3880BAFB" w14:textId="77777777"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adoptarea unui act de aprobare a Planului Național de Management Integrat al Femeilor Rurale (PNGIFR); </w:t>
      </w:r>
    </w:p>
    <w:p w14:paraId="3D91EFD9" w14:textId="77777777"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adoptarea unei legi privind instituirea sistemului integrat de gestionare a incendiilor din mediul rural (SIGIFR); și </w:t>
      </w:r>
    </w:p>
    <w:p w14:paraId="22AB284F" w14:textId="77777777" w:rsidR="00A15990" w:rsidRDefault="00686A62">
      <w:pPr>
        <w:pStyle w:val="P68B1DB1-Normal4"/>
        <w:keepNext/>
        <w:numPr>
          <w:ilvl w:val="0"/>
          <w:numId w:val="40"/>
        </w:numPr>
        <w:spacing w:before="40" w:after="160" w:line="259" w:lineRule="auto"/>
        <w:contextualSpacing/>
        <w:jc w:val="both"/>
        <w:rPr>
          <w:rFonts w:eastAsiaTheme="minorEastAsia" w:cs="Times New Roman"/>
          <w:noProof/>
        </w:rPr>
      </w:pPr>
      <w:r>
        <w:rPr>
          <w:noProof/>
        </w:rPr>
        <w:t xml:space="preserve">adoptarea unui act de aprobare a Programului Național de Acțiune al Planului Național de Management Integrat al Femeilor Rurale. </w:t>
      </w:r>
    </w:p>
    <w:p w14:paraId="1B361553" w14:textId="49B20966" w:rsidR="00A15990" w:rsidRDefault="00686A62">
      <w:pPr>
        <w:pStyle w:val="P68B1DB1-Normal4"/>
        <w:keepNext/>
        <w:spacing w:before="40" w:after="0" w:line="259" w:lineRule="auto"/>
        <w:jc w:val="both"/>
        <w:rPr>
          <w:rFonts w:eastAsiaTheme="minorEastAsia" w:cs="Times New Roman"/>
          <w:noProof/>
        </w:rPr>
      </w:pPr>
      <w:r>
        <w:rPr>
          <w:noProof/>
        </w:rPr>
        <w:t xml:space="preserve">Sistemul integrat de gestionare a incendiilor din mediul rural (SIGIFR) furnizează, la nivel național, macropolitici și orientări strategice care contribuie la reducerea riscului de incendii rurale și la schimbarea comportamentului proprietarilor, utilizatorilor și beneficiarilor direcți și indirecți ai teritoriului rural. Sistemul definește modele de coordonare interministerială, delimitând competențele și domeniul de acțiune ale fiecărei entități din cadrul SIGIFR, cu o mai mare responsabilitate pentru diferiții actori implicați în procesul decizional. Acesta stabilește un model de guvernanță, monitorizare și evaluare, care contribuie la îmbunătățirea continuă a politicilor și programelor publice. </w:t>
      </w:r>
    </w:p>
    <w:p w14:paraId="04DCD497" w14:textId="77777777" w:rsidR="00A15990" w:rsidRDefault="00686A62">
      <w:pPr>
        <w:pStyle w:val="P68B1DB1-Normal4"/>
        <w:keepNext/>
        <w:spacing w:before="40" w:after="0" w:line="259" w:lineRule="auto"/>
        <w:jc w:val="both"/>
        <w:rPr>
          <w:rFonts w:eastAsiaTheme="minorEastAsia" w:cs="Times New Roman"/>
          <w:noProof/>
        </w:rPr>
      </w:pPr>
      <w:r>
        <w:rPr>
          <w:noProof/>
        </w:rPr>
        <w:t>Se instituie un sistem de informare privind incendiile în mediul rural pentru agregarea și difuzarea tuturor informațiilor tehnice relevante din SIGIFR. În plus, Comisia definește un model bazat pe prevenirea și reducerea la minimum a riscurilor, fie prin activități de sensibilizare, fie prin crearea unor rețele regionale de apărare, în care gestionarea combustibilului joacă un rol principal în regimul de sancțiuni.</w:t>
      </w:r>
    </w:p>
    <w:p w14:paraId="26D46A9E"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30 septembrie 2021.</w:t>
      </w:r>
    </w:p>
    <w:p w14:paraId="3E0AE6FF"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RE-C08-i01: Transformarea peisajului în zonele forestiere vulnerabile</w:t>
      </w:r>
    </w:p>
    <w:p w14:paraId="434C95EF" w14:textId="77777777" w:rsidR="00A15990" w:rsidRDefault="00686A62">
      <w:pPr>
        <w:pStyle w:val="P68B1DB1-Normal4"/>
        <w:keepNext/>
        <w:spacing w:before="40" w:after="0" w:line="259" w:lineRule="auto"/>
        <w:jc w:val="both"/>
        <w:rPr>
          <w:rFonts w:eastAsiaTheme="minorEastAsia" w:cs="Times New Roman"/>
          <w:noProof/>
        </w:rPr>
      </w:pPr>
      <w:r>
        <w:rPr>
          <w:noProof/>
        </w:rPr>
        <w:t>Obiectivele acestei măsuri sunt de a spori reziliența teritoriilor vulnerabile la riscurile asociate schimbărilor climatice, în special incendiile rurale și pierderea biodiversității, și de a promova creșterea durabilă și coeziunea teritorială. Aceste obiective se realizează prin transformarea peisajului, creșterea dimensiunii medii a proprietății agricole, schimbarea destinației terenurilor și planificarea de noi activități economice.</w:t>
      </w:r>
    </w:p>
    <w:p w14:paraId="6C20CEB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următoarele programe: </w:t>
      </w:r>
    </w:p>
    <w:p w14:paraId="41A7E521" w14:textId="77777777" w:rsidR="00A15990" w:rsidRDefault="00686A62">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programele de planificare și gestionare a peisajului (PRGP), care proiectează peisajul dorit și definesc o matrice de tranziție pe termen mediu și lung, sprijinită de un model de finanțare care asigură punerea sa în aplicare; </w:t>
      </w:r>
    </w:p>
    <w:p w14:paraId="2E501077" w14:textId="077FC262" w:rsidR="00A15990" w:rsidRDefault="00686A62">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zonele de gestionare integrată a peisajului (AIGP), care măresc dimensiunea zonei forestiere gestionate, creează discontinuități în zonele extinse de monocultere de pin maritim și eucalipt și prevăd înlocuirea zonelor cu eucalipt cu alte specii, în special specii indigene, pentru a atinge o scară care să promoveze rezistența la incendii și valorificarea capitalului natural și să creeze condițiile necesare pentru dezvoltarea operațiunilor de gestionare integrată a peisajului (OIGP) care definesc programarea intervențiilor, modelul operațional, resursele financiare care urmează să fie alocate și sistemul de gestionare și monitorizare; </w:t>
      </w:r>
    </w:p>
    <w:p w14:paraId="6E47BE1A" w14:textId="77777777" w:rsidR="00A15990" w:rsidRDefault="00686A62">
      <w:pPr>
        <w:pStyle w:val="P68B1DB1-Normal4"/>
        <w:keepNext/>
        <w:numPr>
          <w:ilvl w:val="0"/>
          <w:numId w:val="36"/>
        </w:numPr>
        <w:spacing w:before="40" w:after="160" w:line="259" w:lineRule="auto"/>
        <w:contextualSpacing/>
        <w:jc w:val="both"/>
        <w:rPr>
          <w:rFonts w:eastAsiaTheme="minorEastAsia" w:cs="Times New Roman"/>
          <w:noProof/>
        </w:rPr>
      </w:pPr>
      <w:r>
        <w:rPr>
          <w:noProof/>
        </w:rPr>
        <w:t>programul integrat de sprijin pentru satele rurale situate în teritoriile forestiere, care sprijină un set de acțiuni menite să asigure schimbarea destinației și ocupării terenurilor și gestionarea combustibilului în jurul satelor rurale; și</w:t>
      </w:r>
    </w:p>
    <w:p w14:paraId="5154E281" w14:textId="7B63E210" w:rsidR="00A15990" w:rsidRDefault="00686A62">
      <w:pPr>
        <w:pStyle w:val="P68B1DB1-Normal4"/>
        <w:keepNext/>
        <w:numPr>
          <w:ilvl w:val="0"/>
          <w:numId w:val="36"/>
        </w:numPr>
        <w:spacing w:before="40" w:after="160" w:line="259" w:lineRule="auto"/>
        <w:contextualSpacing/>
        <w:jc w:val="both"/>
        <w:rPr>
          <w:rFonts w:eastAsiaTheme="minorEastAsia" w:cs="Times New Roman"/>
          <w:noProof/>
        </w:rPr>
      </w:pPr>
      <w:r>
        <w:rPr>
          <w:noProof/>
        </w:rPr>
        <w:t xml:space="preserve">programul </w:t>
      </w:r>
      <w:r>
        <w:rPr>
          <w:i/>
          <w:noProof/>
        </w:rPr>
        <w:t>Emparcelar para Ordenar</w:t>
      </w:r>
      <w:r>
        <w:rPr>
          <w:noProof/>
        </w:rPr>
        <w:t>, care va crește dimensiunea medie a proprietăților rurale și, astfel, va contribui la viabilitatea și sustenabilitatea economică a fermelor care sunt instalate sau care urmează să fie instalate acolo.</w:t>
      </w:r>
    </w:p>
    <w:p w14:paraId="408260D4"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30 septembrie 2025. </w:t>
      </w:r>
    </w:p>
    <w:p w14:paraId="64C9896B"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RE-C08-i02: Registrul proprietăților rurale și sistemul de monitorizare a acoperirii terenurilor</w:t>
      </w:r>
    </w:p>
    <w:p w14:paraId="22A9B6FF" w14:textId="7BE73418" w:rsidR="00A15990" w:rsidRDefault="00686A62">
      <w:pPr>
        <w:pStyle w:val="P68B1DB1-Normal4"/>
        <w:keepNext/>
        <w:spacing w:before="40" w:after="0" w:line="259" w:lineRule="auto"/>
        <w:jc w:val="both"/>
        <w:rPr>
          <w:rFonts w:eastAsiaTheme="minorEastAsia" w:cs="Times New Roman"/>
          <w:noProof/>
        </w:rPr>
      </w:pPr>
      <w:r>
        <w:rPr>
          <w:noProof/>
        </w:rPr>
        <w:t>Obiectivul acestei măsuri este de a pune la dispoziția statului portughez o bază de cunoștințe</w:t>
      </w:r>
      <w:r w:rsidR="00852019">
        <w:rPr>
          <w:noProof/>
        </w:rPr>
        <w:t xml:space="preserve"> </w:t>
      </w:r>
      <w:r>
        <w:rPr>
          <w:noProof/>
          <w:bdr w:val="none" w:sz="0" w:space="0" w:color="auto" w:frame="1"/>
        </w:rPr>
        <w:t xml:space="preserve">rutiere a teritoriului, în special în ceea ce privește tipul și limitele proprietăților rurale, făcând posibilă identificarea proprietarilor de terenuri. Acest lucru este esențial pentru planificarea, gestionarea și sprijinirea deciziilor privind ocuparea și utilizarea teritoriului. </w:t>
      </w:r>
    </w:p>
    <w:p w14:paraId="63DE2868" w14:textId="6BEEED40"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dezvoltarea platformei BUPi și realizarea de hărți de referință pentru sistemul de monitorizare a acoperirii terenurilor (SMOS), inclusiv o reprezentare digitală 3-D a terenurilor prin acoperirea cu detectare și fixare luminoasă (LiDAR), hărți ale vegetației, hărți privind volumul biomasei și al lemnului, hărți privind acoperirea și utilizarea terenurilor și acoperirea imaginilor prin satelit. Aceste măsuri se completează reciproc și permit operaționalizarea deplină a platformei BUPi, asigurând în același timp interoperabilitatea tuturor diferitelor sisteme de informații existente legate de geometria cadastrală, registrul cadastral și matricele fiscale gestionate în prezent de diferite autorități, inclusiv de Autoritatea Tributară și Vamală, de Institutul de Înregistrare și Notare și de Direcția Generală Teritorie. Cetățenii, întreprinderile și toate autoritățile publice obțin un număr unic de identificare (PIN) pentru proprietățile lor, inclusiv informații privind limitele și caracteristicile acestora. Pentru a asigura punerea în aplicare cu succes a măsurilor menționate anterior, investiția va include, de asemenea, activități de formare pentru personalul tehnic autorizat al municipalităților, al grefierilor și al agenților administrației fiscale. </w:t>
      </w:r>
    </w:p>
    <w:p w14:paraId="5CC0FA77"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martie 2025. </w:t>
      </w:r>
    </w:p>
    <w:p w14:paraId="72559B84"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RE-C08-i03: Întreruperile de gestionare a combustibilului – rețeaua primară</w:t>
      </w:r>
    </w:p>
    <w:p w14:paraId="593C138F"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crea discontinuități orizontale în peisaj prin intermediul unei rețele primare de întreruperi în gestionarea combustibilului (RPFGC). Această rețea izolează focarele de incendiu, protejează căile de comunicare, infrastructurile și echipamentele sociale, reduce suprafața medie distrusă de incendii prin compartimentarea peisajului, facilitează acțiunile de stingere a incendiilor și asigură siguranța pompierilor prin crearea unor rute de evacuare. </w:t>
      </w:r>
    </w:p>
    <w:p w14:paraId="70C7317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include următoarele măsuri: </w:t>
      </w:r>
    </w:p>
    <w:p w14:paraId="24C24867" w14:textId="045052BF" w:rsidR="00A15990" w:rsidRDefault="00686A62">
      <w:pPr>
        <w:pStyle w:val="P68B1DB1-Normal4"/>
        <w:keepNext/>
        <w:numPr>
          <w:ilvl w:val="0"/>
          <w:numId w:val="37"/>
        </w:numPr>
        <w:spacing w:before="40" w:after="160" w:line="259" w:lineRule="auto"/>
        <w:contextualSpacing/>
        <w:jc w:val="both"/>
        <w:rPr>
          <w:rFonts w:eastAsiaTheme="minorEastAsia" w:cs="Times New Roman"/>
          <w:noProof/>
        </w:rPr>
      </w:pPr>
      <w:r>
        <w:rPr>
          <w:noProof/>
        </w:rPr>
        <w:t>cartografierea și evaluarea utilizării terenurilor incluse în rețeaua principală de structurare a întreruperilor de gestionare a combustibilului;</w:t>
      </w:r>
    </w:p>
    <w:p w14:paraId="7E5F956F" w14:textId="1DA906D0" w:rsidR="00A15990" w:rsidRDefault="00686A62">
      <w:pPr>
        <w:pStyle w:val="P68B1DB1-Normal4"/>
        <w:keepNext/>
        <w:numPr>
          <w:ilvl w:val="0"/>
          <w:numId w:val="37"/>
        </w:numPr>
        <w:spacing w:before="40" w:after="160" w:line="259" w:lineRule="auto"/>
        <w:contextualSpacing/>
        <w:jc w:val="both"/>
        <w:rPr>
          <w:rFonts w:eastAsiaTheme="minorEastAsia" w:cs="Times New Roman"/>
          <w:noProof/>
        </w:rPr>
      </w:pPr>
      <w:r>
        <w:rPr>
          <w:noProof/>
        </w:rPr>
        <w:t>identificarea proprietarilor, evaluarea și calcularea nivelului compensației și a altor elemente care conduc la declararea notificării de utilitate publică către proprietarii de terenuri, încheierea de acorduri și plata compensațiilor aferente</w:t>
      </w:r>
    </w:p>
    <w:p w14:paraId="25DDFC97" w14:textId="481096AD" w:rsidR="00A15990" w:rsidRDefault="00686A62">
      <w:pPr>
        <w:pStyle w:val="P68B1DB1-Normal4"/>
        <w:keepNext/>
        <w:numPr>
          <w:ilvl w:val="0"/>
          <w:numId w:val="37"/>
        </w:numPr>
        <w:spacing w:before="40" w:after="160" w:line="259" w:lineRule="auto"/>
        <w:contextualSpacing/>
        <w:jc w:val="both"/>
        <w:rPr>
          <w:rFonts w:eastAsiaTheme="minorEastAsia" w:cs="Times New Roman"/>
          <w:noProof/>
        </w:rPr>
      </w:pPr>
      <w:r>
        <w:rPr>
          <w:noProof/>
        </w:rPr>
        <w:t>includerea în platforma BUPi a reprezentării grafice georeferențiate a terenurilor rurale incluse în crearea zonei de servitute pentru a permite procedurile speciale ulterioare de înregistrare; și</w:t>
      </w:r>
    </w:p>
    <w:p w14:paraId="502FE4AD" w14:textId="77777777" w:rsidR="00A15990" w:rsidRDefault="00686A62">
      <w:pPr>
        <w:pStyle w:val="P68B1DB1-Normal4"/>
        <w:keepNext/>
        <w:numPr>
          <w:ilvl w:val="0"/>
          <w:numId w:val="37"/>
        </w:numPr>
        <w:spacing w:before="40" w:after="160" w:line="259" w:lineRule="auto"/>
        <w:contextualSpacing/>
        <w:jc w:val="both"/>
        <w:rPr>
          <w:rFonts w:eastAsiaTheme="minorEastAsia" w:cs="Times New Roman"/>
          <w:noProof/>
        </w:rPr>
      </w:pPr>
      <w:r>
        <w:rPr>
          <w:noProof/>
        </w:rPr>
        <w:t>implementarea rețelei primare de întreruperi ale gestionării combustibilului la nivel național.</w:t>
      </w:r>
    </w:p>
    <w:p w14:paraId="5864A70C" w14:textId="76764FD1" w:rsidR="00A15990" w:rsidRDefault="00A15990">
      <w:pPr>
        <w:keepNext/>
        <w:spacing w:before="40" w:after="0" w:line="259" w:lineRule="auto"/>
        <w:jc w:val="both"/>
        <w:rPr>
          <w:rFonts w:ascii="Times New Roman" w:eastAsiaTheme="minorEastAsia" w:hAnsi="Times New Roman" w:cs="Times New Roman"/>
          <w:noProof/>
          <w:sz w:val="24"/>
        </w:rPr>
      </w:pPr>
    </w:p>
    <w:p w14:paraId="28696E4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6FB83105"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RE-C08-i04: Mijloace de prevenire și combatere a incendiilor în mediul rural</w:t>
      </w:r>
    </w:p>
    <w:p w14:paraId="083D727F" w14:textId="5A761AE0"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măsuri este de a consolida entitățile de stat implicate în prevenirea și combaterea incendiilor rurale. Mai precis, această măsură va mobiliza capacitatea, în ceea ce privește infrastructura și echipamentele, a Forțelor Aeriene Portugheze și a Institutului pentru Natură și Conservarea Pădurilor (ICNF), pentru a spori eficacitatea și eficiența acestora în prevenirea și combaterea incendiilor rurale. În plus, această măsură va îmbunătăți evaluarea riscurilor prin standardizarea și actualizarea rețelei radar a Institutului portughez al mării și a atmosferei (IPMA). </w:t>
      </w:r>
    </w:p>
    <w:p w14:paraId="385E3858" w14:textId="14B08B85"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achiziționarea a două elicoptere ușoare și medii de pompieri, construirea de clădiri noi și renovarea clădirilor existente (centrul operațional și hangarele de întreținere), achiziționarea de vehicule, mașini și echipamente necesare pentru intervenția operațională în caz de stingere a incendiilor, cum ar fi echipamentele individuale de protecție, vehiculele de stingere a incendiilor, buldozere și tractoare, precum și standardizarea și modernizarea rețelei radar meteorologic. </w:t>
      </w:r>
    </w:p>
    <w:p w14:paraId="11A46961"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această măsură nu prejudiciază în mod semnificativ obiectivele de mediu în sensul articolul 17 din Regulamentul (UE) 2020/852, ținând seama de descrierea măsurii și de etapele de atenuare prevăzute în planul de redresare și reziliență în conformitate cu Orientările tehnice DNSH (2021/C58/01). În special, pentru a asigura conformitatea cu Orientările tehnice privind principiul de „a nu aduce prejudicii semnificative” (2021/C58/01), vehiculele, mașinile și echipamentele care urmează să fie achiziționate trebuie să aibă emisii zero. În cazul în care nu există alternative cu emisii zero, vehiculele, utilajele și echipamentele care urmează să fie achiziționate reprezintă cele mai bune niveluri de performanță de mediu disponibile în acest sector.</w:t>
      </w:r>
    </w:p>
    <w:p w14:paraId="6B6B66CF"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1253F25C"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RE-C08-i05: Programul „Mai multă pădure”</w:t>
      </w:r>
    </w:p>
    <w:p w14:paraId="39858146" w14:textId="591325CE" w:rsidR="00A15990" w:rsidRDefault="00686A62">
      <w:pPr>
        <w:pStyle w:val="P68B1DB1-Normal4"/>
        <w:keepNext/>
        <w:spacing w:before="40" w:after="0" w:line="259" w:lineRule="auto"/>
        <w:jc w:val="both"/>
        <w:rPr>
          <w:rFonts w:eastAsiaTheme="minorEastAsia" w:cs="Times New Roman"/>
          <w:noProof/>
        </w:rPr>
      </w:pPr>
      <w:r>
        <w:rPr>
          <w:noProof/>
        </w:rPr>
        <w:t xml:space="preserve">Obiectivul măsurii este de a moderniza sistemul de prevenire a incendiilor și de stingere a incendiilor, trecând de la modelul de combatere a incendiilor la modelul de prevenire și de a consolida acțiunile organizațiilor de producători forestieri (POP) și ale centrelor de competență din sectorul forestier, prin implicarea specialiștilor și îmbunătățirea calificărilor tehnice ale tuturor actorilor relevanți din aceste entități. </w:t>
      </w:r>
    </w:p>
    <w:p w14:paraId="51BD29B4" w14:textId="77777777" w:rsidR="00A15990" w:rsidRDefault="00686A62">
      <w:pPr>
        <w:pStyle w:val="P68B1DB1-Normal4"/>
        <w:keepNext/>
        <w:spacing w:before="40" w:after="0" w:line="259" w:lineRule="auto"/>
        <w:jc w:val="both"/>
        <w:rPr>
          <w:rFonts w:eastAsiaTheme="minorEastAsia" w:cs="Times New Roman"/>
          <w:noProof/>
        </w:rPr>
      </w:pPr>
      <w:r>
        <w:rPr>
          <w:noProof/>
        </w:rPr>
        <w:t>Această investiție constă în următoarele măsuri:</w:t>
      </w:r>
    </w:p>
    <w:p w14:paraId="60F5BEF9" w14:textId="77777777" w:rsidR="00A15990" w:rsidRDefault="00686A62">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extinderea programelor „Sate sigure” și „Persoane sigure” care vizează promovarea acțiunilor de sensibilizare pentru prevenirea comportamentelor riscante ale populației, măsuri de autoprotecție și simulări ale planurilor de evacuare, în colaborare cu autoritățile locale; </w:t>
      </w:r>
    </w:p>
    <w:p w14:paraId="4EAC3577" w14:textId="313E43B8" w:rsidR="00A15990" w:rsidRDefault="00686A62">
      <w:pPr>
        <w:pStyle w:val="P68B1DB1-Normal4"/>
        <w:keepNext/>
        <w:numPr>
          <w:ilvl w:val="0"/>
          <w:numId w:val="27"/>
        </w:numPr>
        <w:spacing w:before="40" w:after="160" w:line="259" w:lineRule="auto"/>
        <w:contextualSpacing/>
        <w:jc w:val="both"/>
        <w:rPr>
          <w:rFonts w:eastAsiaTheme="minorEastAsia" w:cs="Times New Roman"/>
          <w:noProof/>
        </w:rPr>
      </w:pPr>
      <w:r>
        <w:rPr>
          <w:noProof/>
        </w:rPr>
        <w:t>consolidarea capacității operaționale de răspuns a Autorității Naționale pentru Urgență și Protecție Civilă (ANEPC) și a Jandarmeriei Naționale (GNR) în lupta împotriva incendiilor rurale, în special prin achiziționarea de vehicule și echipamente individuale de protecție, renovarea infrastructurilor existente și crearea de noi structuri regionale și subregionale ANEPC;</w:t>
      </w:r>
    </w:p>
    <w:p w14:paraId="3F8BFC5C" w14:textId="77777777" w:rsidR="00A15990" w:rsidRDefault="00686A62">
      <w:pPr>
        <w:pStyle w:val="P68B1DB1-Normal4"/>
        <w:keepNext/>
        <w:numPr>
          <w:ilvl w:val="0"/>
          <w:numId w:val="27"/>
        </w:numPr>
        <w:spacing w:before="40" w:after="160" w:line="259" w:lineRule="auto"/>
        <w:contextualSpacing/>
        <w:jc w:val="both"/>
        <w:rPr>
          <w:rFonts w:eastAsiaTheme="minorEastAsia" w:cs="Times New Roman"/>
          <w:noProof/>
        </w:rPr>
      </w:pPr>
      <w:r>
        <w:rPr>
          <w:noProof/>
        </w:rPr>
        <w:t xml:space="preserve">asigurarea instruirii și calificării personalului operativ implicat în stingerea incendiilor și tehnicienilor POP; și </w:t>
      </w:r>
    </w:p>
    <w:p w14:paraId="785D1F00" w14:textId="6F05047A" w:rsidR="00A15990" w:rsidRDefault="00686A62">
      <w:pPr>
        <w:pStyle w:val="P68B1DB1-Normal4"/>
        <w:keepNext/>
        <w:numPr>
          <w:ilvl w:val="0"/>
          <w:numId w:val="27"/>
        </w:numPr>
        <w:spacing w:before="40" w:after="160" w:line="259" w:lineRule="auto"/>
        <w:contextualSpacing/>
        <w:jc w:val="both"/>
        <w:rPr>
          <w:rFonts w:eastAsiaTheme="minorEastAsia" w:cs="Times New Roman"/>
          <w:noProof/>
        </w:rPr>
      </w:pPr>
      <w:r>
        <w:rPr>
          <w:noProof/>
        </w:rPr>
        <w:t>consolidarea organizațiilor de proprietari de păduri și a centrelor de competență în zonele care sunt esențiale pentru durabilitatea resurselor forestiere.</w:t>
      </w:r>
    </w:p>
    <w:p w14:paraId="277B2B14" w14:textId="06CF270D"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469B9600" w14:textId="77777777" w:rsidR="00A15990" w:rsidRDefault="00686A62">
      <w:pPr>
        <w:pStyle w:val="P68B1DB1-Normal4"/>
        <w:keepNext/>
        <w:spacing w:before="40" w:after="0" w:line="259" w:lineRule="auto"/>
        <w:jc w:val="both"/>
        <w:rPr>
          <w:rFonts w:eastAsiaTheme="minorEastAsia" w:cs="Times New Roman"/>
          <w:noProof/>
        </w:rPr>
        <w:sectPr w:rsidR="00A15990" w:rsidSect="00E00EDD">
          <w:headerReference w:type="even" r:id="rId168"/>
          <w:headerReference w:type="default" r:id="rId169"/>
          <w:footerReference w:type="even" r:id="rId170"/>
          <w:footerReference w:type="default" r:id="rId171"/>
          <w:headerReference w:type="first" r:id="rId172"/>
          <w:footerReference w:type="first" r:id="rId173"/>
          <w:pgSz w:w="11907" w:h="16839"/>
          <w:pgMar w:top="1134" w:right="1134" w:bottom="1134" w:left="1134" w:header="567" w:footer="567" w:gutter="0"/>
          <w:cols w:space="720"/>
          <w:docGrid w:linePitch="360"/>
        </w:sectPr>
      </w:pPr>
      <w:r>
        <w:rPr>
          <w:noProof/>
        </w:rPr>
        <w:t xml:space="preserve"> </w:t>
      </w:r>
    </w:p>
    <w:p w14:paraId="6A15D49E"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H.2. Obiective de etapă, ținte, indicatori și calendar pentru monitorizarea și punerea în aplicare a sprijinului financiar nerambursabil</w:t>
      </w:r>
    </w:p>
    <w:p w14:paraId="628AB07A"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45"/>
        <w:gridCol w:w="1107"/>
        <w:gridCol w:w="1658"/>
        <w:gridCol w:w="1244"/>
        <w:gridCol w:w="971"/>
        <w:gridCol w:w="970"/>
        <w:gridCol w:w="603"/>
        <w:gridCol w:w="649"/>
        <w:gridCol w:w="694"/>
        <w:gridCol w:w="4204"/>
      </w:tblGrid>
      <w:tr w:rsidR="00A15990" w14:paraId="23FD5241" w14:textId="77777777">
        <w:trPr>
          <w:trHeight w:val="910"/>
          <w:tblHeader/>
          <w:jc w:val="center"/>
        </w:trPr>
        <w:tc>
          <w:tcPr>
            <w:tcW w:w="1114" w:type="dxa"/>
            <w:vMerge w:val="restart"/>
            <w:shd w:val="clear" w:color="auto" w:fill="BDD6EE"/>
            <w:vAlign w:val="center"/>
            <w:hideMark/>
          </w:tcPr>
          <w:p w14:paraId="7DA1148E"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45" w:type="dxa"/>
            <w:vMerge w:val="restart"/>
            <w:shd w:val="clear" w:color="auto" w:fill="BDD6EE"/>
            <w:vAlign w:val="center"/>
            <w:hideMark/>
          </w:tcPr>
          <w:p w14:paraId="279E7C6E"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07" w:type="dxa"/>
            <w:vMerge w:val="restart"/>
            <w:shd w:val="clear" w:color="auto" w:fill="BDD6EE"/>
            <w:vAlign w:val="center"/>
            <w:hideMark/>
          </w:tcPr>
          <w:p w14:paraId="061850B8" w14:textId="30FEC1EC" w:rsidR="00A15990" w:rsidRPr="008D37D6" w:rsidRDefault="008D37D6">
            <w:pPr>
              <w:pStyle w:val="P68B1DB1-Normal6"/>
              <w:spacing w:after="0" w:line="240" w:lineRule="auto"/>
              <w:jc w:val="center"/>
              <w:rPr>
                <w:rFonts w:eastAsia="Times New Roman" w:cs="Times New Roman"/>
                <w:noProof/>
                <w:sz w:val="14"/>
                <w:lang w:val="ro-RO"/>
              </w:rPr>
            </w:pPr>
            <w:r>
              <w:rPr>
                <w:noProof/>
              </w:rPr>
              <w:t>Jalon</w:t>
            </w:r>
            <w:r w:rsidR="00686A62">
              <w:rPr>
                <w:noProof/>
              </w:rPr>
              <w:t>/</w:t>
            </w:r>
            <w:r>
              <w:rPr>
                <w:noProof/>
                <w:lang w:val="ro-RO"/>
              </w:rPr>
              <w:t>Țintă</w:t>
            </w:r>
          </w:p>
        </w:tc>
        <w:tc>
          <w:tcPr>
            <w:tcW w:w="1658" w:type="dxa"/>
            <w:vMerge w:val="restart"/>
            <w:shd w:val="clear" w:color="auto" w:fill="BDD6EE"/>
            <w:vAlign w:val="center"/>
            <w:hideMark/>
          </w:tcPr>
          <w:p w14:paraId="6DDD64A1"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44" w:type="dxa"/>
            <w:vMerge w:val="restart"/>
            <w:shd w:val="clear" w:color="auto" w:fill="BDD6EE"/>
            <w:vAlign w:val="center"/>
            <w:hideMark/>
          </w:tcPr>
          <w:p w14:paraId="616A60C2"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544" w:type="dxa"/>
            <w:gridSpan w:val="3"/>
            <w:shd w:val="clear" w:color="auto" w:fill="BDD6EE"/>
            <w:vAlign w:val="center"/>
            <w:hideMark/>
          </w:tcPr>
          <w:p w14:paraId="490EDE73"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343" w:type="dxa"/>
            <w:gridSpan w:val="2"/>
            <w:shd w:val="clear" w:color="auto" w:fill="BDD6EE"/>
            <w:vAlign w:val="center"/>
            <w:hideMark/>
          </w:tcPr>
          <w:p w14:paraId="5A78B1CD"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204" w:type="dxa"/>
            <w:vMerge w:val="restart"/>
            <w:shd w:val="clear" w:color="auto" w:fill="BDD6EE"/>
            <w:vAlign w:val="center"/>
            <w:hideMark/>
          </w:tcPr>
          <w:p w14:paraId="6349DF03"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2A0BDCBA" w14:textId="77777777">
        <w:trPr>
          <w:trHeight w:val="470"/>
          <w:tblHeader/>
          <w:jc w:val="center"/>
        </w:trPr>
        <w:tc>
          <w:tcPr>
            <w:tcW w:w="1114" w:type="dxa"/>
            <w:vMerge/>
            <w:vAlign w:val="center"/>
            <w:hideMark/>
          </w:tcPr>
          <w:p w14:paraId="48494B20" w14:textId="77777777" w:rsidR="00A15990" w:rsidRDefault="00A15990">
            <w:pPr>
              <w:spacing w:after="0" w:line="240" w:lineRule="auto"/>
              <w:rPr>
                <w:rFonts w:ascii="Times New Roman" w:eastAsia="Times New Roman" w:hAnsi="Times New Roman" w:cs="Times New Roman"/>
                <w:b/>
                <w:noProof/>
                <w:sz w:val="18"/>
              </w:rPr>
            </w:pPr>
          </w:p>
        </w:tc>
        <w:tc>
          <w:tcPr>
            <w:tcW w:w="1245" w:type="dxa"/>
            <w:vMerge/>
            <w:vAlign w:val="center"/>
            <w:hideMark/>
          </w:tcPr>
          <w:p w14:paraId="3ED3D75A" w14:textId="77777777" w:rsidR="00A15990" w:rsidRDefault="00A15990">
            <w:pPr>
              <w:spacing w:after="0" w:line="240" w:lineRule="auto"/>
              <w:rPr>
                <w:rFonts w:ascii="Times New Roman" w:eastAsia="Times New Roman" w:hAnsi="Times New Roman" w:cs="Times New Roman"/>
                <w:b/>
                <w:noProof/>
                <w:sz w:val="18"/>
              </w:rPr>
            </w:pPr>
          </w:p>
        </w:tc>
        <w:tc>
          <w:tcPr>
            <w:tcW w:w="1107" w:type="dxa"/>
            <w:vMerge/>
            <w:vAlign w:val="center"/>
            <w:hideMark/>
          </w:tcPr>
          <w:p w14:paraId="5FF97188" w14:textId="3E0237B4" w:rsidR="00A15990" w:rsidRDefault="00A15990">
            <w:pPr>
              <w:spacing w:after="0" w:line="240" w:lineRule="auto"/>
              <w:jc w:val="center"/>
              <w:rPr>
                <w:rFonts w:ascii="Times New Roman" w:eastAsia="Times New Roman" w:hAnsi="Times New Roman" w:cs="Times New Roman"/>
                <w:b/>
                <w:noProof/>
                <w:sz w:val="14"/>
              </w:rPr>
            </w:pPr>
          </w:p>
        </w:tc>
        <w:tc>
          <w:tcPr>
            <w:tcW w:w="1658" w:type="dxa"/>
            <w:vMerge/>
            <w:vAlign w:val="center"/>
            <w:hideMark/>
          </w:tcPr>
          <w:p w14:paraId="7F856670" w14:textId="77777777" w:rsidR="00A15990" w:rsidRDefault="00A15990">
            <w:pPr>
              <w:spacing w:after="0" w:line="240" w:lineRule="auto"/>
              <w:rPr>
                <w:rFonts w:ascii="Times New Roman" w:eastAsia="Times New Roman" w:hAnsi="Times New Roman" w:cs="Times New Roman"/>
                <w:b/>
                <w:noProof/>
                <w:sz w:val="18"/>
              </w:rPr>
            </w:pPr>
          </w:p>
        </w:tc>
        <w:tc>
          <w:tcPr>
            <w:tcW w:w="1244" w:type="dxa"/>
            <w:vMerge/>
            <w:vAlign w:val="center"/>
            <w:hideMark/>
          </w:tcPr>
          <w:p w14:paraId="3BB7D671" w14:textId="77777777" w:rsidR="00A15990" w:rsidRDefault="00A15990">
            <w:pPr>
              <w:spacing w:after="0" w:line="240" w:lineRule="auto"/>
              <w:rPr>
                <w:rFonts w:ascii="Times New Roman" w:eastAsia="Times New Roman" w:hAnsi="Times New Roman" w:cs="Times New Roman"/>
                <w:b/>
                <w:noProof/>
                <w:sz w:val="18"/>
              </w:rPr>
            </w:pPr>
          </w:p>
        </w:tc>
        <w:tc>
          <w:tcPr>
            <w:tcW w:w="971" w:type="dxa"/>
            <w:shd w:val="clear" w:color="auto" w:fill="BDD6EE"/>
            <w:vAlign w:val="center"/>
            <w:hideMark/>
          </w:tcPr>
          <w:p w14:paraId="16AA7B5B"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70" w:type="dxa"/>
            <w:shd w:val="clear" w:color="auto" w:fill="BDD6EE"/>
            <w:vAlign w:val="center"/>
            <w:hideMark/>
          </w:tcPr>
          <w:p w14:paraId="254AFE6B"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603" w:type="dxa"/>
            <w:shd w:val="clear" w:color="auto" w:fill="BDD6EE"/>
            <w:vAlign w:val="center"/>
            <w:hideMark/>
          </w:tcPr>
          <w:p w14:paraId="490F16BA"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649" w:type="dxa"/>
            <w:shd w:val="clear" w:color="auto" w:fill="BDD6EE"/>
            <w:vAlign w:val="center"/>
            <w:hideMark/>
          </w:tcPr>
          <w:p w14:paraId="62E7BED3" w14:textId="77777777" w:rsidR="00A15990" w:rsidRDefault="00686A62">
            <w:pPr>
              <w:pStyle w:val="P68B1DB1-Normal6"/>
              <w:spacing w:after="0" w:line="240" w:lineRule="auto"/>
              <w:jc w:val="center"/>
              <w:rPr>
                <w:rFonts w:eastAsia="Times New Roman" w:cs="Times New Roman"/>
                <w:noProof/>
              </w:rPr>
            </w:pPr>
            <w:r>
              <w:rPr>
                <w:noProof/>
              </w:rPr>
              <w:t>Q</w:t>
            </w:r>
          </w:p>
        </w:tc>
        <w:tc>
          <w:tcPr>
            <w:tcW w:w="694" w:type="dxa"/>
            <w:shd w:val="clear" w:color="auto" w:fill="BDD6EE"/>
            <w:vAlign w:val="center"/>
            <w:hideMark/>
          </w:tcPr>
          <w:p w14:paraId="6F909C03" w14:textId="77777777" w:rsidR="00A15990" w:rsidRDefault="00686A62">
            <w:pPr>
              <w:pStyle w:val="P68B1DB1-Normal6"/>
              <w:spacing w:after="0" w:line="240" w:lineRule="auto"/>
              <w:jc w:val="center"/>
              <w:rPr>
                <w:rFonts w:eastAsia="Times New Roman" w:cs="Times New Roman"/>
                <w:noProof/>
              </w:rPr>
            </w:pPr>
            <w:r>
              <w:rPr>
                <w:noProof/>
              </w:rPr>
              <w:t>Anul</w:t>
            </w:r>
          </w:p>
        </w:tc>
        <w:tc>
          <w:tcPr>
            <w:tcW w:w="4204" w:type="dxa"/>
            <w:vMerge/>
            <w:vAlign w:val="center"/>
            <w:hideMark/>
          </w:tcPr>
          <w:p w14:paraId="19BE067E" w14:textId="77777777" w:rsidR="00A15990" w:rsidRDefault="00A15990">
            <w:pPr>
              <w:spacing w:after="0" w:line="240" w:lineRule="auto"/>
              <w:rPr>
                <w:rFonts w:ascii="Times New Roman" w:eastAsia="Times New Roman" w:hAnsi="Times New Roman" w:cs="Times New Roman"/>
                <w:b/>
                <w:noProof/>
                <w:sz w:val="18"/>
              </w:rPr>
            </w:pPr>
          </w:p>
        </w:tc>
      </w:tr>
      <w:tr w:rsidR="00A15990" w14:paraId="6DA303CE" w14:textId="77777777">
        <w:trPr>
          <w:trHeight w:val="640"/>
          <w:jc w:val="center"/>
        </w:trPr>
        <w:tc>
          <w:tcPr>
            <w:tcW w:w="1114" w:type="dxa"/>
            <w:shd w:val="clear" w:color="auto" w:fill="C4EFCE"/>
            <w:vAlign w:val="center"/>
            <w:hideMark/>
          </w:tcPr>
          <w:p w14:paraId="241F93F4" w14:textId="77777777" w:rsidR="00A15990" w:rsidRDefault="00686A62">
            <w:pPr>
              <w:pStyle w:val="P68B1DB1-Normal7"/>
              <w:spacing w:after="0" w:line="240" w:lineRule="auto"/>
              <w:jc w:val="center"/>
              <w:rPr>
                <w:rFonts w:eastAsia="Times New Roman" w:cs="Calibri"/>
                <w:noProof/>
              </w:rPr>
            </w:pPr>
            <w:r>
              <w:rPr>
                <w:noProof/>
              </w:rPr>
              <w:t>8.1</w:t>
            </w:r>
          </w:p>
        </w:tc>
        <w:tc>
          <w:tcPr>
            <w:tcW w:w="1245" w:type="dxa"/>
            <w:shd w:val="clear" w:color="auto" w:fill="C4EFCE"/>
            <w:noWrap/>
            <w:vAlign w:val="center"/>
            <w:hideMark/>
          </w:tcPr>
          <w:p w14:paraId="6A7BBCF2" w14:textId="77777777" w:rsidR="00A15990" w:rsidRDefault="00686A62">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hideMark/>
          </w:tcPr>
          <w:p w14:paraId="280C90CB"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051B7F69" w14:textId="382A7EDD" w:rsidR="00A15990" w:rsidRDefault="00686A62">
            <w:pPr>
              <w:pStyle w:val="P68B1DB1-Normal8"/>
              <w:spacing w:after="0" w:line="240" w:lineRule="auto"/>
              <w:jc w:val="center"/>
              <w:rPr>
                <w:rFonts w:eastAsia="Times New Roman" w:cs="Calibri"/>
                <w:noProof/>
              </w:rPr>
            </w:pPr>
            <w:r>
              <w:rPr>
                <w:noProof/>
              </w:rPr>
              <w:t>Dezvoltarea programelor de planificare și gestionare a peisajelor (PRGP) în teritoriile definite ca fiind vulnerabile.</w:t>
            </w:r>
          </w:p>
        </w:tc>
        <w:tc>
          <w:tcPr>
            <w:tcW w:w="1244" w:type="dxa"/>
            <w:shd w:val="clear" w:color="auto" w:fill="C4EFCE"/>
            <w:noWrap/>
            <w:vAlign w:val="center"/>
            <w:hideMark/>
          </w:tcPr>
          <w:p w14:paraId="0AF39373"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D6C4E03" w14:textId="77777777" w:rsidR="00A15990" w:rsidRDefault="00686A62">
            <w:pPr>
              <w:pStyle w:val="P68B1DB1-Normal8"/>
              <w:spacing w:after="0" w:line="240" w:lineRule="auto"/>
              <w:jc w:val="center"/>
              <w:rPr>
                <w:rFonts w:eastAsia="Times New Roman" w:cs="Calibri"/>
                <w:noProof/>
              </w:rPr>
            </w:pPr>
            <w:r>
              <w:rPr>
                <w:noProof/>
              </w:rPr>
              <w:t xml:space="preserve"> Numărul</w:t>
            </w:r>
          </w:p>
        </w:tc>
        <w:tc>
          <w:tcPr>
            <w:tcW w:w="970" w:type="dxa"/>
            <w:shd w:val="clear" w:color="auto" w:fill="C4EFCE"/>
            <w:noWrap/>
            <w:vAlign w:val="center"/>
            <w:hideMark/>
          </w:tcPr>
          <w:p w14:paraId="7EF99B82"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8CFC2F0" w14:textId="77777777" w:rsidR="00A15990" w:rsidRDefault="00686A62">
            <w:pPr>
              <w:pStyle w:val="P68B1DB1-Normal8"/>
              <w:spacing w:after="0" w:line="240" w:lineRule="auto"/>
              <w:jc w:val="center"/>
              <w:rPr>
                <w:rFonts w:eastAsia="Times New Roman" w:cs="Calibri"/>
                <w:noProof/>
              </w:rPr>
            </w:pPr>
            <w:r>
              <w:rPr>
                <w:noProof/>
              </w:rPr>
              <w:t>20</w:t>
            </w:r>
          </w:p>
        </w:tc>
        <w:tc>
          <w:tcPr>
            <w:tcW w:w="649" w:type="dxa"/>
            <w:shd w:val="clear" w:color="auto" w:fill="C4EFCE"/>
            <w:noWrap/>
            <w:vAlign w:val="center"/>
            <w:hideMark/>
          </w:tcPr>
          <w:p w14:paraId="65763CA3"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noWrap/>
            <w:vAlign w:val="center"/>
            <w:hideMark/>
          </w:tcPr>
          <w:p w14:paraId="0401360D" w14:textId="77777777"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D83355D" w14:textId="03A571B2" w:rsidR="00A15990" w:rsidRDefault="00686A62">
            <w:pPr>
              <w:pStyle w:val="P68B1DB1-Normal8"/>
              <w:spacing w:after="0" w:line="240" w:lineRule="auto"/>
              <w:rPr>
                <w:rFonts w:eastAsia="Times New Roman" w:cs="Calibri"/>
                <w:noProof/>
              </w:rPr>
            </w:pPr>
            <w:r>
              <w:rPr>
                <w:noProof/>
              </w:rPr>
              <w:t>Aprobarea de către guvern a programelor de planificare și gestionare a peisajelor (PRGP) pentru 20 zone omogene vulnerabile sau afectate de incendii majore, ținând seama de Carta unităților peisagistice din Portugalia continentală și de modelul teritorial al Programului național pentru politica de amenajare a teritoriului.</w:t>
            </w:r>
          </w:p>
        </w:tc>
      </w:tr>
      <w:tr w:rsidR="00A15990" w14:paraId="08B19252" w14:textId="77777777">
        <w:trPr>
          <w:trHeight w:val="640"/>
          <w:jc w:val="center"/>
        </w:trPr>
        <w:tc>
          <w:tcPr>
            <w:tcW w:w="1114" w:type="dxa"/>
            <w:shd w:val="clear" w:color="auto" w:fill="C4EFCE"/>
            <w:vAlign w:val="center"/>
            <w:hideMark/>
          </w:tcPr>
          <w:p w14:paraId="21D5D991" w14:textId="77777777" w:rsidR="00A15990" w:rsidRDefault="00686A62">
            <w:pPr>
              <w:pStyle w:val="P68B1DB1-Normal7"/>
              <w:spacing w:after="0" w:line="240" w:lineRule="auto"/>
              <w:jc w:val="center"/>
              <w:rPr>
                <w:rFonts w:eastAsia="Times New Roman" w:cs="Calibri"/>
                <w:noProof/>
              </w:rPr>
            </w:pPr>
            <w:r>
              <w:rPr>
                <w:noProof/>
              </w:rPr>
              <w:t>8.2</w:t>
            </w:r>
          </w:p>
        </w:tc>
        <w:tc>
          <w:tcPr>
            <w:tcW w:w="1245" w:type="dxa"/>
            <w:shd w:val="clear" w:color="auto" w:fill="C4EFCE"/>
            <w:noWrap/>
            <w:vAlign w:val="center"/>
            <w:hideMark/>
          </w:tcPr>
          <w:p w14:paraId="24086087" w14:textId="77777777" w:rsidR="00A15990" w:rsidRDefault="00686A62">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hideMark/>
          </w:tcPr>
          <w:p w14:paraId="706BCE24"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2D036A2" w14:textId="77777777" w:rsidR="00A15990" w:rsidRDefault="00686A62">
            <w:pPr>
              <w:pStyle w:val="P68B1DB1-Normal8"/>
              <w:spacing w:after="0" w:line="240" w:lineRule="auto"/>
              <w:jc w:val="center"/>
              <w:rPr>
                <w:rFonts w:eastAsia="Times New Roman" w:cs="Calibri"/>
                <w:noProof/>
              </w:rPr>
            </w:pPr>
            <w:r>
              <w:rPr>
                <w:noProof/>
              </w:rPr>
              <w:t xml:space="preserve"> Publicarea operațiunilor de gestionare integrată a peisajului (OIGP) în Diário da Republica</w:t>
            </w:r>
          </w:p>
        </w:tc>
        <w:tc>
          <w:tcPr>
            <w:tcW w:w="1244" w:type="dxa"/>
            <w:shd w:val="clear" w:color="auto" w:fill="C4EFCE"/>
            <w:noWrap/>
            <w:vAlign w:val="center"/>
            <w:hideMark/>
          </w:tcPr>
          <w:p w14:paraId="38CCD2EC"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4C47B22" w14:textId="77777777" w:rsidR="00A15990" w:rsidRDefault="00686A62">
            <w:pPr>
              <w:pStyle w:val="P68B1DB1-Normal8"/>
              <w:spacing w:after="0" w:line="240" w:lineRule="auto"/>
              <w:jc w:val="center"/>
              <w:rPr>
                <w:rFonts w:eastAsia="Times New Roman" w:cs="Calibri"/>
                <w:noProof/>
              </w:rPr>
            </w:pPr>
            <w:r>
              <w:rPr>
                <w:noProof/>
              </w:rPr>
              <w:t xml:space="preserve">Numărul </w:t>
            </w:r>
          </w:p>
        </w:tc>
        <w:tc>
          <w:tcPr>
            <w:tcW w:w="970" w:type="dxa"/>
            <w:shd w:val="clear" w:color="auto" w:fill="C4EFCE"/>
            <w:noWrap/>
            <w:vAlign w:val="center"/>
            <w:hideMark/>
          </w:tcPr>
          <w:p w14:paraId="20B48133"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7CD3DB2" w14:textId="77777777" w:rsidR="00A15990" w:rsidRDefault="00686A62">
            <w:pPr>
              <w:pStyle w:val="P68B1DB1-Normal8"/>
              <w:spacing w:after="0" w:line="240" w:lineRule="auto"/>
              <w:jc w:val="center"/>
              <w:rPr>
                <w:rFonts w:eastAsia="Times New Roman" w:cs="Calibri"/>
                <w:noProof/>
              </w:rPr>
            </w:pPr>
            <w:r>
              <w:rPr>
                <w:noProof/>
              </w:rPr>
              <w:t>60</w:t>
            </w:r>
          </w:p>
        </w:tc>
        <w:tc>
          <w:tcPr>
            <w:tcW w:w="649" w:type="dxa"/>
            <w:shd w:val="clear" w:color="auto" w:fill="C4EFCE"/>
            <w:noWrap/>
            <w:vAlign w:val="center"/>
            <w:hideMark/>
          </w:tcPr>
          <w:p w14:paraId="27C4AA09"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noWrap/>
            <w:vAlign w:val="center"/>
            <w:hideMark/>
          </w:tcPr>
          <w:p w14:paraId="3EBBE2FA" w14:textId="77777777"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48FF6424" w14:textId="6CE9F794" w:rsidR="00A15990" w:rsidRDefault="00686A62">
            <w:pPr>
              <w:pStyle w:val="P68B1DB1-Normal8"/>
              <w:spacing w:after="0" w:line="240" w:lineRule="auto"/>
              <w:jc w:val="both"/>
              <w:rPr>
                <w:rFonts w:eastAsia="Times New Roman" w:cs="Calibri"/>
                <w:noProof/>
              </w:rPr>
            </w:pPr>
            <w:r>
              <w:rPr>
                <w:noProof/>
              </w:rPr>
              <w:t>Aprobarea și publicarea în Diário da Republica a 60 de operațiuni de gestionare integrată a peisajului (OIGP), care definesc programarea intervențiilor, modelul operațional, resursele financiare care urmează să fie alocate și sistemul de gestionare și monitorizare.</w:t>
            </w:r>
          </w:p>
        </w:tc>
      </w:tr>
      <w:tr w:rsidR="00A15990" w14:paraId="329EC401" w14:textId="77777777">
        <w:trPr>
          <w:trHeight w:val="640"/>
          <w:jc w:val="center"/>
        </w:trPr>
        <w:tc>
          <w:tcPr>
            <w:tcW w:w="1114" w:type="dxa"/>
            <w:shd w:val="clear" w:color="auto" w:fill="C4EFCE"/>
            <w:vAlign w:val="center"/>
          </w:tcPr>
          <w:p w14:paraId="53F8B0D6" w14:textId="3B182909" w:rsidR="00A15990" w:rsidRDefault="00686A62">
            <w:pPr>
              <w:pStyle w:val="P68B1DB1-Normal7"/>
              <w:spacing w:after="0" w:line="240" w:lineRule="auto"/>
              <w:jc w:val="center"/>
              <w:rPr>
                <w:rFonts w:eastAsia="Times New Roman" w:cs="Calibri"/>
                <w:noProof/>
              </w:rPr>
            </w:pPr>
            <w:r>
              <w:rPr>
                <w:noProof/>
              </w:rPr>
              <w:t>8.3</w:t>
            </w:r>
          </w:p>
        </w:tc>
        <w:tc>
          <w:tcPr>
            <w:tcW w:w="1245" w:type="dxa"/>
            <w:shd w:val="clear" w:color="auto" w:fill="C4EFCE"/>
            <w:noWrap/>
            <w:vAlign w:val="center"/>
          </w:tcPr>
          <w:p w14:paraId="06A4D24B" w14:textId="4C714727" w:rsidR="00A15990" w:rsidRDefault="00686A62">
            <w:pPr>
              <w:pStyle w:val="P68B1DB1-Normal8"/>
              <w:spacing w:after="0" w:line="240" w:lineRule="auto"/>
              <w:jc w:val="center"/>
              <w:rPr>
                <w:rFonts w:eastAsia="Times New Roman" w:cs="Calibri"/>
                <w:noProof/>
              </w:rPr>
            </w:pPr>
            <w:r>
              <w:rPr>
                <w:noProof/>
              </w:rPr>
              <w:t>RE-C08-i01</w:t>
            </w:r>
          </w:p>
        </w:tc>
        <w:tc>
          <w:tcPr>
            <w:tcW w:w="1107" w:type="dxa"/>
            <w:shd w:val="clear" w:color="auto" w:fill="C4EFCE"/>
            <w:noWrap/>
            <w:vAlign w:val="center"/>
          </w:tcPr>
          <w:p w14:paraId="7C2444D5" w14:textId="2C0F19C6"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tcPr>
          <w:p w14:paraId="1671AB6C" w14:textId="1A1E7B04" w:rsidR="00A15990" w:rsidRDefault="00686A62">
            <w:pPr>
              <w:pStyle w:val="P68B1DB1-Normal8"/>
              <w:spacing w:after="0" w:line="240" w:lineRule="auto"/>
              <w:jc w:val="center"/>
              <w:rPr>
                <w:rFonts w:eastAsia="Times New Roman" w:cs="Calibri"/>
                <w:noProof/>
              </w:rPr>
            </w:pPr>
            <w:r>
              <w:rPr>
                <w:noProof/>
              </w:rPr>
              <w:t>Sate cu proiecte de gestionare a combustibilului</w:t>
            </w:r>
          </w:p>
        </w:tc>
        <w:tc>
          <w:tcPr>
            <w:tcW w:w="1244" w:type="dxa"/>
            <w:shd w:val="clear" w:color="auto" w:fill="C4EFCE"/>
            <w:noWrap/>
            <w:vAlign w:val="center"/>
          </w:tcPr>
          <w:p w14:paraId="21CA1472" w14:textId="77777777" w:rsidR="00A15990" w:rsidRDefault="00A15990">
            <w:pPr>
              <w:spacing w:after="0" w:line="240" w:lineRule="auto"/>
              <w:jc w:val="center"/>
              <w:rPr>
                <w:rFonts w:ascii="Calibri" w:eastAsia="Times New Roman" w:hAnsi="Calibri" w:cs="Calibri"/>
                <w:noProof/>
                <w:sz w:val="16"/>
              </w:rPr>
            </w:pPr>
          </w:p>
        </w:tc>
        <w:tc>
          <w:tcPr>
            <w:tcW w:w="971" w:type="dxa"/>
            <w:shd w:val="clear" w:color="auto" w:fill="C4EFCE"/>
            <w:noWrap/>
            <w:vAlign w:val="center"/>
          </w:tcPr>
          <w:p w14:paraId="607F1475" w14:textId="08DA1B44" w:rsidR="00A15990" w:rsidRDefault="00686A62">
            <w:pPr>
              <w:pStyle w:val="P68B1DB1-Normal8"/>
              <w:spacing w:after="0" w:line="240" w:lineRule="auto"/>
              <w:jc w:val="center"/>
              <w:rPr>
                <w:rFonts w:eastAsia="Times New Roman" w:cs="Calibri"/>
                <w:noProof/>
              </w:rPr>
            </w:pPr>
            <w:r>
              <w:rPr>
                <w:noProof/>
              </w:rPr>
              <w:t>Numărul</w:t>
            </w:r>
          </w:p>
        </w:tc>
        <w:tc>
          <w:tcPr>
            <w:tcW w:w="970" w:type="dxa"/>
            <w:shd w:val="clear" w:color="auto" w:fill="C4EFCE"/>
            <w:noWrap/>
            <w:vAlign w:val="center"/>
          </w:tcPr>
          <w:p w14:paraId="0640AB71" w14:textId="57A5038A"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tcPr>
          <w:p w14:paraId="79FDC6D8" w14:textId="763F7A06" w:rsidR="00A15990" w:rsidRDefault="00686A62">
            <w:pPr>
              <w:pStyle w:val="P68B1DB1-Normal8"/>
              <w:spacing w:after="0" w:line="240" w:lineRule="auto"/>
              <w:jc w:val="center"/>
              <w:rPr>
                <w:rFonts w:eastAsia="Times New Roman" w:cs="Calibri"/>
                <w:noProof/>
              </w:rPr>
            </w:pPr>
            <w:r>
              <w:rPr>
                <w:noProof/>
              </w:rPr>
              <w:t>800</w:t>
            </w:r>
          </w:p>
        </w:tc>
        <w:tc>
          <w:tcPr>
            <w:tcW w:w="649" w:type="dxa"/>
            <w:shd w:val="clear" w:color="auto" w:fill="C4EFCE"/>
            <w:noWrap/>
            <w:vAlign w:val="center"/>
          </w:tcPr>
          <w:p w14:paraId="17C24089" w14:textId="3F46E358"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noWrap/>
            <w:vAlign w:val="center"/>
          </w:tcPr>
          <w:p w14:paraId="1232892F" w14:textId="34EB17F1"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tcPr>
          <w:p w14:paraId="37C59981" w14:textId="3E460BC7" w:rsidR="00A15990" w:rsidRDefault="00686A62">
            <w:pPr>
              <w:pStyle w:val="P68B1DB1-Normal8"/>
              <w:spacing w:after="0" w:line="240" w:lineRule="auto"/>
              <w:jc w:val="both"/>
              <w:rPr>
                <w:rFonts w:eastAsia="Times New Roman" w:cs="Calibri"/>
                <w:noProof/>
              </w:rPr>
            </w:pPr>
            <w:r>
              <w:rPr>
                <w:noProof/>
              </w:rPr>
              <w:t>Încheierea de contracte care stabilesc condițiile specifice pentru finanțarea proiectelor de gestionare a combustibilului între Fondul pentru mediu și beneficiari (municipalități, comunități intermunicipale, asociații de dezvoltare locală) în cel puțin 800 sate rurale situate în teritorii forestiere (comunitatea satelor).</w:t>
            </w:r>
          </w:p>
        </w:tc>
      </w:tr>
      <w:tr w:rsidR="00A15990" w14:paraId="2D19B3CD" w14:textId="77777777">
        <w:trPr>
          <w:trHeight w:val="1071"/>
          <w:jc w:val="center"/>
        </w:trPr>
        <w:tc>
          <w:tcPr>
            <w:tcW w:w="1114" w:type="dxa"/>
            <w:shd w:val="clear" w:color="auto" w:fill="C4EFCE"/>
            <w:vAlign w:val="center"/>
            <w:hideMark/>
          </w:tcPr>
          <w:p w14:paraId="77EE0E64" w14:textId="2B83FFE6" w:rsidR="00A15990" w:rsidRDefault="00686A62">
            <w:pPr>
              <w:pStyle w:val="P68B1DB1-Normal7"/>
              <w:spacing w:line="240" w:lineRule="auto"/>
              <w:jc w:val="center"/>
              <w:rPr>
                <w:rFonts w:eastAsia="Times New Roman" w:cs="Calibri"/>
                <w:noProof/>
              </w:rPr>
            </w:pPr>
            <w:r>
              <w:rPr>
                <w:noProof/>
              </w:rPr>
              <w:t>8.20</w:t>
            </w:r>
          </w:p>
        </w:tc>
        <w:tc>
          <w:tcPr>
            <w:tcW w:w="1245" w:type="dxa"/>
            <w:shd w:val="clear" w:color="auto" w:fill="C4EFCE"/>
            <w:noWrap/>
            <w:vAlign w:val="center"/>
            <w:hideMark/>
          </w:tcPr>
          <w:p w14:paraId="12596242" w14:textId="4917A96D" w:rsidR="00A15990" w:rsidRDefault="00686A62">
            <w:pPr>
              <w:pStyle w:val="P68B1DB1-Normal8"/>
              <w:spacing w:line="240" w:lineRule="auto"/>
              <w:jc w:val="center"/>
              <w:rPr>
                <w:rFonts w:eastAsia="Times New Roman" w:cs="Calibri"/>
                <w:noProof/>
              </w:rPr>
            </w:pPr>
            <w:r>
              <w:rPr>
                <w:noProof/>
              </w:rPr>
              <w:t xml:space="preserve">RE-C08-i01  </w:t>
            </w:r>
          </w:p>
        </w:tc>
        <w:tc>
          <w:tcPr>
            <w:tcW w:w="1107" w:type="dxa"/>
            <w:shd w:val="clear" w:color="auto" w:fill="C4EFCE"/>
            <w:noWrap/>
            <w:vAlign w:val="center"/>
            <w:hideMark/>
          </w:tcPr>
          <w:p w14:paraId="09B3E4E1" w14:textId="791D055D" w:rsidR="00A15990" w:rsidRDefault="00686A62">
            <w:pPr>
              <w:pStyle w:val="P68B1DB1-Normal8"/>
              <w:spacing w:line="240" w:lineRule="auto"/>
              <w:jc w:val="center"/>
              <w:rPr>
                <w:rFonts w:eastAsia="Times New Roman" w:cs="Calibri"/>
                <w:noProof/>
              </w:rPr>
            </w:pPr>
            <w:r>
              <w:rPr>
                <w:noProof/>
              </w:rPr>
              <w:t>T</w:t>
            </w:r>
          </w:p>
        </w:tc>
        <w:tc>
          <w:tcPr>
            <w:tcW w:w="1658" w:type="dxa"/>
            <w:shd w:val="clear" w:color="auto" w:fill="C4EFCE"/>
            <w:noWrap/>
            <w:vAlign w:val="center"/>
            <w:hideMark/>
          </w:tcPr>
          <w:p w14:paraId="750617A0" w14:textId="59CDDFE4" w:rsidR="00A15990" w:rsidRDefault="00686A62">
            <w:pPr>
              <w:pStyle w:val="P68B1DB1-Normal8"/>
              <w:spacing w:line="240" w:lineRule="auto"/>
              <w:jc w:val="center"/>
              <w:rPr>
                <w:rFonts w:eastAsia="Times New Roman" w:cs="Calibri"/>
                <w:noProof/>
              </w:rPr>
            </w:pPr>
            <w:r>
              <w:rPr>
                <w:noProof/>
              </w:rPr>
              <w:t>Punerea în aplicare a măsurilor de consolidare funciară Programa „Emparcelar para Ordenar</w:t>
            </w:r>
          </w:p>
        </w:tc>
        <w:tc>
          <w:tcPr>
            <w:tcW w:w="1244" w:type="dxa"/>
            <w:shd w:val="clear" w:color="auto" w:fill="C4EFCE"/>
            <w:noWrap/>
            <w:vAlign w:val="center"/>
            <w:hideMark/>
          </w:tcPr>
          <w:p w14:paraId="2D5E51B8" w14:textId="4EF5F8CD" w:rsidR="00A15990" w:rsidRDefault="00A15990">
            <w:pPr>
              <w:spacing w:line="240" w:lineRule="auto"/>
              <w:jc w:val="center"/>
              <w:rPr>
                <w:rFonts w:ascii="Calibri" w:eastAsia="Times New Roman" w:hAnsi="Calibri" w:cs="Calibri"/>
                <w:noProof/>
                <w:sz w:val="16"/>
              </w:rPr>
            </w:pPr>
          </w:p>
        </w:tc>
        <w:tc>
          <w:tcPr>
            <w:tcW w:w="971" w:type="dxa"/>
            <w:shd w:val="clear" w:color="auto" w:fill="C4EFCE"/>
            <w:noWrap/>
            <w:vAlign w:val="center"/>
            <w:hideMark/>
          </w:tcPr>
          <w:p w14:paraId="2B246C1B" w14:textId="4F4C8370" w:rsidR="00A15990" w:rsidRDefault="00686A62">
            <w:pPr>
              <w:pStyle w:val="P68B1DB1-Normal8"/>
              <w:spacing w:line="240" w:lineRule="auto"/>
              <w:jc w:val="center"/>
              <w:rPr>
                <w:rFonts w:eastAsia="Times New Roman" w:cs="Calibri"/>
                <w:noProof/>
              </w:rPr>
            </w:pPr>
            <w:r>
              <w:rPr>
                <w:noProof/>
              </w:rPr>
              <w:t>Numărul</w:t>
            </w:r>
          </w:p>
        </w:tc>
        <w:tc>
          <w:tcPr>
            <w:tcW w:w="970" w:type="dxa"/>
            <w:shd w:val="clear" w:color="auto" w:fill="C4EFCE"/>
            <w:noWrap/>
            <w:vAlign w:val="center"/>
            <w:hideMark/>
          </w:tcPr>
          <w:p w14:paraId="74A9FCD5" w14:textId="23127662" w:rsidR="00A15990" w:rsidRDefault="00686A62">
            <w:pPr>
              <w:pStyle w:val="P68B1DB1-Normal8"/>
              <w:spacing w:line="240" w:lineRule="auto"/>
              <w:jc w:val="center"/>
              <w:rPr>
                <w:rFonts w:eastAsia="Times New Roman" w:cs="Calibri"/>
                <w:noProof/>
              </w:rPr>
            </w:pPr>
            <w:r>
              <w:rPr>
                <w:noProof/>
              </w:rPr>
              <w:t>0</w:t>
            </w:r>
          </w:p>
        </w:tc>
        <w:tc>
          <w:tcPr>
            <w:tcW w:w="603" w:type="dxa"/>
            <w:shd w:val="clear" w:color="auto" w:fill="C4EFCE"/>
            <w:noWrap/>
            <w:vAlign w:val="center"/>
            <w:hideMark/>
          </w:tcPr>
          <w:p w14:paraId="6F1E20D5" w14:textId="263A4976" w:rsidR="00A15990" w:rsidRDefault="00686A62">
            <w:pPr>
              <w:pStyle w:val="P68B1DB1-Normal8"/>
              <w:spacing w:line="240" w:lineRule="auto"/>
              <w:jc w:val="center"/>
              <w:rPr>
                <w:rFonts w:eastAsia="Times New Roman" w:cs="Calibri"/>
                <w:noProof/>
              </w:rPr>
            </w:pPr>
            <w:r>
              <w:rPr>
                <w:noProof/>
              </w:rPr>
              <w:t>2 000</w:t>
            </w:r>
          </w:p>
        </w:tc>
        <w:tc>
          <w:tcPr>
            <w:tcW w:w="649" w:type="dxa"/>
            <w:shd w:val="clear" w:color="auto" w:fill="C4EFCE"/>
            <w:noWrap/>
            <w:vAlign w:val="center"/>
            <w:hideMark/>
          </w:tcPr>
          <w:p w14:paraId="56EBFD99" w14:textId="3CBB469F" w:rsidR="00A15990" w:rsidRDefault="00686A62">
            <w:pPr>
              <w:pStyle w:val="P68B1DB1-Normal8"/>
              <w:spacing w:line="240" w:lineRule="auto"/>
              <w:jc w:val="center"/>
              <w:rPr>
                <w:rFonts w:eastAsia="Calibri" w:cs="Calibri"/>
                <w:noProof/>
              </w:rPr>
            </w:pPr>
            <w:r>
              <w:rPr>
                <w:noProof/>
              </w:rPr>
              <w:t>TRIMESTRUL 3</w:t>
            </w:r>
          </w:p>
        </w:tc>
        <w:tc>
          <w:tcPr>
            <w:tcW w:w="694" w:type="dxa"/>
            <w:shd w:val="clear" w:color="auto" w:fill="C4EFCE"/>
            <w:noWrap/>
            <w:vAlign w:val="center"/>
            <w:hideMark/>
          </w:tcPr>
          <w:p w14:paraId="692AA7BC" w14:textId="77912856" w:rsidR="00A15990" w:rsidRDefault="00686A62">
            <w:pPr>
              <w:pStyle w:val="P68B1DB1-Normal8"/>
              <w:spacing w:line="240" w:lineRule="auto"/>
              <w:jc w:val="center"/>
              <w:rPr>
                <w:rFonts w:eastAsia="Calibri" w:cs="Calibri"/>
                <w:noProof/>
              </w:rPr>
            </w:pPr>
            <w:r>
              <w:rPr>
                <w:noProof/>
              </w:rPr>
              <w:t>2025</w:t>
            </w:r>
          </w:p>
        </w:tc>
        <w:tc>
          <w:tcPr>
            <w:tcW w:w="4204" w:type="dxa"/>
            <w:shd w:val="clear" w:color="auto" w:fill="C4EFCE"/>
            <w:vAlign w:val="center"/>
            <w:hideMark/>
          </w:tcPr>
          <w:p w14:paraId="2CE69ECE" w14:textId="4E9E3716" w:rsidR="00A15990" w:rsidRDefault="00686A62">
            <w:pPr>
              <w:pStyle w:val="P68B1DB1-Normal8"/>
              <w:spacing w:line="240" w:lineRule="auto"/>
              <w:jc w:val="both"/>
              <w:rPr>
                <w:rFonts w:eastAsia="Times New Roman" w:cs="Calibri"/>
                <w:noProof/>
              </w:rPr>
            </w:pPr>
            <w:r>
              <w:rPr>
                <w:noProof/>
              </w:rPr>
              <w:t>2 000 ha de teren rural din teritoriile vulnerabile sunt comasate în cadrul programului „Emparcelar para Ordenar”</w:t>
            </w:r>
          </w:p>
        </w:tc>
      </w:tr>
      <w:tr w:rsidR="00A15990" w14:paraId="166CE461" w14:textId="77777777">
        <w:trPr>
          <w:trHeight w:val="1393"/>
          <w:jc w:val="center"/>
        </w:trPr>
        <w:tc>
          <w:tcPr>
            <w:tcW w:w="1114" w:type="dxa"/>
            <w:shd w:val="clear" w:color="auto" w:fill="C4EFCE"/>
            <w:vAlign w:val="center"/>
            <w:hideMark/>
          </w:tcPr>
          <w:p w14:paraId="22FEDCD3" w14:textId="77777777" w:rsidR="00A15990" w:rsidRDefault="00686A62">
            <w:pPr>
              <w:pStyle w:val="P68B1DB1-Normal7"/>
              <w:spacing w:after="0" w:line="240" w:lineRule="auto"/>
              <w:jc w:val="center"/>
              <w:rPr>
                <w:rFonts w:eastAsia="Times New Roman" w:cs="Calibri"/>
                <w:noProof/>
              </w:rPr>
            </w:pPr>
            <w:r>
              <w:rPr>
                <w:noProof/>
              </w:rPr>
              <w:t>8.4</w:t>
            </w:r>
          </w:p>
        </w:tc>
        <w:tc>
          <w:tcPr>
            <w:tcW w:w="1245" w:type="dxa"/>
            <w:shd w:val="clear" w:color="auto" w:fill="C4EFCE"/>
            <w:noWrap/>
            <w:vAlign w:val="center"/>
            <w:hideMark/>
          </w:tcPr>
          <w:p w14:paraId="266A4745" w14:textId="77777777" w:rsidR="00A15990" w:rsidRDefault="00686A62">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563CF9E2" w14:textId="77777777"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7C4B2871" w14:textId="77777777" w:rsidR="00A15990" w:rsidRDefault="00686A62">
            <w:pPr>
              <w:pStyle w:val="P68B1DB1-Normal8"/>
              <w:spacing w:after="0" w:line="240" w:lineRule="auto"/>
              <w:jc w:val="center"/>
              <w:rPr>
                <w:rFonts w:eastAsia="Times New Roman" w:cs="Calibri"/>
                <w:noProof/>
              </w:rPr>
            </w:pPr>
            <w:r>
              <w:rPr>
                <w:noProof/>
              </w:rPr>
              <w:t>Către o platformă BUPi 2.0</w:t>
            </w:r>
          </w:p>
        </w:tc>
        <w:tc>
          <w:tcPr>
            <w:tcW w:w="1244" w:type="dxa"/>
            <w:shd w:val="clear" w:color="auto" w:fill="C4EFCE"/>
            <w:noWrap/>
            <w:vAlign w:val="center"/>
            <w:hideMark/>
          </w:tcPr>
          <w:p w14:paraId="6A5B72FB" w14:textId="77777777" w:rsidR="00A15990" w:rsidRDefault="00686A62">
            <w:pPr>
              <w:pStyle w:val="P68B1DB1-Normal8"/>
              <w:spacing w:after="0" w:line="240" w:lineRule="auto"/>
              <w:jc w:val="center"/>
              <w:rPr>
                <w:rFonts w:eastAsia="Times New Roman" w:cs="Calibri"/>
                <w:noProof/>
              </w:rPr>
            </w:pPr>
            <w:r>
              <w:rPr>
                <w:noProof/>
              </w:rPr>
              <w:t>Intrarea în producție a platformei BUPi 2.0</w:t>
            </w:r>
          </w:p>
        </w:tc>
        <w:tc>
          <w:tcPr>
            <w:tcW w:w="971" w:type="dxa"/>
            <w:shd w:val="clear" w:color="auto" w:fill="C4EFCE"/>
            <w:noWrap/>
            <w:vAlign w:val="center"/>
            <w:hideMark/>
          </w:tcPr>
          <w:p w14:paraId="5156F1CE" w14:textId="77777777" w:rsidR="00A15990" w:rsidRDefault="00686A62">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F8757E3" w14:textId="77777777" w:rsidR="00A15990" w:rsidRDefault="00686A62">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6435018" w14:textId="77777777" w:rsidR="00A15990" w:rsidRDefault="00686A62">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6F647E22" w14:textId="77777777" w:rsidR="00A15990" w:rsidRDefault="00686A62">
            <w:pPr>
              <w:pStyle w:val="P68B1DB1-Normal8"/>
              <w:spacing w:after="0" w:line="240" w:lineRule="auto"/>
              <w:jc w:val="center"/>
              <w:rPr>
                <w:rFonts w:eastAsia="Times New Roman" w:cs="Calibri"/>
                <w:noProof/>
              </w:rPr>
            </w:pPr>
            <w:r>
              <w:rPr>
                <w:noProof/>
              </w:rPr>
              <w:t>TRIMESTRUL 1</w:t>
            </w:r>
          </w:p>
        </w:tc>
        <w:tc>
          <w:tcPr>
            <w:tcW w:w="694" w:type="dxa"/>
            <w:shd w:val="clear" w:color="auto" w:fill="C4EFCE"/>
            <w:noWrap/>
            <w:vAlign w:val="center"/>
            <w:hideMark/>
          </w:tcPr>
          <w:p w14:paraId="7D47E13F" w14:textId="77777777" w:rsidR="00A15990" w:rsidRDefault="00686A62">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9993AAD" w14:textId="77777777" w:rsidR="00A15990" w:rsidRDefault="00686A62">
            <w:pPr>
              <w:pStyle w:val="P68B1DB1-Normal8"/>
              <w:spacing w:after="0" w:line="240" w:lineRule="auto"/>
              <w:jc w:val="both"/>
              <w:rPr>
                <w:rFonts w:eastAsia="Times New Roman" w:cs="Calibri"/>
                <w:noProof/>
              </w:rPr>
            </w:pPr>
            <w:r>
              <w:rPr>
                <w:noProof/>
              </w:rPr>
              <w:t xml:space="preserve">Furnizarea platformei BUPi 2.0 bazate pe cloud, care va moderniza și extinde funcționalitățile deja existente în proiectul-pilot BUPi. BUPi 2.0 asigură acoperirea la nivel național și interoperabilitatea diferitelor sisteme gestionate în prezent de diferite autorități, inclusiv de autoritățile fiscale și vamale. BUPi 2.0 va permite punerea în aplicare treptată a numerelor unice de identificare a proprietății (PIN). </w:t>
            </w:r>
          </w:p>
        </w:tc>
      </w:tr>
      <w:tr w:rsidR="00A15990" w14:paraId="4E3E25CA" w14:textId="77777777">
        <w:trPr>
          <w:trHeight w:val="640"/>
          <w:jc w:val="center"/>
        </w:trPr>
        <w:tc>
          <w:tcPr>
            <w:tcW w:w="1114" w:type="dxa"/>
            <w:shd w:val="clear" w:color="auto" w:fill="C4EFCE"/>
            <w:vAlign w:val="center"/>
            <w:hideMark/>
          </w:tcPr>
          <w:p w14:paraId="6A82156F" w14:textId="77777777" w:rsidR="00A15990" w:rsidRDefault="00686A62">
            <w:pPr>
              <w:pStyle w:val="P68B1DB1-Normal7"/>
              <w:spacing w:after="0" w:line="240" w:lineRule="auto"/>
              <w:jc w:val="center"/>
              <w:rPr>
                <w:rFonts w:eastAsia="Times New Roman" w:cs="Calibri"/>
                <w:noProof/>
              </w:rPr>
            </w:pPr>
            <w:r>
              <w:rPr>
                <w:noProof/>
              </w:rPr>
              <w:t>8.5</w:t>
            </w:r>
          </w:p>
        </w:tc>
        <w:tc>
          <w:tcPr>
            <w:tcW w:w="1245" w:type="dxa"/>
            <w:shd w:val="clear" w:color="auto" w:fill="C4EFCE"/>
            <w:noWrap/>
            <w:vAlign w:val="center"/>
            <w:hideMark/>
          </w:tcPr>
          <w:p w14:paraId="1B7D2602" w14:textId="77777777" w:rsidR="00A15990" w:rsidRDefault="00686A62">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2B27D6AC"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6343F3" w14:textId="77777777" w:rsidR="00A15990" w:rsidRDefault="00686A62">
            <w:pPr>
              <w:pStyle w:val="P68B1DB1-Normal8"/>
              <w:spacing w:after="0" w:line="240" w:lineRule="auto"/>
              <w:jc w:val="center"/>
              <w:rPr>
                <w:rFonts w:eastAsia="Times New Roman" w:cs="Calibri"/>
                <w:noProof/>
              </w:rPr>
            </w:pPr>
            <w:r>
              <w:rPr>
                <w:noProof/>
              </w:rPr>
              <w:t xml:space="preserve">Formare privind BUPi </w:t>
            </w:r>
          </w:p>
        </w:tc>
        <w:tc>
          <w:tcPr>
            <w:tcW w:w="1244" w:type="dxa"/>
            <w:shd w:val="clear" w:color="auto" w:fill="C4EFCE"/>
            <w:noWrap/>
            <w:vAlign w:val="center"/>
            <w:hideMark/>
          </w:tcPr>
          <w:p w14:paraId="25329559"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0984988" w14:textId="77777777" w:rsidR="00A15990" w:rsidRDefault="00686A62">
            <w:pPr>
              <w:pStyle w:val="P68B1DB1-Normal8"/>
              <w:spacing w:after="0" w:line="240" w:lineRule="auto"/>
              <w:jc w:val="center"/>
              <w:rPr>
                <w:rFonts w:eastAsia="Times New Roman" w:cs="Calibri"/>
                <w:noProof/>
              </w:rPr>
            </w:pPr>
            <w:r>
              <w:rPr>
                <w:noProof/>
              </w:rPr>
              <w:t xml:space="preserve"> Numărul</w:t>
            </w:r>
          </w:p>
        </w:tc>
        <w:tc>
          <w:tcPr>
            <w:tcW w:w="970" w:type="dxa"/>
            <w:shd w:val="clear" w:color="auto" w:fill="C4EFCE"/>
            <w:noWrap/>
            <w:vAlign w:val="center"/>
            <w:hideMark/>
          </w:tcPr>
          <w:p w14:paraId="0D49A3DA"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D1F9392" w14:textId="77777777" w:rsidR="00A15990" w:rsidRDefault="00686A62">
            <w:pPr>
              <w:pStyle w:val="P68B1DB1-Normal8"/>
              <w:spacing w:after="0" w:line="240" w:lineRule="auto"/>
              <w:jc w:val="center"/>
              <w:rPr>
                <w:rFonts w:eastAsia="Times New Roman" w:cs="Calibri"/>
                <w:noProof/>
              </w:rPr>
            </w:pPr>
            <w:r>
              <w:rPr>
                <w:noProof/>
              </w:rPr>
              <w:t>10</w:t>
            </w:r>
          </w:p>
        </w:tc>
        <w:tc>
          <w:tcPr>
            <w:tcW w:w="649" w:type="dxa"/>
            <w:shd w:val="clear" w:color="auto" w:fill="C4EFCE"/>
            <w:noWrap/>
            <w:vAlign w:val="center"/>
            <w:hideMark/>
          </w:tcPr>
          <w:p w14:paraId="1F6D3CC8"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noWrap/>
            <w:vAlign w:val="center"/>
            <w:hideMark/>
          </w:tcPr>
          <w:p w14:paraId="3CC177FC" w14:textId="77777777" w:rsidR="00A15990" w:rsidRDefault="00686A62">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6E9D6ED2" w14:textId="26B42C5F" w:rsidR="00A15990" w:rsidRDefault="00686A62">
            <w:pPr>
              <w:pStyle w:val="P68B1DB1-Normal8"/>
              <w:spacing w:after="0" w:line="240" w:lineRule="auto"/>
              <w:jc w:val="both"/>
              <w:rPr>
                <w:rFonts w:eastAsia="Times New Roman" w:cs="Calibri"/>
                <w:noProof/>
              </w:rPr>
            </w:pPr>
            <w:r>
              <w:rPr>
                <w:noProof/>
              </w:rPr>
              <w:t xml:space="preserve">Numărul de cursuri de formare trimestriale legate de BUPi destinate tehnicienilor calificați la nivel național care efectuează proceduri de reprezentare grafică (RGG), personalului Institutului Registrului și Notarilor (IRN), agenților autorităților fiscale, tehnicienilor registrelor funciare și tehnicienilor din cadrul Direcției Generale </w:t>
            </w:r>
          </w:p>
          <w:p w14:paraId="6524C248" w14:textId="33C64846" w:rsidR="00A15990" w:rsidRDefault="00686A62">
            <w:pPr>
              <w:pStyle w:val="P68B1DB1-Normal8"/>
              <w:spacing w:after="0" w:line="240" w:lineRule="auto"/>
              <w:jc w:val="both"/>
              <w:rPr>
                <w:rFonts w:eastAsia="Times New Roman" w:cs="Calibri"/>
                <w:noProof/>
              </w:rPr>
            </w:pPr>
            <w:r>
              <w:rPr>
                <w:noProof/>
              </w:rPr>
              <w:t xml:space="preserve">Teritoriul și ofițerii de registru. </w:t>
            </w:r>
          </w:p>
        </w:tc>
      </w:tr>
      <w:tr w:rsidR="00A15990" w14:paraId="0E25F039" w14:textId="77777777">
        <w:trPr>
          <w:trHeight w:val="640"/>
          <w:jc w:val="center"/>
        </w:trPr>
        <w:tc>
          <w:tcPr>
            <w:tcW w:w="1114" w:type="dxa"/>
            <w:shd w:val="clear" w:color="auto" w:fill="C4EFCE"/>
            <w:vAlign w:val="center"/>
            <w:hideMark/>
          </w:tcPr>
          <w:p w14:paraId="413C83DC" w14:textId="77777777" w:rsidR="00A15990" w:rsidRDefault="00686A62">
            <w:pPr>
              <w:pStyle w:val="P68B1DB1-Normal7"/>
              <w:spacing w:after="0" w:line="240" w:lineRule="auto"/>
              <w:jc w:val="center"/>
              <w:rPr>
                <w:rFonts w:eastAsia="Times New Roman" w:cs="Calibri"/>
                <w:noProof/>
              </w:rPr>
            </w:pPr>
            <w:r>
              <w:rPr>
                <w:noProof/>
              </w:rPr>
              <w:t>8.6</w:t>
            </w:r>
          </w:p>
        </w:tc>
        <w:tc>
          <w:tcPr>
            <w:tcW w:w="1245" w:type="dxa"/>
            <w:shd w:val="clear" w:color="auto" w:fill="C4EFCE"/>
            <w:noWrap/>
            <w:vAlign w:val="center"/>
            <w:hideMark/>
          </w:tcPr>
          <w:p w14:paraId="499B61B8" w14:textId="77777777" w:rsidR="00A15990" w:rsidRDefault="00686A62">
            <w:pPr>
              <w:pStyle w:val="P68B1DB1-Normal8"/>
              <w:spacing w:after="0" w:line="240" w:lineRule="auto"/>
              <w:jc w:val="center"/>
              <w:rPr>
                <w:rFonts w:eastAsia="Times New Roman" w:cs="Calibri"/>
                <w:noProof/>
              </w:rPr>
            </w:pPr>
            <w:r>
              <w:rPr>
                <w:noProof/>
              </w:rPr>
              <w:t>RE-C08-i02</w:t>
            </w:r>
          </w:p>
        </w:tc>
        <w:tc>
          <w:tcPr>
            <w:tcW w:w="1107" w:type="dxa"/>
            <w:shd w:val="clear" w:color="auto" w:fill="C4EFCE"/>
            <w:noWrap/>
            <w:vAlign w:val="center"/>
            <w:hideMark/>
          </w:tcPr>
          <w:p w14:paraId="69009EAB" w14:textId="77777777"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7D3E341" w14:textId="2C7A5E6B" w:rsidR="00A15990" w:rsidRDefault="00686A62">
            <w:pPr>
              <w:pStyle w:val="P68B1DB1-Normal8"/>
              <w:spacing w:after="0" w:line="240" w:lineRule="auto"/>
              <w:jc w:val="center"/>
              <w:rPr>
                <w:rFonts w:eastAsia="Times New Roman" w:cs="Calibri"/>
                <w:noProof/>
              </w:rPr>
            </w:pPr>
            <w:r>
              <w:rPr>
                <w:noProof/>
              </w:rPr>
              <w:t>Realizarea cartografierii de referință pentru sistemul de monitorizare a acoperirii terenurilor (Land Cover Monitoring System – SMOS)</w:t>
            </w:r>
          </w:p>
        </w:tc>
        <w:tc>
          <w:tcPr>
            <w:tcW w:w="1244" w:type="dxa"/>
            <w:shd w:val="clear" w:color="auto" w:fill="C4EFCE"/>
            <w:noWrap/>
            <w:vAlign w:val="center"/>
            <w:hideMark/>
          </w:tcPr>
          <w:p w14:paraId="76C22C58" w14:textId="6D8505C9" w:rsidR="00A15990" w:rsidRDefault="00686A62">
            <w:pPr>
              <w:pStyle w:val="P68B1DB1-Normal8"/>
              <w:spacing w:after="0" w:line="240" w:lineRule="auto"/>
              <w:jc w:val="center"/>
              <w:rPr>
                <w:rFonts w:eastAsia="Times New Roman" w:cs="Calibri"/>
                <w:noProof/>
              </w:rPr>
            </w:pPr>
            <w:r>
              <w:rPr>
                <w:noProof/>
              </w:rPr>
              <w:t>Realizarea cartografierii de referință pentru sistemul de monitorizare a acoperirii terenurilor (Land Cover Monitoring System – SMOS)</w:t>
            </w:r>
          </w:p>
        </w:tc>
        <w:tc>
          <w:tcPr>
            <w:tcW w:w="971" w:type="dxa"/>
            <w:shd w:val="clear" w:color="auto" w:fill="C4EFCE"/>
            <w:noWrap/>
            <w:vAlign w:val="center"/>
            <w:hideMark/>
          </w:tcPr>
          <w:p w14:paraId="122C3637" w14:textId="77777777" w:rsidR="00A15990" w:rsidRDefault="00686A62">
            <w:pPr>
              <w:pStyle w:val="P68B1DB1-Normal8"/>
              <w:spacing w:after="0" w:line="240" w:lineRule="auto"/>
              <w:jc w:val="center"/>
              <w:rPr>
                <w:rFonts w:eastAsia="Times New Roman" w:cs="Calibri"/>
                <w:noProof/>
              </w:rPr>
            </w:pPr>
            <w:r>
              <w:rPr>
                <w:noProof/>
              </w:rPr>
              <w:t xml:space="preserve"> </w:t>
            </w:r>
          </w:p>
        </w:tc>
        <w:tc>
          <w:tcPr>
            <w:tcW w:w="970" w:type="dxa"/>
            <w:shd w:val="clear" w:color="auto" w:fill="C4EFCE"/>
            <w:noWrap/>
            <w:vAlign w:val="center"/>
            <w:hideMark/>
          </w:tcPr>
          <w:p w14:paraId="45289467" w14:textId="77777777" w:rsidR="00A15990" w:rsidRDefault="00686A62">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40D204A4" w14:textId="77777777" w:rsidR="00A15990" w:rsidRDefault="00686A62">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5408DD85" w14:textId="77777777" w:rsidR="00A15990" w:rsidRDefault="00686A62">
            <w:pPr>
              <w:pStyle w:val="P68B1DB1-Normal8"/>
              <w:spacing w:after="0" w:line="240" w:lineRule="auto"/>
              <w:jc w:val="center"/>
              <w:rPr>
                <w:rFonts w:eastAsia="Times New Roman" w:cs="Calibri"/>
                <w:noProof/>
              </w:rPr>
            </w:pPr>
            <w:r>
              <w:rPr>
                <w:noProof/>
              </w:rPr>
              <w:t>TRIMESTRUL 1</w:t>
            </w:r>
          </w:p>
        </w:tc>
        <w:tc>
          <w:tcPr>
            <w:tcW w:w="694" w:type="dxa"/>
            <w:shd w:val="clear" w:color="auto" w:fill="C4EFCE"/>
            <w:noWrap/>
            <w:vAlign w:val="center"/>
            <w:hideMark/>
          </w:tcPr>
          <w:p w14:paraId="73271E44" w14:textId="77777777"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3EC10692" w14:textId="1DF93F1F" w:rsidR="00A15990" w:rsidRDefault="00686A62">
            <w:pPr>
              <w:pStyle w:val="P68B1DB1-Normal8"/>
              <w:spacing w:after="0" w:line="240" w:lineRule="auto"/>
              <w:jc w:val="both"/>
              <w:rPr>
                <w:rFonts w:eastAsia="Times New Roman" w:cs="Calibri"/>
                <w:noProof/>
              </w:rPr>
            </w:pPr>
            <w:r>
              <w:rPr>
                <w:noProof/>
              </w:rPr>
              <w:t>Realizarea cartografierii de referință pentru sistemul de monitorizare a acoperirii terenurilor (Land Cover Monitoring System – SMOS), inclusiv (i) publicarea hărților privind acoperirea și utilizarea terenurilor (COS) 2023, pe baza informațiilor validate de autoritățile responsabile, care prezintă o reprezentare geografică a țării și furnizează informații privind utilizarea și ocuparea terenurilor, precum și privind tipurile de culturi și împăduriri, (ii) reprezentarea digitală 3-D a terenurilor prin detectarea luminii și fixarea luminii (LiDAR), (iii) hărți privind vegetația, (iv) hărți privind volumul biomasei și al lemnului și (v) acoperirea prin satelit.</w:t>
            </w:r>
          </w:p>
        </w:tc>
      </w:tr>
      <w:tr w:rsidR="00A15990" w14:paraId="3C27D691" w14:textId="77777777">
        <w:trPr>
          <w:trHeight w:val="640"/>
          <w:jc w:val="center"/>
        </w:trPr>
        <w:tc>
          <w:tcPr>
            <w:tcW w:w="1114" w:type="dxa"/>
            <w:shd w:val="clear" w:color="auto" w:fill="C4EFCE"/>
            <w:vAlign w:val="center"/>
            <w:hideMark/>
          </w:tcPr>
          <w:p w14:paraId="607D84BC" w14:textId="77777777" w:rsidR="00A15990" w:rsidRDefault="00686A62">
            <w:pPr>
              <w:pStyle w:val="P68B1DB1-Normal7"/>
              <w:spacing w:after="0" w:line="240" w:lineRule="auto"/>
              <w:jc w:val="center"/>
              <w:rPr>
                <w:rFonts w:eastAsia="Times New Roman" w:cs="Calibri"/>
                <w:noProof/>
              </w:rPr>
            </w:pPr>
            <w:r>
              <w:rPr>
                <w:noProof/>
              </w:rPr>
              <w:t>8.7</w:t>
            </w:r>
          </w:p>
        </w:tc>
        <w:tc>
          <w:tcPr>
            <w:tcW w:w="1245" w:type="dxa"/>
            <w:shd w:val="clear" w:color="auto" w:fill="C4EFCE"/>
            <w:noWrap/>
            <w:vAlign w:val="center"/>
            <w:hideMark/>
          </w:tcPr>
          <w:p w14:paraId="4A5A0BD2" w14:textId="77777777" w:rsidR="00A15990" w:rsidRDefault="00686A62">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7B8443DD" w14:textId="77777777"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C2C678E" w14:textId="799E37C6" w:rsidR="00A15990" w:rsidRDefault="00686A62">
            <w:pPr>
              <w:pStyle w:val="P68B1DB1-Normal8"/>
              <w:spacing w:after="0" w:line="240" w:lineRule="auto"/>
              <w:jc w:val="center"/>
              <w:rPr>
                <w:rFonts w:eastAsia="Times New Roman" w:cs="Calibri"/>
                <w:noProof/>
              </w:rPr>
            </w:pPr>
            <w:r>
              <w:rPr>
                <w:noProof/>
              </w:rPr>
              <w:t>Publicarea contractului privind rețeaua primară de gestionare a combustibilului (Primary Fuel Management Breaks Structuring Network – RPFGC)</w:t>
            </w:r>
          </w:p>
        </w:tc>
        <w:tc>
          <w:tcPr>
            <w:tcW w:w="1244" w:type="dxa"/>
            <w:shd w:val="clear" w:color="auto" w:fill="C4EFCE"/>
            <w:noWrap/>
            <w:vAlign w:val="center"/>
            <w:hideMark/>
          </w:tcPr>
          <w:p w14:paraId="6E8D6636" w14:textId="1EBD3616" w:rsidR="00A15990" w:rsidRDefault="00686A62">
            <w:pPr>
              <w:pStyle w:val="P68B1DB1-Normal8"/>
              <w:spacing w:after="0" w:line="240" w:lineRule="auto"/>
              <w:jc w:val="center"/>
              <w:rPr>
                <w:rFonts w:eastAsia="Times New Roman" w:cs="Calibri"/>
                <w:noProof/>
              </w:rPr>
            </w:pPr>
            <w:r>
              <w:rPr>
                <w:noProof/>
              </w:rPr>
              <w:t xml:space="preserve">Publicarea contractului Primary Fuel Management Breaks Structuring Network (RPFGC) în BASE.gov </w:t>
            </w:r>
          </w:p>
        </w:tc>
        <w:tc>
          <w:tcPr>
            <w:tcW w:w="971" w:type="dxa"/>
            <w:shd w:val="clear" w:color="auto" w:fill="C4EFCE"/>
            <w:noWrap/>
            <w:vAlign w:val="center"/>
            <w:hideMark/>
          </w:tcPr>
          <w:p w14:paraId="4197053A" w14:textId="77777777" w:rsidR="00A15990" w:rsidRDefault="00686A62">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9B05337" w14:textId="77777777" w:rsidR="00A15990" w:rsidRDefault="00686A62">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5C755A51" w14:textId="77777777" w:rsidR="00A15990" w:rsidRDefault="00686A62">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1D16C080" w14:textId="77777777" w:rsidR="00A15990" w:rsidRDefault="00686A62">
            <w:pPr>
              <w:pStyle w:val="P68B1DB1-Normal8"/>
              <w:spacing w:after="0" w:line="240" w:lineRule="auto"/>
              <w:jc w:val="center"/>
              <w:rPr>
                <w:rFonts w:eastAsia="Times New Roman" w:cs="Calibri"/>
                <w:noProof/>
              </w:rPr>
            </w:pPr>
            <w:r>
              <w:rPr>
                <w:noProof/>
              </w:rPr>
              <w:t>TRIMESTRUL 1</w:t>
            </w:r>
          </w:p>
        </w:tc>
        <w:tc>
          <w:tcPr>
            <w:tcW w:w="694" w:type="dxa"/>
            <w:shd w:val="clear" w:color="auto" w:fill="C4EFCE"/>
            <w:noWrap/>
            <w:vAlign w:val="center"/>
            <w:hideMark/>
          </w:tcPr>
          <w:p w14:paraId="0CE3B7A2" w14:textId="77777777" w:rsidR="00A15990" w:rsidRDefault="00686A62">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708801F" w14:textId="314FDF93" w:rsidR="00A15990" w:rsidRDefault="00686A62">
            <w:pPr>
              <w:pStyle w:val="P68B1DB1-Normal8"/>
              <w:spacing w:after="0" w:line="240" w:lineRule="auto"/>
              <w:jc w:val="both"/>
              <w:rPr>
                <w:rFonts w:eastAsia="Times New Roman" w:cs="Calibri"/>
                <w:noProof/>
              </w:rPr>
            </w:pPr>
            <w:r>
              <w:rPr>
                <w:noProof/>
              </w:rPr>
              <w:t xml:space="preserve">Atribuirea de către autoritatea competentă a contractului pentru punerea în aplicare a rețelei de structurare a întreruperilor de combustibil primar (Primary Fuel Management Breaks Structuring Network – RPFGC) pentru a crea discontinuități orizontale în peisaj pentru a izola focarele de incendiu. </w:t>
            </w:r>
          </w:p>
        </w:tc>
      </w:tr>
      <w:tr w:rsidR="00A15990" w14:paraId="2117A862" w14:textId="77777777">
        <w:trPr>
          <w:trHeight w:val="300"/>
          <w:jc w:val="center"/>
        </w:trPr>
        <w:tc>
          <w:tcPr>
            <w:tcW w:w="1114" w:type="dxa"/>
            <w:shd w:val="clear" w:color="auto" w:fill="C4EFCE"/>
            <w:vAlign w:val="center"/>
            <w:hideMark/>
          </w:tcPr>
          <w:p w14:paraId="5F5F4015" w14:textId="77777777" w:rsidR="00A15990" w:rsidRDefault="00686A62">
            <w:pPr>
              <w:pStyle w:val="P68B1DB1-Normal7"/>
              <w:spacing w:after="0" w:line="240" w:lineRule="auto"/>
              <w:jc w:val="center"/>
              <w:rPr>
                <w:rFonts w:eastAsia="Times New Roman" w:cs="Calibri"/>
                <w:noProof/>
              </w:rPr>
            </w:pPr>
            <w:r>
              <w:rPr>
                <w:noProof/>
              </w:rPr>
              <w:t>8.8</w:t>
            </w:r>
          </w:p>
        </w:tc>
        <w:tc>
          <w:tcPr>
            <w:tcW w:w="1245" w:type="dxa"/>
            <w:shd w:val="clear" w:color="auto" w:fill="C4EFCE"/>
            <w:noWrap/>
            <w:vAlign w:val="center"/>
            <w:hideMark/>
          </w:tcPr>
          <w:p w14:paraId="642A4370" w14:textId="77777777" w:rsidR="00A15990" w:rsidRDefault="00686A62">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446A0969"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2F7E64D" w14:textId="77777777" w:rsidR="00A15990" w:rsidRDefault="00686A62">
            <w:pPr>
              <w:pStyle w:val="P68B1DB1-Normal8"/>
              <w:spacing w:after="0" w:line="240" w:lineRule="auto"/>
              <w:jc w:val="center"/>
              <w:rPr>
                <w:rFonts w:eastAsia="Times New Roman" w:cs="Calibri"/>
                <w:noProof/>
              </w:rPr>
            </w:pPr>
            <w:r>
              <w:rPr>
                <w:noProof/>
              </w:rPr>
              <w:t>Zonă de servitute stabilită</w:t>
            </w:r>
          </w:p>
        </w:tc>
        <w:tc>
          <w:tcPr>
            <w:tcW w:w="1244" w:type="dxa"/>
            <w:shd w:val="clear" w:color="auto" w:fill="C4EFCE"/>
            <w:noWrap/>
            <w:vAlign w:val="center"/>
            <w:hideMark/>
          </w:tcPr>
          <w:p w14:paraId="6B4AD3B0"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0A7FE39" w14:textId="77777777" w:rsidR="00A15990" w:rsidRDefault="00686A62">
            <w:pPr>
              <w:pStyle w:val="P68B1DB1-Normal8"/>
              <w:spacing w:after="0" w:line="240" w:lineRule="auto"/>
              <w:jc w:val="center"/>
              <w:rPr>
                <w:rFonts w:eastAsia="Times New Roman" w:cs="Calibri"/>
                <w:noProof/>
              </w:rPr>
            </w:pPr>
            <w:r>
              <w:rPr>
                <w:noProof/>
              </w:rPr>
              <w:t>ha</w:t>
            </w:r>
          </w:p>
        </w:tc>
        <w:tc>
          <w:tcPr>
            <w:tcW w:w="970" w:type="dxa"/>
            <w:shd w:val="clear" w:color="auto" w:fill="C4EFCE"/>
            <w:noWrap/>
            <w:vAlign w:val="center"/>
            <w:hideMark/>
          </w:tcPr>
          <w:p w14:paraId="37D0B124" w14:textId="77777777" w:rsidR="00A15990" w:rsidRDefault="00686A62">
            <w:pPr>
              <w:pStyle w:val="P68B1DB1-Normal8"/>
              <w:spacing w:after="0" w:line="240" w:lineRule="auto"/>
              <w:jc w:val="center"/>
              <w:rPr>
                <w:rFonts w:eastAsia="Times New Roman" w:cs="Calibri"/>
                <w:noProof/>
              </w:rPr>
            </w:pPr>
            <w:r>
              <w:rPr>
                <w:noProof/>
              </w:rPr>
              <w:t> 0</w:t>
            </w:r>
          </w:p>
        </w:tc>
        <w:tc>
          <w:tcPr>
            <w:tcW w:w="603" w:type="dxa"/>
            <w:shd w:val="clear" w:color="auto" w:fill="C4EFCE"/>
            <w:noWrap/>
            <w:vAlign w:val="center"/>
            <w:hideMark/>
          </w:tcPr>
          <w:p w14:paraId="5C288326" w14:textId="77777777" w:rsidR="00A15990" w:rsidRDefault="00686A62">
            <w:pPr>
              <w:pStyle w:val="P68B1DB1-Normal8"/>
              <w:spacing w:after="0" w:line="240" w:lineRule="auto"/>
              <w:jc w:val="center"/>
              <w:rPr>
                <w:rFonts w:eastAsia="Times New Roman" w:cs="Calibri"/>
                <w:noProof/>
              </w:rPr>
            </w:pPr>
            <w:r>
              <w:rPr>
                <w:noProof/>
              </w:rPr>
              <w:t>21 727</w:t>
            </w:r>
          </w:p>
        </w:tc>
        <w:tc>
          <w:tcPr>
            <w:tcW w:w="649" w:type="dxa"/>
            <w:shd w:val="clear" w:color="auto" w:fill="C4EFCE"/>
            <w:noWrap/>
            <w:vAlign w:val="center"/>
            <w:hideMark/>
          </w:tcPr>
          <w:p w14:paraId="193C372D"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noWrap/>
            <w:vAlign w:val="center"/>
            <w:hideMark/>
          </w:tcPr>
          <w:p w14:paraId="361D822E" w14:textId="50E1ABB3"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050DA219" w14:textId="1156CC5A" w:rsidR="00A15990" w:rsidRDefault="00686A62">
            <w:pPr>
              <w:pStyle w:val="P68B1DB1-Normal8"/>
              <w:spacing w:after="0" w:line="240" w:lineRule="auto"/>
              <w:jc w:val="both"/>
              <w:rPr>
                <w:rFonts w:eastAsia="Times New Roman" w:cs="Calibri"/>
                <w:noProof/>
              </w:rPr>
            </w:pPr>
            <w:r>
              <w:rPr>
                <w:noProof/>
              </w:rPr>
              <w:t>Zonă de servitute formată din rețeaua primară de pauze de gestionare a combustibilului (RPFGC)</w:t>
            </w:r>
          </w:p>
          <w:p w14:paraId="2517E778" w14:textId="6DC1028B" w:rsidR="00A15990" w:rsidRDefault="00686A62">
            <w:pPr>
              <w:pStyle w:val="P68B1DB1-Normal8"/>
              <w:spacing w:after="0" w:line="240" w:lineRule="auto"/>
              <w:jc w:val="both"/>
              <w:rPr>
                <w:rFonts w:eastAsia="Times New Roman" w:cs="Calibri"/>
                <w:noProof/>
              </w:rPr>
            </w:pPr>
            <w:r>
              <w:rPr>
                <w:noProof/>
              </w:rPr>
              <w:t>Acest teren este inclus în platforma BUPi pentru a permite procedura de înregistrare specială ulterioară.</w:t>
            </w:r>
          </w:p>
        </w:tc>
      </w:tr>
      <w:tr w:rsidR="00A15990" w14:paraId="392C2D5D" w14:textId="77777777">
        <w:trPr>
          <w:trHeight w:val="430"/>
          <w:jc w:val="center"/>
        </w:trPr>
        <w:tc>
          <w:tcPr>
            <w:tcW w:w="1114" w:type="dxa"/>
            <w:shd w:val="clear" w:color="auto" w:fill="C4EFCE"/>
            <w:vAlign w:val="center"/>
            <w:hideMark/>
          </w:tcPr>
          <w:p w14:paraId="23A37D83" w14:textId="77777777" w:rsidR="00A15990" w:rsidRDefault="00686A62">
            <w:pPr>
              <w:pStyle w:val="P68B1DB1-Normal7"/>
              <w:spacing w:after="0" w:line="240" w:lineRule="auto"/>
              <w:jc w:val="center"/>
              <w:rPr>
                <w:rFonts w:eastAsia="Times New Roman" w:cs="Calibri"/>
                <w:noProof/>
              </w:rPr>
            </w:pPr>
            <w:r>
              <w:rPr>
                <w:noProof/>
              </w:rPr>
              <w:t>8.9</w:t>
            </w:r>
          </w:p>
        </w:tc>
        <w:tc>
          <w:tcPr>
            <w:tcW w:w="1245" w:type="dxa"/>
            <w:shd w:val="clear" w:color="auto" w:fill="C4EFCE"/>
            <w:noWrap/>
            <w:vAlign w:val="center"/>
            <w:hideMark/>
          </w:tcPr>
          <w:p w14:paraId="5212D01F" w14:textId="77777777" w:rsidR="00A15990" w:rsidRDefault="00686A62">
            <w:pPr>
              <w:pStyle w:val="P68B1DB1-Normal8"/>
              <w:spacing w:after="0" w:line="240" w:lineRule="auto"/>
              <w:jc w:val="center"/>
              <w:rPr>
                <w:rFonts w:eastAsia="Times New Roman" w:cs="Calibri"/>
                <w:noProof/>
              </w:rPr>
            </w:pPr>
            <w:r>
              <w:rPr>
                <w:noProof/>
              </w:rPr>
              <w:t>RE-C08-i03</w:t>
            </w:r>
          </w:p>
        </w:tc>
        <w:tc>
          <w:tcPr>
            <w:tcW w:w="1107" w:type="dxa"/>
            <w:shd w:val="clear" w:color="auto" w:fill="C4EFCE"/>
            <w:noWrap/>
            <w:vAlign w:val="center"/>
            <w:hideMark/>
          </w:tcPr>
          <w:p w14:paraId="36C724AE"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0D704E0" w14:textId="17A8A212" w:rsidR="00A15990" w:rsidRDefault="00686A62">
            <w:pPr>
              <w:pStyle w:val="P68B1DB1-Normal8"/>
              <w:spacing w:after="0" w:line="240" w:lineRule="auto"/>
              <w:jc w:val="center"/>
              <w:rPr>
                <w:rFonts w:eastAsia="Times New Roman" w:cs="Calibri"/>
                <w:noProof/>
              </w:rPr>
            </w:pPr>
            <w:r>
              <w:rPr>
                <w:noProof/>
              </w:rPr>
              <w:t>Punerea în aplicare a rețelei de structurare a întreruperilor de gestionare primară a combustibilului (RPFGC)</w:t>
            </w:r>
          </w:p>
        </w:tc>
        <w:tc>
          <w:tcPr>
            <w:tcW w:w="1244" w:type="dxa"/>
            <w:shd w:val="clear" w:color="auto" w:fill="C4EFCE"/>
            <w:noWrap/>
            <w:vAlign w:val="center"/>
            <w:hideMark/>
          </w:tcPr>
          <w:p w14:paraId="23E2BACD"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4C251181" w14:textId="77777777" w:rsidR="00A15990" w:rsidRDefault="00686A62">
            <w:pPr>
              <w:pStyle w:val="P68B1DB1-Normal8"/>
              <w:spacing w:after="0" w:line="240" w:lineRule="auto"/>
              <w:jc w:val="center"/>
              <w:rPr>
                <w:rFonts w:eastAsia="Times New Roman" w:cs="Calibri"/>
                <w:noProof/>
              </w:rPr>
            </w:pPr>
            <w:r>
              <w:rPr>
                <w:noProof/>
              </w:rPr>
              <w:t>Numărul</w:t>
            </w:r>
          </w:p>
        </w:tc>
        <w:tc>
          <w:tcPr>
            <w:tcW w:w="970" w:type="dxa"/>
            <w:shd w:val="clear" w:color="auto" w:fill="C4EFCE"/>
            <w:noWrap/>
            <w:vAlign w:val="center"/>
            <w:hideMark/>
          </w:tcPr>
          <w:p w14:paraId="451D6332" w14:textId="77777777" w:rsidR="00A15990" w:rsidRDefault="00686A62">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13734D22" w14:textId="77777777" w:rsidR="00A15990" w:rsidRDefault="00686A62">
            <w:pPr>
              <w:pStyle w:val="P68B1DB1-Normal8"/>
              <w:spacing w:after="0" w:line="240" w:lineRule="auto"/>
              <w:jc w:val="center"/>
              <w:rPr>
                <w:rFonts w:eastAsia="Times New Roman" w:cs="Calibri"/>
                <w:noProof/>
              </w:rPr>
            </w:pPr>
            <w:r>
              <w:rPr>
                <w:noProof/>
              </w:rPr>
              <w:t>37 500</w:t>
            </w:r>
          </w:p>
        </w:tc>
        <w:tc>
          <w:tcPr>
            <w:tcW w:w="649" w:type="dxa"/>
            <w:shd w:val="clear" w:color="auto" w:fill="C4EFCE"/>
            <w:noWrap/>
            <w:vAlign w:val="center"/>
            <w:hideMark/>
          </w:tcPr>
          <w:p w14:paraId="4962CE45"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noWrap/>
            <w:vAlign w:val="center"/>
            <w:hideMark/>
          </w:tcPr>
          <w:p w14:paraId="6E8FFA64" w14:textId="77777777"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485B98D" w14:textId="3D8CF93E" w:rsidR="00A15990" w:rsidRDefault="00686A62">
            <w:pPr>
              <w:pStyle w:val="P68B1DB1-Normal8"/>
              <w:spacing w:after="0" w:line="240" w:lineRule="auto"/>
              <w:jc w:val="both"/>
              <w:rPr>
                <w:rFonts w:eastAsia="Times New Roman" w:cs="Calibri"/>
                <w:noProof/>
              </w:rPr>
            </w:pPr>
            <w:r>
              <w:rPr>
                <w:noProof/>
              </w:rPr>
              <w:t>Suprafața implementată (în ha) a rețelei primare de pauze de gestionare a combustibilului (RPFGC) – crearea de discontinuități orizontale (benzi de gestionare a combustibilului) în peisaj pentru a izola focarele de incendiu.</w:t>
            </w:r>
          </w:p>
        </w:tc>
      </w:tr>
      <w:tr w:rsidR="00A15990" w14:paraId="13D047D8" w14:textId="77777777">
        <w:trPr>
          <w:trHeight w:val="430"/>
          <w:jc w:val="center"/>
        </w:trPr>
        <w:tc>
          <w:tcPr>
            <w:tcW w:w="1114" w:type="dxa"/>
            <w:shd w:val="clear" w:color="auto" w:fill="C4EFCE"/>
            <w:vAlign w:val="center"/>
            <w:hideMark/>
          </w:tcPr>
          <w:p w14:paraId="6ED52C23" w14:textId="77777777" w:rsidR="00A15990" w:rsidRDefault="00686A62">
            <w:pPr>
              <w:pStyle w:val="P68B1DB1-Normal7"/>
              <w:spacing w:after="0" w:line="240" w:lineRule="auto"/>
              <w:jc w:val="center"/>
              <w:rPr>
                <w:rFonts w:eastAsia="Times New Roman" w:cs="Calibri"/>
                <w:noProof/>
              </w:rPr>
            </w:pPr>
            <w:r>
              <w:rPr>
                <w:noProof/>
              </w:rPr>
              <w:t>8.10</w:t>
            </w:r>
          </w:p>
        </w:tc>
        <w:tc>
          <w:tcPr>
            <w:tcW w:w="1245" w:type="dxa"/>
            <w:shd w:val="clear" w:color="auto" w:fill="C4EFCE"/>
            <w:noWrap/>
            <w:vAlign w:val="center"/>
            <w:hideMark/>
          </w:tcPr>
          <w:p w14:paraId="030B3560" w14:textId="77777777" w:rsidR="00A15990" w:rsidRDefault="00686A62">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600B64B0"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022925A" w14:textId="77777777" w:rsidR="00A15990" w:rsidRDefault="00686A62">
            <w:pPr>
              <w:pStyle w:val="P68B1DB1-Normal8"/>
              <w:spacing w:after="0" w:line="240" w:lineRule="auto"/>
              <w:jc w:val="center"/>
              <w:rPr>
                <w:rFonts w:eastAsia="Times New Roman" w:cs="Calibri"/>
                <w:noProof/>
              </w:rPr>
            </w:pPr>
            <w:r>
              <w:rPr>
                <w:noProof/>
              </w:rPr>
              <w:t>Livrarea de vehicule, mașini și echipamente</w:t>
            </w:r>
          </w:p>
        </w:tc>
        <w:tc>
          <w:tcPr>
            <w:tcW w:w="1244" w:type="dxa"/>
            <w:shd w:val="clear" w:color="auto" w:fill="C4EFCE"/>
            <w:noWrap/>
            <w:vAlign w:val="center"/>
            <w:hideMark/>
          </w:tcPr>
          <w:p w14:paraId="39554C14"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18547CC0" w14:textId="77777777" w:rsidR="00A15990" w:rsidRDefault="00686A62">
            <w:pPr>
              <w:pStyle w:val="P68B1DB1-Normal8"/>
              <w:spacing w:after="0" w:line="240" w:lineRule="auto"/>
              <w:jc w:val="center"/>
              <w:rPr>
                <w:rFonts w:eastAsia="Times New Roman" w:cs="Calibri"/>
                <w:noProof/>
              </w:rPr>
            </w:pPr>
            <w:r>
              <w:rPr>
                <w:noProof/>
              </w:rPr>
              <w:t xml:space="preserve"> Numărul</w:t>
            </w:r>
          </w:p>
        </w:tc>
        <w:tc>
          <w:tcPr>
            <w:tcW w:w="970" w:type="dxa"/>
            <w:shd w:val="clear" w:color="auto" w:fill="C4EFCE"/>
            <w:noWrap/>
            <w:vAlign w:val="center"/>
            <w:hideMark/>
          </w:tcPr>
          <w:p w14:paraId="7C429149" w14:textId="77777777" w:rsidR="00A15990" w:rsidRDefault="00686A62">
            <w:pPr>
              <w:pStyle w:val="P68B1DB1-Normal8"/>
              <w:spacing w:after="0" w:line="240" w:lineRule="auto"/>
              <w:jc w:val="center"/>
              <w:rPr>
                <w:rFonts w:eastAsia="Times New Roman" w:cs="Calibri"/>
                <w:noProof/>
              </w:rPr>
            </w:pPr>
            <w:r>
              <w:rPr>
                <w:noProof/>
              </w:rPr>
              <w:t>0 </w:t>
            </w:r>
          </w:p>
        </w:tc>
        <w:tc>
          <w:tcPr>
            <w:tcW w:w="603" w:type="dxa"/>
            <w:shd w:val="clear" w:color="auto" w:fill="C4EFCE"/>
            <w:noWrap/>
            <w:vAlign w:val="center"/>
            <w:hideMark/>
          </w:tcPr>
          <w:p w14:paraId="20CC9EEC" w14:textId="77777777" w:rsidR="00A15990" w:rsidRDefault="00686A62">
            <w:pPr>
              <w:pStyle w:val="P68B1DB1-Normal8"/>
              <w:spacing w:after="0" w:line="240" w:lineRule="auto"/>
              <w:jc w:val="center"/>
              <w:rPr>
                <w:rFonts w:eastAsia="Times New Roman" w:cs="Calibri"/>
                <w:noProof/>
              </w:rPr>
            </w:pPr>
            <w:r>
              <w:rPr>
                <w:noProof/>
              </w:rPr>
              <w:t>179</w:t>
            </w:r>
          </w:p>
        </w:tc>
        <w:tc>
          <w:tcPr>
            <w:tcW w:w="649" w:type="dxa"/>
            <w:shd w:val="clear" w:color="auto" w:fill="C4EFCE"/>
            <w:noWrap/>
            <w:vAlign w:val="center"/>
            <w:hideMark/>
          </w:tcPr>
          <w:p w14:paraId="64F991E2" w14:textId="77777777" w:rsidR="00A15990" w:rsidRDefault="00686A62">
            <w:pPr>
              <w:pStyle w:val="P68B1DB1-Normal8"/>
              <w:spacing w:after="0" w:line="240" w:lineRule="auto"/>
              <w:jc w:val="center"/>
              <w:rPr>
                <w:rFonts w:eastAsia="Times New Roman" w:cs="Calibri"/>
                <w:noProof/>
              </w:rPr>
            </w:pPr>
            <w:r>
              <w:rPr>
                <w:noProof/>
              </w:rPr>
              <w:t>TRIMESTRUL 1</w:t>
            </w:r>
          </w:p>
        </w:tc>
        <w:tc>
          <w:tcPr>
            <w:tcW w:w="694" w:type="dxa"/>
            <w:shd w:val="clear" w:color="auto" w:fill="C4EFCE"/>
            <w:noWrap/>
            <w:vAlign w:val="center"/>
            <w:hideMark/>
          </w:tcPr>
          <w:p w14:paraId="555E763F" w14:textId="77777777" w:rsidR="00A15990" w:rsidRDefault="00686A62">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23EB455A" w14:textId="77777777" w:rsidR="00A15990" w:rsidRDefault="00686A62">
            <w:pPr>
              <w:pStyle w:val="P68B1DB1-Normal8"/>
              <w:spacing w:after="0" w:line="240" w:lineRule="auto"/>
              <w:jc w:val="both"/>
              <w:rPr>
                <w:rFonts w:eastAsia="Times New Roman" w:cs="Calibri"/>
                <w:noProof/>
              </w:rPr>
            </w:pPr>
            <w:r>
              <w:rPr>
                <w:noProof/>
              </w:rPr>
              <w:t>Livrarea de vehicule, utilaje și echipamente de stingere a incendiilor și de prevenire a incendiilor după confirmarea faptului că acestea îndeplinesc specificațiile tehnice și alte cerințe contractuale, în conformitate cu procedura de licitație.</w:t>
            </w:r>
          </w:p>
        </w:tc>
      </w:tr>
      <w:tr w:rsidR="00A15990" w14:paraId="487ADD74" w14:textId="77777777">
        <w:trPr>
          <w:trHeight w:val="1109"/>
          <w:jc w:val="center"/>
        </w:trPr>
        <w:tc>
          <w:tcPr>
            <w:tcW w:w="1114" w:type="dxa"/>
            <w:shd w:val="clear" w:color="auto" w:fill="C4EFCE"/>
            <w:vAlign w:val="center"/>
            <w:hideMark/>
          </w:tcPr>
          <w:p w14:paraId="3860DB26" w14:textId="77777777" w:rsidR="00A15990" w:rsidRDefault="00686A62">
            <w:pPr>
              <w:pStyle w:val="P68B1DB1-Normal7"/>
              <w:spacing w:after="0" w:line="240" w:lineRule="auto"/>
              <w:jc w:val="center"/>
              <w:rPr>
                <w:rFonts w:eastAsia="Times New Roman" w:cs="Calibri"/>
                <w:noProof/>
              </w:rPr>
            </w:pPr>
            <w:r>
              <w:rPr>
                <w:noProof/>
              </w:rPr>
              <w:t>8.11</w:t>
            </w:r>
          </w:p>
        </w:tc>
        <w:tc>
          <w:tcPr>
            <w:tcW w:w="1245" w:type="dxa"/>
            <w:shd w:val="clear" w:color="auto" w:fill="C4EFCE"/>
            <w:noWrap/>
            <w:vAlign w:val="center"/>
            <w:hideMark/>
          </w:tcPr>
          <w:p w14:paraId="76C404B0" w14:textId="77777777" w:rsidR="00A15990" w:rsidRDefault="00686A62">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58F4C381"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0FD1789" w14:textId="77777777" w:rsidR="00A15990" w:rsidRDefault="00686A62">
            <w:pPr>
              <w:pStyle w:val="P68B1DB1-Normal8"/>
              <w:spacing w:after="0" w:line="240" w:lineRule="auto"/>
              <w:jc w:val="center"/>
              <w:rPr>
                <w:rFonts w:eastAsia="Times New Roman" w:cs="Calibri"/>
                <w:noProof/>
              </w:rPr>
            </w:pPr>
            <w:r>
              <w:rPr>
                <w:noProof/>
              </w:rPr>
              <w:t>Livrarea de elicoptere ușoare și medii de pompieri</w:t>
            </w:r>
          </w:p>
        </w:tc>
        <w:tc>
          <w:tcPr>
            <w:tcW w:w="1244" w:type="dxa"/>
            <w:shd w:val="clear" w:color="auto" w:fill="C4EFCE"/>
            <w:noWrap/>
            <w:vAlign w:val="center"/>
            <w:hideMark/>
          </w:tcPr>
          <w:p w14:paraId="487CBD48"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74765D2D" w14:textId="77777777" w:rsidR="00A15990" w:rsidRDefault="00686A62">
            <w:pPr>
              <w:pStyle w:val="P68B1DB1-Normal8"/>
              <w:spacing w:after="0" w:line="240" w:lineRule="auto"/>
              <w:jc w:val="center"/>
              <w:rPr>
                <w:rFonts w:eastAsia="Times New Roman" w:cs="Calibri"/>
                <w:noProof/>
              </w:rPr>
            </w:pPr>
            <w:r>
              <w:rPr>
                <w:noProof/>
              </w:rPr>
              <w:t xml:space="preserve"> Numărul</w:t>
            </w:r>
          </w:p>
        </w:tc>
        <w:tc>
          <w:tcPr>
            <w:tcW w:w="970" w:type="dxa"/>
            <w:shd w:val="clear" w:color="auto" w:fill="C4EFCE"/>
            <w:noWrap/>
            <w:vAlign w:val="center"/>
            <w:hideMark/>
          </w:tcPr>
          <w:p w14:paraId="7BE1885F"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16399CA0" w14:textId="64428CEC" w:rsidR="00A15990" w:rsidRDefault="00686A62">
            <w:pPr>
              <w:pStyle w:val="P68B1DB1-Normal8"/>
              <w:spacing w:after="0" w:line="240" w:lineRule="auto"/>
              <w:jc w:val="center"/>
              <w:rPr>
                <w:rFonts w:eastAsia="Calibri" w:cs="Calibri"/>
                <w:noProof/>
              </w:rPr>
            </w:pPr>
            <w:r>
              <w:rPr>
                <w:noProof/>
              </w:rPr>
              <w:t>11</w:t>
            </w:r>
          </w:p>
        </w:tc>
        <w:tc>
          <w:tcPr>
            <w:tcW w:w="649" w:type="dxa"/>
            <w:shd w:val="clear" w:color="auto" w:fill="C4EFCE"/>
            <w:noWrap/>
            <w:vAlign w:val="center"/>
            <w:hideMark/>
          </w:tcPr>
          <w:p w14:paraId="3B3A6032"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noWrap/>
            <w:vAlign w:val="center"/>
            <w:hideMark/>
          </w:tcPr>
          <w:p w14:paraId="49892F3C" w14:textId="77777777"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2EE5FF2B" w14:textId="7512F60A" w:rsidR="00A15990" w:rsidRDefault="00686A62">
            <w:pPr>
              <w:pStyle w:val="P68B1DB1-Normal8"/>
              <w:spacing w:after="0" w:line="240" w:lineRule="auto"/>
              <w:jc w:val="both"/>
              <w:rPr>
                <w:rFonts w:eastAsia="Times New Roman" w:cs="Calibri"/>
                <w:noProof/>
              </w:rPr>
            </w:pPr>
            <w:r>
              <w:rPr>
                <w:noProof/>
              </w:rPr>
              <w:t>Livrarea a două elicoptere ușoare de pompieri (HEBL) și a nouă elicoptere de pompieri medii (HEBM) după confirmarea faptului că acestea îndeplinesc specificațiile tehnice și alte cerințe contractuale. Obiectivul include, de asemenea, construirea și/sau renovarea clădirilor și a infrastructurii pentru utilizarea și întreținerea elicopterelor.</w:t>
            </w:r>
          </w:p>
        </w:tc>
      </w:tr>
      <w:tr w:rsidR="00A15990" w14:paraId="3D57C30A" w14:textId="77777777">
        <w:trPr>
          <w:trHeight w:val="1602"/>
          <w:jc w:val="center"/>
        </w:trPr>
        <w:tc>
          <w:tcPr>
            <w:tcW w:w="1114" w:type="dxa"/>
            <w:shd w:val="clear" w:color="auto" w:fill="C4EFCE"/>
            <w:vAlign w:val="center"/>
            <w:hideMark/>
          </w:tcPr>
          <w:p w14:paraId="2C8E73E6" w14:textId="77777777" w:rsidR="00A15990" w:rsidRDefault="00686A62">
            <w:pPr>
              <w:pStyle w:val="P68B1DB1-Normal7"/>
              <w:spacing w:after="0" w:line="240" w:lineRule="auto"/>
              <w:jc w:val="center"/>
              <w:rPr>
                <w:rFonts w:eastAsia="Times New Roman" w:cs="Calibri"/>
                <w:noProof/>
              </w:rPr>
            </w:pPr>
            <w:r>
              <w:rPr>
                <w:noProof/>
              </w:rPr>
              <w:t>8.12</w:t>
            </w:r>
          </w:p>
        </w:tc>
        <w:tc>
          <w:tcPr>
            <w:tcW w:w="1245" w:type="dxa"/>
            <w:shd w:val="clear" w:color="auto" w:fill="C4EFCE"/>
            <w:noWrap/>
            <w:vAlign w:val="center"/>
            <w:hideMark/>
          </w:tcPr>
          <w:p w14:paraId="70010057" w14:textId="77777777" w:rsidR="00A15990" w:rsidRDefault="00686A62">
            <w:pPr>
              <w:pStyle w:val="P68B1DB1-Normal8"/>
              <w:spacing w:after="0" w:line="240" w:lineRule="auto"/>
              <w:jc w:val="center"/>
              <w:rPr>
                <w:rFonts w:eastAsia="Times New Roman" w:cs="Calibri"/>
                <w:noProof/>
              </w:rPr>
            </w:pPr>
            <w:r>
              <w:rPr>
                <w:noProof/>
              </w:rPr>
              <w:t>RE-C08-i04</w:t>
            </w:r>
          </w:p>
        </w:tc>
        <w:tc>
          <w:tcPr>
            <w:tcW w:w="1107" w:type="dxa"/>
            <w:shd w:val="clear" w:color="auto" w:fill="C4EFCE"/>
            <w:noWrap/>
            <w:vAlign w:val="center"/>
            <w:hideMark/>
          </w:tcPr>
          <w:p w14:paraId="7176F5E0"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7BC37E58" w14:textId="77777777" w:rsidR="00A15990" w:rsidRDefault="00686A62">
            <w:pPr>
              <w:pStyle w:val="P68B1DB1-Normal8"/>
              <w:spacing w:after="0" w:line="240" w:lineRule="auto"/>
              <w:jc w:val="center"/>
              <w:rPr>
                <w:rFonts w:eastAsia="Times New Roman" w:cs="Calibri"/>
                <w:noProof/>
              </w:rPr>
            </w:pPr>
            <w:r>
              <w:rPr>
                <w:noProof/>
              </w:rPr>
              <w:t xml:space="preserve">Instalarea de radare cu polarizare dublă </w:t>
            </w:r>
          </w:p>
        </w:tc>
        <w:tc>
          <w:tcPr>
            <w:tcW w:w="1244" w:type="dxa"/>
            <w:shd w:val="clear" w:color="auto" w:fill="C4EFCE"/>
            <w:noWrap/>
            <w:vAlign w:val="center"/>
            <w:hideMark/>
          </w:tcPr>
          <w:p w14:paraId="15D2EC6F"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57C5188B" w14:textId="77777777" w:rsidR="00A15990" w:rsidRDefault="00686A62">
            <w:pPr>
              <w:pStyle w:val="P68B1DB1-Normal8"/>
              <w:spacing w:after="0" w:line="240" w:lineRule="auto"/>
              <w:jc w:val="center"/>
              <w:rPr>
                <w:rFonts w:eastAsia="Times New Roman" w:cs="Calibri"/>
                <w:noProof/>
              </w:rPr>
            </w:pPr>
            <w:r>
              <w:rPr>
                <w:noProof/>
              </w:rPr>
              <w:t xml:space="preserve"> Numărul</w:t>
            </w:r>
          </w:p>
        </w:tc>
        <w:tc>
          <w:tcPr>
            <w:tcW w:w="970" w:type="dxa"/>
            <w:shd w:val="clear" w:color="auto" w:fill="C4EFCE"/>
            <w:noWrap/>
            <w:vAlign w:val="center"/>
            <w:hideMark/>
          </w:tcPr>
          <w:p w14:paraId="3F4B6B81"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B6819FD" w14:textId="77777777" w:rsidR="00A15990" w:rsidRDefault="00686A62">
            <w:pPr>
              <w:pStyle w:val="P68B1DB1-Normal8"/>
              <w:spacing w:after="0" w:line="240" w:lineRule="auto"/>
              <w:jc w:val="center"/>
              <w:rPr>
                <w:rFonts w:eastAsia="Times New Roman" w:cs="Calibri"/>
                <w:noProof/>
              </w:rPr>
            </w:pPr>
            <w:r>
              <w:rPr>
                <w:noProof/>
              </w:rPr>
              <w:t>2</w:t>
            </w:r>
          </w:p>
        </w:tc>
        <w:tc>
          <w:tcPr>
            <w:tcW w:w="649" w:type="dxa"/>
            <w:shd w:val="clear" w:color="auto" w:fill="C4EFCE"/>
            <w:noWrap/>
            <w:vAlign w:val="center"/>
            <w:hideMark/>
          </w:tcPr>
          <w:p w14:paraId="73B9EEDA" w14:textId="7375E0C1"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noWrap/>
            <w:vAlign w:val="center"/>
            <w:hideMark/>
          </w:tcPr>
          <w:p w14:paraId="3F0D0945" w14:textId="77777777" w:rsidR="00A15990" w:rsidRDefault="00686A62">
            <w:pPr>
              <w:pStyle w:val="P68B1DB1-Normal8"/>
              <w:spacing w:after="0" w:line="240" w:lineRule="auto"/>
              <w:jc w:val="center"/>
              <w:rPr>
                <w:rFonts w:eastAsia="Times New Roman" w:cs="Calibri"/>
                <w:noProof/>
              </w:rPr>
            </w:pPr>
            <w:r>
              <w:rPr>
                <w:noProof/>
              </w:rPr>
              <w:t>2023</w:t>
            </w:r>
          </w:p>
        </w:tc>
        <w:tc>
          <w:tcPr>
            <w:tcW w:w="4204" w:type="dxa"/>
            <w:shd w:val="clear" w:color="auto" w:fill="C4EFCE"/>
            <w:vAlign w:val="center"/>
            <w:hideMark/>
          </w:tcPr>
          <w:p w14:paraId="72298171" w14:textId="77777777" w:rsidR="00A15990" w:rsidRDefault="00686A62">
            <w:pPr>
              <w:pStyle w:val="P68B1DB1-Normal8"/>
              <w:spacing w:after="0" w:line="240" w:lineRule="auto"/>
              <w:jc w:val="both"/>
              <w:rPr>
                <w:rFonts w:eastAsia="Times New Roman" w:cs="Calibri"/>
                <w:noProof/>
              </w:rPr>
            </w:pPr>
            <w:r>
              <w:rPr>
                <w:noProof/>
              </w:rPr>
              <w:t>Instalarea a două radare cu polarizare dublă cu sistemul de calcul și arhivare necesar, două detectoare de paratrăsnete și două stații meteorologice. Instalare finalizată după confirmarea faptului că acestea corespund specificațiilor tehnice și altor cerințe contractuale.</w:t>
            </w:r>
          </w:p>
        </w:tc>
      </w:tr>
      <w:tr w:rsidR="00A15990" w14:paraId="28363569" w14:textId="77777777">
        <w:trPr>
          <w:trHeight w:val="430"/>
          <w:jc w:val="center"/>
        </w:trPr>
        <w:tc>
          <w:tcPr>
            <w:tcW w:w="1114" w:type="dxa"/>
            <w:shd w:val="clear" w:color="auto" w:fill="C4EFCE"/>
            <w:vAlign w:val="center"/>
            <w:hideMark/>
          </w:tcPr>
          <w:p w14:paraId="6AE21B31" w14:textId="77777777" w:rsidR="00A15990" w:rsidRDefault="00686A62">
            <w:pPr>
              <w:pStyle w:val="P68B1DB1-Normal7"/>
              <w:spacing w:after="0" w:line="240" w:lineRule="auto"/>
              <w:jc w:val="center"/>
              <w:rPr>
                <w:rFonts w:eastAsia="Times New Roman" w:cs="Calibri"/>
                <w:noProof/>
              </w:rPr>
            </w:pPr>
            <w:r>
              <w:rPr>
                <w:noProof/>
              </w:rPr>
              <w:t>8.13</w:t>
            </w:r>
          </w:p>
        </w:tc>
        <w:tc>
          <w:tcPr>
            <w:tcW w:w="1245" w:type="dxa"/>
            <w:shd w:val="clear" w:color="auto" w:fill="C4EFCE"/>
            <w:noWrap/>
            <w:vAlign w:val="center"/>
            <w:hideMark/>
          </w:tcPr>
          <w:p w14:paraId="7F3A085B" w14:textId="77777777" w:rsidR="00A15990" w:rsidRDefault="00686A62">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705F7814"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198E7C32" w14:textId="77777777" w:rsidR="00A15990" w:rsidRDefault="00686A62">
            <w:pPr>
              <w:pStyle w:val="P68B1DB1-Normal8"/>
              <w:spacing w:after="0" w:line="240" w:lineRule="auto"/>
              <w:jc w:val="center"/>
              <w:rPr>
                <w:rFonts w:eastAsia="Times New Roman" w:cs="Calibri"/>
                <w:noProof/>
              </w:rPr>
            </w:pPr>
            <w:r>
              <w:rPr>
                <w:noProof/>
              </w:rPr>
              <w:t>Consolidarea entităților Ministerului Afacerilor Interne (MAI) cu vehicule și echipamente operaționale</w:t>
            </w:r>
          </w:p>
        </w:tc>
        <w:tc>
          <w:tcPr>
            <w:tcW w:w="1244" w:type="dxa"/>
            <w:shd w:val="clear" w:color="auto" w:fill="C4EFCE"/>
            <w:noWrap/>
            <w:vAlign w:val="center"/>
            <w:hideMark/>
          </w:tcPr>
          <w:p w14:paraId="0A3F576B"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3B0961C3" w14:textId="77777777" w:rsidR="00A15990" w:rsidRDefault="00686A62">
            <w:pPr>
              <w:pStyle w:val="P68B1DB1-Normal8"/>
              <w:spacing w:after="0" w:line="240" w:lineRule="auto"/>
              <w:jc w:val="center"/>
              <w:rPr>
                <w:rFonts w:eastAsia="Times New Roman" w:cs="Calibri"/>
                <w:noProof/>
              </w:rPr>
            </w:pPr>
            <w:r>
              <w:rPr>
                <w:noProof/>
              </w:rPr>
              <w:t>Numărul</w:t>
            </w:r>
          </w:p>
        </w:tc>
        <w:tc>
          <w:tcPr>
            <w:tcW w:w="970" w:type="dxa"/>
            <w:shd w:val="clear" w:color="auto" w:fill="C4EFCE"/>
            <w:noWrap/>
            <w:vAlign w:val="center"/>
            <w:hideMark/>
          </w:tcPr>
          <w:p w14:paraId="71F85106"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5E49558E" w14:textId="77777777" w:rsidR="00A15990" w:rsidRDefault="00686A62">
            <w:pPr>
              <w:pStyle w:val="P68B1DB1-Normal8"/>
              <w:spacing w:after="0" w:line="240" w:lineRule="auto"/>
              <w:jc w:val="center"/>
              <w:rPr>
                <w:rFonts w:eastAsia="Times New Roman" w:cs="Calibri"/>
                <w:noProof/>
              </w:rPr>
            </w:pPr>
            <w:r>
              <w:rPr>
                <w:noProof/>
              </w:rPr>
              <w:t>62</w:t>
            </w:r>
          </w:p>
        </w:tc>
        <w:tc>
          <w:tcPr>
            <w:tcW w:w="649" w:type="dxa"/>
            <w:shd w:val="clear" w:color="auto" w:fill="C4EFCE"/>
            <w:noWrap/>
            <w:vAlign w:val="center"/>
            <w:hideMark/>
          </w:tcPr>
          <w:p w14:paraId="3E640486"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noWrap/>
            <w:vAlign w:val="center"/>
            <w:hideMark/>
          </w:tcPr>
          <w:p w14:paraId="1E0E5DA7" w14:textId="77777777" w:rsidR="00A15990" w:rsidRDefault="00686A62">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hideMark/>
          </w:tcPr>
          <w:p w14:paraId="282B8265" w14:textId="17A1E554" w:rsidR="00A15990" w:rsidRDefault="00686A62">
            <w:pPr>
              <w:pStyle w:val="P68B1DB1-Normal8"/>
              <w:spacing w:after="0" w:line="240" w:lineRule="auto"/>
              <w:jc w:val="both"/>
              <w:rPr>
                <w:rFonts w:eastAsia="Times New Roman" w:cs="Calibri"/>
                <w:noProof/>
              </w:rPr>
            </w:pPr>
            <w:r>
              <w:rPr>
                <w:noProof/>
              </w:rPr>
              <w:t xml:space="preserve">Consolidarea a 62 entități MAI (ANEPC, GNR și pompieri) cu furnizarea de formare și calificare personalului operațional implicat în stingerea incendiilor, vehicule noi și echipamente operaționale pentru cel puțin 35 000 000 EUR. </w:t>
            </w:r>
          </w:p>
        </w:tc>
      </w:tr>
      <w:tr w:rsidR="00A15990" w14:paraId="57E6AB3E" w14:textId="77777777">
        <w:trPr>
          <w:trHeight w:val="430"/>
          <w:jc w:val="center"/>
        </w:trPr>
        <w:tc>
          <w:tcPr>
            <w:tcW w:w="1114" w:type="dxa"/>
            <w:shd w:val="clear" w:color="auto" w:fill="C4EFCE"/>
            <w:vAlign w:val="center"/>
            <w:hideMark/>
          </w:tcPr>
          <w:p w14:paraId="42ABB305" w14:textId="77777777" w:rsidR="00A15990" w:rsidRDefault="00686A62">
            <w:pPr>
              <w:pStyle w:val="P68B1DB1-Normal7"/>
              <w:spacing w:after="0" w:line="240" w:lineRule="auto"/>
              <w:jc w:val="center"/>
              <w:rPr>
                <w:rFonts w:eastAsia="Times New Roman" w:cs="Calibri"/>
                <w:noProof/>
              </w:rPr>
            </w:pPr>
            <w:r>
              <w:rPr>
                <w:noProof/>
              </w:rPr>
              <w:t>8.14</w:t>
            </w:r>
          </w:p>
        </w:tc>
        <w:tc>
          <w:tcPr>
            <w:tcW w:w="1245" w:type="dxa"/>
            <w:shd w:val="clear" w:color="auto" w:fill="C4EFCE"/>
            <w:noWrap/>
            <w:vAlign w:val="center"/>
            <w:hideMark/>
          </w:tcPr>
          <w:p w14:paraId="4FFF914B" w14:textId="77777777" w:rsidR="00A15990" w:rsidRDefault="00686A62">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1A75D938"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361AED32" w14:textId="77777777" w:rsidR="00A15990" w:rsidRDefault="00686A62">
            <w:pPr>
              <w:pStyle w:val="P68B1DB1-Normal8"/>
              <w:spacing w:after="0" w:line="240" w:lineRule="auto"/>
              <w:jc w:val="center"/>
              <w:rPr>
                <w:rFonts w:eastAsia="Times New Roman" w:cs="Calibri"/>
                <w:noProof/>
              </w:rPr>
            </w:pPr>
            <w:r>
              <w:rPr>
                <w:noProof/>
              </w:rPr>
              <w:t>Crearea structurilor regionale și subregionale ale Autorității Naționale pentru Urgență și Protecție Civilă (ANEPC)</w:t>
            </w:r>
          </w:p>
        </w:tc>
        <w:tc>
          <w:tcPr>
            <w:tcW w:w="1244" w:type="dxa"/>
            <w:shd w:val="clear" w:color="auto" w:fill="C4EFCE"/>
            <w:noWrap/>
            <w:vAlign w:val="center"/>
            <w:hideMark/>
          </w:tcPr>
          <w:p w14:paraId="420A6551"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23DD9936" w14:textId="77777777" w:rsidR="00A15990" w:rsidRDefault="00686A62">
            <w:pPr>
              <w:pStyle w:val="P68B1DB1-Normal8"/>
              <w:spacing w:after="0" w:line="240" w:lineRule="auto"/>
              <w:jc w:val="center"/>
              <w:rPr>
                <w:rFonts w:eastAsia="Times New Roman" w:cs="Calibri"/>
                <w:noProof/>
              </w:rPr>
            </w:pPr>
            <w:r>
              <w:rPr>
                <w:noProof/>
              </w:rPr>
              <w:t>Numărul</w:t>
            </w:r>
          </w:p>
        </w:tc>
        <w:tc>
          <w:tcPr>
            <w:tcW w:w="970" w:type="dxa"/>
            <w:shd w:val="clear" w:color="auto" w:fill="C4EFCE"/>
            <w:noWrap/>
            <w:vAlign w:val="center"/>
            <w:hideMark/>
          </w:tcPr>
          <w:p w14:paraId="074B7CB8"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75FC58FC" w14:textId="77777777" w:rsidR="00A15990" w:rsidRDefault="00686A62">
            <w:pPr>
              <w:pStyle w:val="P68B1DB1-Normal8"/>
              <w:spacing w:after="0" w:line="240" w:lineRule="auto"/>
              <w:jc w:val="center"/>
              <w:rPr>
                <w:rFonts w:eastAsia="Times New Roman" w:cs="Calibri"/>
                <w:noProof/>
              </w:rPr>
            </w:pPr>
            <w:r>
              <w:rPr>
                <w:noProof/>
              </w:rPr>
              <w:t>6</w:t>
            </w:r>
          </w:p>
        </w:tc>
        <w:tc>
          <w:tcPr>
            <w:tcW w:w="649" w:type="dxa"/>
            <w:shd w:val="clear" w:color="auto" w:fill="C4EFCE"/>
            <w:noWrap/>
            <w:vAlign w:val="center"/>
            <w:hideMark/>
          </w:tcPr>
          <w:p w14:paraId="6CEEB9F3" w14:textId="77777777" w:rsidR="00A15990" w:rsidRDefault="00686A62">
            <w:pPr>
              <w:pStyle w:val="P68B1DB1-Normal8"/>
              <w:spacing w:after="0" w:line="240" w:lineRule="auto"/>
              <w:jc w:val="center"/>
              <w:rPr>
                <w:rFonts w:eastAsia="Times New Roman" w:cs="Calibri"/>
                <w:noProof/>
              </w:rPr>
            </w:pPr>
            <w:r>
              <w:rPr>
                <w:noProof/>
              </w:rPr>
              <w:t>TRIMESTRUL 2</w:t>
            </w:r>
          </w:p>
        </w:tc>
        <w:tc>
          <w:tcPr>
            <w:tcW w:w="694" w:type="dxa"/>
            <w:shd w:val="clear" w:color="auto" w:fill="C4EFCE"/>
            <w:noWrap/>
            <w:vAlign w:val="center"/>
            <w:hideMark/>
          </w:tcPr>
          <w:p w14:paraId="1D60899A" w14:textId="77777777" w:rsidR="00A15990" w:rsidRDefault="00686A62">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B8BA932" w14:textId="77777777" w:rsidR="00A15990" w:rsidRDefault="00686A62">
            <w:pPr>
              <w:pStyle w:val="P68B1DB1-Normal8"/>
              <w:spacing w:after="0" w:line="240" w:lineRule="auto"/>
              <w:jc w:val="both"/>
              <w:rPr>
                <w:rFonts w:eastAsia="Times New Roman" w:cs="Calibri"/>
                <w:noProof/>
              </w:rPr>
            </w:pPr>
            <w:r>
              <w:rPr>
                <w:noProof/>
              </w:rPr>
              <w:t>Punerea în funcțiune a două comandamente regionale și subregionale de urgență și de protecție civilă (astfel cum sunt definite în Decretul-lege nr. 45/2019 din 1 aprilie 2019)</w:t>
            </w:r>
          </w:p>
        </w:tc>
      </w:tr>
      <w:tr w:rsidR="00A15990" w14:paraId="1BD51647" w14:textId="77777777">
        <w:trPr>
          <w:trHeight w:val="430"/>
          <w:jc w:val="center"/>
        </w:trPr>
        <w:tc>
          <w:tcPr>
            <w:tcW w:w="1114" w:type="dxa"/>
            <w:shd w:val="clear" w:color="auto" w:fill="C4EFCE"/>
            <w:vAlign w:val="center"/>
          </w:tcPr>
          <w:p w14:paraId="735E7B4B" w14:textId="650A0E03" w:rsidR="00A15990" w:rsidRDefault="00686A62">
            <w:pPr>
              <w:pStyle w:val="P68B1DB1-Normal7"/>
              <w:spacing w:after="0" w:line="240" w:lineRule="auto"/>
              <w:jc w:val="center"/>
              <w:rPr>
                <w:rFonts w:eastAsia="Times New Roman" w:cs="Calibri"/>
                <w:noProof/>
              </w:rPr>
            </w:pPr>
            <w:r>
              <w:rPr>
                <w:noProof/>
              </w:rPr>
              <w:t>8.21</w:t>
            </w:r>
          </w:p>
        </w:tc>
        <w:tc>
          <w:tcPr>
            <w:tcW w:w="1245" w:type="dxa"/>
            <w:shd w:val="clear" w:color="auto" w:fill="C4EFCE"/>
            <w:noWrap/>
            <w:vAlign w:val="center"/>
          </w:tcPr>
          <w:p w14:paraId="0AACDDC4" w14:textId="25407601" w:rsidR="00A15990" w:rsidRDefault="00686A62">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tcPr>
          <w:p w14:paraId="24C462E0" w14:textId="4B2BBB0B"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tcPr>
          <w:p w14:paraId="1D11E778" w14:textId="31BAF8A5" w:rsidR="00A15990" w:rsidRDefault="00686A62">
            <w:pPr>
              <w:pStyle w:val="P68B1DB1-Normal8"/>
              <w:spacing w:after="0" w:line="240" w:lineRule="auto"/>
              <w:jc w:val="center"/>
              <w:rPr>
                <w:rFonts w:eastAsia="Times New Roman" w:cs="Calibri"/>
                <w:noProof/>
              </w:rPr>
            </w:pPr>
            <w:r>
              <w:rPr>
                <w:noProof/>
              </w:rPr>
              <w:t>Dezvoltarea unei campanii de sensibilizare pentru prevenirea comportamentelor riscante</w:t>
            </w:r>
          </w:p>
        </w:tc>
        <w:tc>
          <w:tcPr>
            <w:tcW w:w="1244" w:type="dxa"/>
            <w:shd w:val="clear" w:color="auto" w:fill="C4EFCE"/>
            <w:noWrap/>
            <w:vAlign w:val="center"/>
          </w:tcPr>
          <w:p w14:paraId="52E9B3FE" w14:textId="580495C0" w:rsidR="00A15990" w:rsidRDefault="00686A62">
            <w:pPr>
              <w:pStyle w:val="P68B1DB1-Normal8"/>
              <w:spacing w:after="0" w:line="240" w:lineRule="auto"/>
              <w:jc w:val="center"/>
              <w:rPr>
                <w:rFonts w:eastAsia="Times New Roman" w:cs="Calibri"/>
                <w:noProof/>
              </w:rPr>
            </w:pPr>
            <w:r>
              <w:rPr>
                <w:noProof/>
              </w:rPr>
              <w:t>Promovarea campaniei de sensibilizare</w:t>
            </w:r>
          </w:p>
        </w:tc>
        <w:tc>
          <w:tcPr>
            <w:tcW w:w="971" w:type="dxa"/>
            <w:shd w:val="clear" w:color="auto" w:fill="C4EFCE"/>
            <w:noWrap/>
            <w:vAlign w:val="center"/>
          </w:tcPr>
          <w:p w14:paraId="6AAB0976" w14:textId="77777777" w:rsidR="00A15990" w:rsidRDefault="00A15990">
            <w:pPr>
              <w:spacing w:after="0" w:line="240" w:lineRule="auto"/>
              <w:jc w:val="center"/>
              <w:rPr>
                <w:rFonts w:ascii="Calibri" w:eastAsia="Times New Roman" w:hAnsi="Calibri" w:cs="Calibri"/>
                <w:noProof/>
                <w:sz w:val="16"/>
              </w:rPr>
            </w:pPr>
          </w:p>
        </w:tc>
        <w:tc>
          <w:tcPr>
            <w:tcW w:w="970" w:type="dxa"/>
            <w:shd w:val="clear" w:color="auto" w:fill="C4EFCE"/>
            <w:noWrap/>
            <w:vAlign w:val="center"/>
          </w:tcPr>
          <w:p w14:paraId="3E96ED2D" w14:textId="77777777" w:rsidR="00A15990" w:rsidRDefault="00A15990">
            <w:pPr>
              <w:spacing w:after="0" w:line="240" w:lineRule="auto"/>
              <w:jc w:val="center"/>
              <w:rPr>
                <w:rFonts w:ascii="Calibri" w:eastAsia="Times New Roman" w:hAnsi="Calibri" w:cs="Calibri"/>
                <w:noProof/>
                <w:sz w:val="16"/>
              </w:rPr>
            </w:pPr>
          </w:p>
        </w:tc>
        <w:tc>
          <w:tcPr>
            <w:tcW w:w="603" w:type="dxa"/>
            <w:shd w:val="clear" w:color="auto" w:fill="C4EFCE"/>
            <w:noWrap/>
            <w:vAlign w:val="center"/>
          </w:tcPr>
          <w:p w14:paraId="3F15B41C" w14:textId="77777777" w:rsidR="00A15990" w:rsidRDefault="00A15990">
            <w:pPr>
              <w:spacing w:after="0" w:line="240" w:lineRule="auto"/>
              <w:jc w:val="center"/>
              <w:rPr>
                <w:rFonts w:ascii="Calibri" w:eastAsia="Times New Roman" w:hAnsi="Calibri" w:cs="Calibri"/>
                <w:noProof/>
                <w:sz w:val="16"/>
              </w:rPr>
            </w:pPr>
          </w:p>
        </w:tc>
        <w:tc>
          <w:tcPr>
            <w:tcW w:w="649" w:type="dxa"/>
            <w:shd w:val="clear" w:color="auto" w:fill="C4EFCE"/>
            <w:noWrap/>
            <w:vAlign w:val="center"/>
          </w:tcPr>
          <w:p w14:paraId="3EAB6B11" w14:textId="1E35D20C" w:rsidR="00A15990" w:rsidRDefault="00686A62">
            <w:pPr>
              <w:pStyle w:val="P68B1DB1-Normal8"/>
              <w:spacing w:after="0" w:line="240" w:lineRule="auto"/>
              <w:jc w:val="center"/>
              <w:rPr>
                <w:rFonts w:eastAsia="Times New Roman" w:cs="Calibri"/>
                <w:noProof/>
              </w:rPr>
            </w:pPr>
            <w:r>
              <w:rPr>
                <w:noProof/>
              </w:rPr>
              <w:t>TRIMESTRUL 1</w:t>
            </w:r>
          </w:p>
        </w:tc>
        <w:tc>
          <w:tcPr>
            <w:tcW w:w="694" w:type="dxa"/>
            <w:shd w:val="clear" w:color="auto" w:fill="C4EFCE"/>
            <w:noWrap/>
            <w:vAlign w:val="center"/>
          </w:tcPr>
          <w:p w14:paraId="51373D4C" w14:textId="4B225C32" w:rsidR="00A15990" w:rsidRDefault="00686A62">
            <w:pPr>
              <w:pStyle w:val="P68B1DB1-Normal8"/>
              <w:spacing w:after="0" w:line="240" w:lineRule="auto"/>
              <w:jc w:val="center"/>
              <w:rPr>
                <w:rFonts w:eastAsia="Times New Roman" w:cs="Calibri"/>
                <w:noProof/>
              </w:rPr>
            </w:pPr>
            <w:r>
              <w:rPr>
                <w:noProof/>
              </w:rPr>
              <w:t>2024</w:t>
            </w:r>
          </w:p>
        </w:tc>
        <w:tc>
          <w:tcPr>
            <w:tcW w:w="4204" w:type="dxa"/>
            <w:shd w:val="clear" w:color="auto" w:fill="C4EFCE"/>
            <w:vAlign w:val="center"/>
          </w:tcPr>
          <w:p w14:paraId="4F376972" w14:textId="22BF7B73" w:rsidR="00A15990" w:rsidRDefault="00686A62">
            <w:pPr>
              <w:pStyle w:val="P68B1DB1-Normal8"/>
              <w:spacing w:after="0" w:line="240" w:lineRule="auto"/>
              <w:jc w:val="both"/>
              <w:rPr>
                <w:rFonts w:eastAsia="Times New Roman" w:cs="Calibri"/>
                <w:noProof/>
              </w:rPr>
            </w:pPr>
            <w:r>
              <w:rPr>
                <w:noProof/>
              </w:rPr>
              <w:t>Dezvoltarea unei campanii de sensibilizare și de informare în cadrul programelor „Sate sigure” și „Persoane sigure”, pentru a preveni comportamentele riscante ale populației</w:t>
            </w:r>
          </w:p>
        </w:tc>
      </w:tr>
      <w:tr w:rsidR="00A15990" w14:paraId="238DE77F" w14:textId="77777777">
        <w:trPr>
          <w:trHeight w:val="509"/>
          <w:jc w:val="center"/>
        </w:trPr>
        <w:tc>
          <w:tcPr>
            <w:tcW w:w="1114" w:type="dxa"/>
            <w:shd w:val="clear" w:color="auto" w:fill="C4EFCE"/>
            <w:vAlign w:val="center"/>
            <w:hideMark/>
          </w:tcPr>
          <w:p w14:paraId="47445FAF" w14:textId="77777777" w:rsidR="00A15990" w:rsidRDefault="00686A62">
            <w:pPr>
              <w:pStyle w:val="P68B1DB1-Normal7"/>
              <w:spacing w:after="0" w:line="240" w:lineRule="auto"/>
              <w:jc w:val="center"/>
              <w:rPr>
                <w:rFonts w:eastAsia="Times New Roman" w:cs="Calibri"/>
                <w:noProof/>
              </w:rPr>
            </w:pPr>
            <w:r>
              <w:rPr>
                <w:noProof/>
              </w:rPr>
              <w:t>8.15</w:t>
            </w:r>
          </w:p>
        </w:tc>
        <w:tc>
          <w:tcPr>
            <w:tcW w:w="1245" w:type="dxa"/>
            <w:shd w:val="clear" w:color="auto" w:fill="C4EFCE"/>
            <w:noWrap/>
            <w:vAlign w:val="center"/>
            <w:hideMark/>
          </w:tcPr>
          <w:p w14:paraId="2517A793" w14:textId="77777777" w:rsidR="00A15990" w:rsidRDefault="00686A62">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17847491" w14:textId="77777777"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4F78A110" w14:textId="38D2100B" w:rsidR="00A15990" w:rsidRDefault="00686A62">
            <w:pPr>
              <w:pStyle w:val="P68B1DB1-Normal8"/>
              <w:spacing w:after="0" w:line="240" w:lineRule="auto"/>
              <w:jc w:val="center"/>
              <w:rPr>
                <w:rFonts w:eastAsia="Times New Roman" w:cs="Calibri"/>
                <w:noProof/>
              </w:rPr>
            </w:pPr>
            <w:r>
              <w:rPr>
                <w:noProof/>
              </w:rPr>
              <w:t>Publicarea raportului inițial de către Institutul pentru Conservarea Naturii și Păduri, I.P</w:t>
            </w:r>
          </w:p>
        </w:tc>
        <w:tc>
          <w:tcPr>
            <w:tcW w:w="1244" w:type="dxa"/>
            <w:shd w:val="clear" w:color="auto" w:fill="C4EFCE"/>
            <w:noWrap/>
            <w:vAlign w:val="center"/>
            <w:hideMark/>
          </w:tcPr>
          <w:p w14:paraId="61C7BA1A" w14:textId="00CFABEF" w:rsidR="00A15990" w:rsidRDefault="00686A62">
            <w:pPr>
              <w:pStyle w:val="P68B1DB1-Normal8"/>
              <w:spacing w:after="0" w:line="240" w:lineRule="auto"/>
              <w:jc w:val="center"/>
              <w:rPr>
                <w:rFonts w:eastAsia="Times New Roman" w:cs="Calibri"/>
                <w:noProof/>
              </w:rPr>
            </w:pPr>
            <w:r>
              <w:rPr>
                <w:noProof/>
              </w:rPr>
              <w:t xml:space="preserve"> Publicarea unui raport privind contractele de program încheiate între Institutul pentru Conservarea Naturii și Păduri, I.P., organizațiile de proprietari de păduri și centrele de competență</w:t>
            </w:r>
          </w:p>
        </w:tc>
        <w:tc>
          <w:tcPr>
            <w:tcW w:w="971" w:type="dxa"/>
            <w:shd w:val="clear" w:color="auto" w:fill="C4EFCE"/>
            <w:noWrap/>
            <w:vAlign w:val="center"/>
            <w:hideMark/>
          </w:tcPr>
          <w:p w14:paraId="463B68BD" w14:textId="77777777" w:rsidR="00A15990" w:rsidRDefault="00686A62">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702DE6B6" w14:textId="77777777" w:rsidR="00A15990" w:rsidRDefault="00686A62">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BF8BBF8" w14:textId="77777777" w:rsidR="00A15990" w:rsidRDefault="00686A62">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004FE9A5" w14:textId="77777777" w:rsidR="00A15990" w:rsidRDefault="00686A62">
            <w:pPr>
              <w:pStyle w:val="P68B1DB1-Normal8"/>
              <w:spacing w:after="0" w:line="240" w:lineRule="auto"/>
              <w:jc w:val="center"/>
              <w:rPr>
                <w:rFonts w:eastAsia="Times New Roman" w:cs="Calibri"/>
                <w:noProof/>
              </w:rPr>
            </w:pPr>
            <w:r>
              <w:rPr>
                <w:noProof/>
              </w:rPr>
              <w:t>TRIMESTRUL 2</w:t>
            </w:r>
          </w:p>
        </w:tc>
        <w:tc>
          <w:tcPr>
            <w:tcW w:w="694" w:type="dxa"/>
            <w:shd w:val="clear" w:color="auto" w:fill="C4EFCE"/>
            <w:noWrap/>
            <w:vAlign w:val="center"/>
            <w:hideMark/>
          </w:tcPr>
          <w:p w14:paraId="14C31C89" w14:textId="77777777" w:rsidR="00A15990" w:rsidRDefault="00686A62">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1C2A7317" w14:textId="72498C86" w:rsidR="00A15990" w:rsidRDefault="00686A62">
            <w:pPr>
              <w:pStyle w:val="P68B1DB1-Normal8"/>
              <w:spacing w:after="0" w:line="240" w:lineRule="auto"/>
              <w:jc w:val="both"/>
              <w:rPr>
                <w:rFonts w:eastAsia="Times New Roman" w:cs="Calibri"/>
                <w:noProof/>
              </w:rPr>
            </w:pPr>
            <w:r>
              <w:rPr>
                <w:noProof/>
              </w:rPr>
              <w:t>Raportul oferă detalii cu privire la contractele de program încheiate între Institutul pentru Conservarea Naturii și Păduri, I.P. și organizațiile proprietarilor de păduri și centrele de competență, inclusiv informații privind obiectivele și țintele care trebuie atinse în fiecare an. În urma raportului inițial, punerea în aplicare și evoluția contractelor programului se publică în fiecare semestru.</w:t>
            </w:r>
          </w:p>
        </w:tc>
      </w:tr>
      <w:tr w:rsidR="00A15990" w14:paraId="306EF906" w14:textId="77777777">
        <w:trPr>
          <w:trHeight w:val="2243"/>
          <w:jc w:val="center"/>
        </w:trPr>
        <w:tc>
          <w:tcPr>
            <w:tcW w:w="1114" w:type="dxa"/>
            <w:shd w:val="clear" w:color="auto" w:fill="C4EFCE"/>
            <w:vAlign w:val="center"/>
            <w:hideMark/>
          </w:tcPr>
          <w:p w14:paraId="66DD3540" w14:textId="77777777" w:rsidR="00A15990" w:rsidRDefault="00686A62">
            <w:pPr>
              <w:pStyle w:val="P68B1DB1-Normal7"/>
              <w:spacing w:after="0" w:line="240" w:lineRule="auto"/>
              <w:jc w:val="center"/>
              <w:rPr>
                <w:rFonts w:eastAsia="Times New Roman" w:cs="Calibri"/>
                <w:noProof/>
              </w:rPr>
            </w:pPr>
            <w:r>
              <w:rPr>
                <w:noProof/>
              </w:rPr>
              <w:t>8.16</w:t>
            </w:r>
          </w:p>
        </w:tc>
        <w:tc>
          <w:tcPr>
            <w:tcW w:w="1245" w:type="dxa"/>
            <w:shd w:val="clear" w:color="auto" w:fill="C4EFCE"/>
            <w:noWrap/>
            <w:vAlign w:val="center"/>
            <w:hideMark/>
          </w:tcPr>
          <w:p w14:paraId="4F50D588" w14:textId="77777777" w:rsidR="00A15990" w:rsidRDefault="00686A62">
            <w:pPr>
              <w:pStyle w:val="P68B1DB1-Normal8"/>
              <w:spacing w:after="0" w:line="240" w:lineRule="auto"/>
              <w:jc w:val="center"/>
              <w:rPr>
                <w:rFonts w:eastAsia="Times New Roman" w:cs="Calibri"/>
                <w:noProof/>
              </w:rPr>
            </w:pPr>
            <w:r>
              <w:rPr>
                <w:noProof/>
              </w:rPr>
              <w:t>RE-C08-i05</w:t>
            </w:r>
          </w:p>
        </w:tc>
        <w:tc>
          <w:tcPr>
            <w:tcW w:w="1107" w:type="dxa"/>
            <w:shd w:val="clear" w:color="auto" w:fill="C4EFCE"/>
            <w:noWrap/>
            <w:vAlign w:val="center"/>
            <w:hideMark/>
          </w:tcPr>
          <w:p w14:paraId="6B1C90DB" w14:textId="77777777" w:rsidR="00A15990" w:rsidRDefault="00686A62">
            <w:pPr>
              <w:pStyle w:val="P68B1DB1-Normal8"/>
              <w:spacing w:after="0" w:line="240" w:lineRule="auto"/>
              <w:jc w:val="center"/>
              <w:rPr>
                <w:rFonts w:eastAsia="Times New Roman" w:cs="Calibri"/>
                <w:noProof/>
              </w:rPr>
            </w:pPr>
            <w:r>
              <w:rPr>
                <w:noProof/>
              </w:rPr>
              <w:t>T</w:t>
            </w:r>
          </w:p>
        </w:tc>
        <w:tc>
          <w:tcPr>
            <w:tcW w:w="1658" w:type="dxa"/>
            <w:shd w:val="clear" w:color="auto" w:fill="C4EFCE"/>
            <w:noWrap/>
            <w:vAlign w:val="center"/>
            <w:hideMark/>
          </w:tcPr>
          <w:p w14:paraId="41EE0237" w14:textId="77777777" w:rsidR="00A15990" w:rsidRDefault="00686A62">
            <w:pPr>
              <w:pStyle w:val="P68B1DB1-Normal8"/>
              <w:spacing w:after="0" w:line="240" w:lineRule="auto"/>
              <w:jc w:val="center"/>
              <w:rPr>
                <w:rFonts w:eastAsia="Times New Roman" w:cs="Calibri"/>
                <w:noProof/>
              </w:rPr>
            </w:pPr>
            <w:r>
              <w:rPr>
                <w:noProof/>
              </w:rPr>
              <w:t xml:space="preserve">Punerea în aplicare a unui program național de formare </w:t>
            </w:r>
          </w:p>
        </w:tc>
        <w:tc>
          <w:tcPr>
            <w:tcW w:w="1244" w:type="dxa"/>
            <w:shd w:val="clear" w:color="auto" w:fill="C4EFCE"/>
            <w:noWrap/>
            <w:vAlign w:val="center"/>
            <w:hideMark/>
          </w:tcPr>
          <w:p w14:paraId="62D7DE1B" w14:textId="77777777" w:rsidR="00A15990" w:rsidRDefault="00686A62">
            <w:pPr>
              <w:pStyle w:val="P68B1DB1-Normal8"/>
              <w:spacing w:after="0" w:line="240" w:lineRule="auto"/>
              <w:jc w:val="center"/>
              <w:rPr>
                <w:rFonts w:eastAsia="Times New Roman" w:cs="Calibri"/>
                <w:noProof/>
              </w:rPr>
            </w:pPr>
            <w:r>
              <w:rPr>
                <w:noProof/>
              </w:rPr>
              <w:t> </w:t>
            </w:r>
          </w:p>
        </w:tc>
        <w:tc>
          <w:tcPr>
            <w:tcW w:w="971" w:type="dxa"/>
            <w:shd w:val="clear" w:color="auto" w:fill="C4EFCE"/>
            <w:noWrap/>
            <w:vAlign w:val="center"/>
            <w:hideMark/>
          </w:tcPr>
          <w:p w14:paraId="0E70A1C1" w14:textId="77777777" w:rsidR="00A15990" w:rsidRDefault="00686A62">
            <w:pPr>
              <w:pStyle w:val="P68B1DB1-Normal8"/>
              <w:spacing w:after="0" w:line="240" w:lineRule="auto"/>
              <w:jc w:val="center"/>
              <w:rPr>
                <w:rFonts w:eastAsia="Times New Roman" w:cs="Calibri"/>
                <w:noProof/>
              </w:rPr>
            </w:pPr>
            <w:r>
              <w:rPr>
                <w:noProof/>
              </w:rPr>
              <w:t>Numărul</w:t>
            </w:r>
          </w:p>
        </w:tc>
        <w:tc>
          <w:tcPr>
            <w:tcW w:w="970" w:type="dxa"/>
            <w:shd w:val="clear" w:color="auto" w:fill="C4EFCE"/>
            <w:noWrap/>
            <w:vAlign w:val="center"/>
            <w:hideMark/>
          </w:tcPr>
          <w:p w14:paraId="11FA2AD4" w14:textId="77777777" w:rsidR="00A15990" w:rsidRDefault="00686A62">
            <w:pPr>
              <w:pStyle w:val="P68B1DB1-Normal8"/>
              <w:spacing w:after="0" w:line="240" w:lineRule="auto"/>
              <w:jc w:val="center"/>
              <w:rPr>
                <w:rFonts w:eastAsia="Times New Roman" w:cs="Calibri"/>
                <w:noProof/>
              </w:rPr>
            </w:pPr>
            <w:r>
              <w:rPr>
                <w:noProof/>
              </w:rPr>
              <w:t>0</w:t>
            </w:r>
          </w:p>
        </w:tc>
        <w:tc>
          <w:tcPr>
            <w:tcW w:w="603" w:type="dxa"/>
            <w:shd w:val="clear" w:color="auto" w:fill="C4EFCE"/>
            <w:noWrap/>
            <w:vAlign w:val="center"/>
            <w:hideMark/>
          </w:tcPr>
          <w:p w14:paraId="4549C5F5" w14:textId="77777777" w:rsidR="00A15990" w:rsidRDefault="00686A62">
            <w:pPr>
              <w:pStyle w:val="P68B1DB1-Normal8"/>
              <w:spacing w:after="0" w:line="240" w:lineRule="auto"/>
              <w:jc w:val="center"/>
              <w:rPr>
                <w:rFonts w:eastAsia="Times New Roman" w:cs="Calibri"/>
                <w:noProof/>
              </w:rPr>
            </w:pPr>
            <w:r>
              <w:rPr>
                <w:noProof/>
              </w:rPr>
              <w:t>150</w:t>
            </w:r>
          </w:p>
        </w:tc>
        <w:tc>
          <w:tcPr>
            <w:tcW w:w="649" w:type="dxa"/>
            <w:shd w:val="clear" w:color="auto" w:fill="C4EFCE"/>
            <w:noWrap/>
            <w:vAlign w:val="center"/>
            <w:hideMark/>
          </w:tcPr>
          <w:p w14:paraId="3A3C11A9"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noWrap/>
            <w:vAlign w:val="center"/>
            <w:hideMark/>
          </w:tcPr>
          <w:p w14:paraId="2D7E4914" w14:textId="77777777" w:rsidR="00A15990" w:rsidRDefault="00686A62">
            <w:pPr>
              <w:pStyle w:val="P68B1DB1-Normal8"/>
              <w:spacing w:after="0" w:line="240" w:lineRule="auto"/>
              <w:jc w:val="center"/>
              <w:rPr>
                <w:rFonts w:eastAsia="Times New Roman" w:cs="Calibri"/>
                <w:noProof/>
              </w:rPr>
            </w:pPr>
            <w:r>
              <w:rPr>
                <w:noProof/>
              </w:rPr>
              <w:t>2025</w:t>
            </w:r>
          </w:p>
        </w:tc>
        <w:tc>
          <w:tcPr>
            <w:tcW w:w="4204" w:type="dxa"/>
            <w:shd w:val="clear" w:color="auto" w:fill="C4EFCE"/>
            <w:vAlign w:val="center"/>
            <w:hideMark/>
          </w:tcPr>
          <w:p w14:paraId="60C63F15" w14:textId="2481ACA9" w:rsidR="00A15990" w:rsidRDefault="00686A62">
            <w:pPr>
              <w:pStyle w:val="P68B1DB1-Normal8"/>
              <w:spacing w:after="0" w:line="240" w:lineRule="auto"/>
              <w:jc w:val="both"/>
              <w:rPr>
                <w:rFonts w:eastAsia="Times New Roman" w:cs="Calibri"/>
                <w:noProof/>
              </w:rPr>
            </w:pPr>
            <w:r>
              <w:rPr>
                <w:noProof/>
              </w:rPr>
              <w:t>150 de tehnicieni din cadrul organizațiilor de producători forestieri beneficiază de formare cu o durată a cursurilor de formare de cel puțin 684 de ore. Formarea se axează pe următoarele teme: gestionarea organizației, prevenirea incendiilor rurale, curățarea controlată a incendiilor, sănătatea plantelor, certificarea gestionării durabile a pădurilor, multifuncționalitatea teritoriilor forestiere, produsele forestiere nelemnoase, remunerarea serviciilor ecosistemice, biodiversitatea, infrastructura forestieră, proiectele forestiere, inventarul forestier sau registrul funciar.</w:t>
            </w:r>
          </w:p>
        </w:tc>
      </w:tr>
      <w:tr w:rsidR="00A15990" w14:paraId="69BDF293" w14:textId="77777777">
        <w:trPr>
          <w:trHeight w:val="840"/>
          <w:jc w:val="center"/>
        </w:trPr>
        <w:tc>
          <w:tcPr>
            <w:tcW w:w="1114" w:type="dxa"/>
            <w:shd w:val="clear" w:color="auto" w:fill="C4EFCE"/>
            <w:vAlign w:val="center"/>
            <w:hideMark/>
          </w:tcPr>
          <w:p w14:paraId="2C542057" w14:textId="77777777" w:rsidR="00A15990" w:rsidRDefault="00686A62">
            <w:pPr>
              <w:pStyle w:val="P68B1DB1-Normal7"/>
              <w:spacing w:after="0" w:line="240" w:lineRule="auto"/>
              <w:jc w:val="center"/>
              <w:rPr>
                <w:rFonts w:eastAsia="Times New Roman" w:cs="Calibri"/>
                <w:noProof/>
              </w:rPr>
            </w:pPr>
            <w:r>
              <w:rPr>
                <w:noProof/>
              </w:rPr>
              <w:t>8.17</w:t>
            </w:r>
          </w:p>
        </w:tc>
        <w:tc>
          <w:tcPr>
            <w:tcW w:w="1245" w:type="dxa"/>
            <w:shd w:val="clear" w:color="auto" w:fill="C4EFCE"/>
            <w:noWrap/>
            <w:vAlign w:val="center"/>
            <w:hideMark/>
          </w:tcPr>
          <w:p w14:paraId="3269762F" w14:textId="77777777" w:rsidR="00A15990" w:rsidRDefault="00686A62">
            <w:pPr>
              <w:pStyle w:val="P68B1DB1-Normal8"/>
              <w:spacing w:after="0" w:line="240" w:lineRule="auto"/>
              <w:jc w:val="center"/>
              <w:rPr>
                <w:rFonts w:eastAsia="Times New Roman" w:cs="Calibri"/>
                <w:noProof/>
              </w:rPr>
            </w:pPr>
            <w:r>
              <w:rPr>
                <w:noProof/>
              </w:rPr>
              <w:t>RE-C08-r19</w:t>
            </w:r>
          </w:p>
        </w:tc>
        <w:tc>
          <w:tcPr>
            <w:tcW w:w="1107" w:type="dxa"/>
            <w:shd w:val="clear" w:color="auto" w:fill="C4EFCE"/>
            <w:noWrap/>
            <w:vAlign w:val="center"/>
            <w:hideMark/>
          </w:tcPr>
          <w:p w14:paraId="12E7B4FB" w14:textId="77777777"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5E16B4BC" w14:textId="77777777" w:rsidR="00A15990" w:rsidRDefault="00686A62">
            <w:pPr>
              <w:pStyle w:val="P68B1DB1-Normal8"/>
              <w:spacing w:after="0" w:line="240" w:lineRule="auto"/>
              <w:jc w:val="center"/>
              <w:rPr>
                <w:rFonts w:eastAsia="Times New Roman" w:cs="Calibri"/>
                <w:noProof/>
              </w:rPr>
            </w:pPr>
            <w:r>
              <w:rPr>
                <w:noProof/>
              </w:rPr>
              <w:t xml:space="preserve">Cadrul juridic privind deținerea obligatorie a terenurilor rurale în zonele forestiere </w:t>
            </w:r>
          </w:p>
        </w:tc>
        <w:tc>
          <w:tcPr>
            <w:tcW w:w="1244" w:type="dxa"/>
            <w:shd w:val="clear" w:color="auto" w:fill="C4EFCE"/>
            <w:noWrap/>
            <w:vAlign w:val="center"/>
            <w:hideMark/>
          </w:tcPr>
          <w:p w14:paraId="7E669474" w14:textId="77777777" w:rsidR="00A15990" w:rsidRDefault="00686A62">
            <w:pPr>
              <w:pStyle w:val="P68B1DB1-Normal8"/>
              <w:spacing w:after="0" w:line="240" w:lineRule="auto"/>
              <w:jc w:val="center"/>
              <w:rPr>
                <w:rFonts w:eastAsia="Times New Roman" w:cs="Calibri"/>
                <w:noProof/>
              </w:rPr>
            </w:pPr>
            <w:r>
              <w:rPr>
                <w:noProof/>
              </w:rPr>
              <w:t>Intrarea în vigoare a cadrului juridic privind deținerea obligatorie a terenurilor rurale în zonele forestiere.</w:t>
            </w:r>
          </w:p>
        </w:tc>
        <w:tc>
          <w:tcPr>
            <w:tcW w:w="971" w:type="dxa"/>
            <w:shd w:val="clear" w:color="auto" w:fill="C4EFCE"/>
            <w:noWrap/>
            <w:vAlign w:val="center"/>
            <w:hideMark/>
          </w:tcPr>
          <w:p w14:paraId="405A1B1B" w14:textId="77777777" w:rsidR="00A15990" w:rsidRDefault="00686A62">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5BCEA31D" w14:textId="77777777" w:rsidR="00A15990" w:rsidRDefault="00686A62">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154743E" w14:textId="77777777" w:rsidR="00A15990" w:rsidRDefault="00686A62">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3FFC26CB"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noWrap/>
            <w:vAlign w:val="center"/>
            <w:hideMark/>
          </w:tcPr>
          <w:p w14:paraId="47692365" w14:textId="77777777" w:rsidR="00A15990" w:rsidRDefault="00686A62">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201F1AD9" w14:textId="77777777" w:rsidR="00A15990" w:rsidRDefault="00686A62">
            <w:pPr>
              <w:pStyle w:val="P68B1DB1-Normal8"/>
              <w:spacing w:after="0" w:line="240" w:lineRule="auto"/>
              <w:jc w:val="both"/>
              <w:rPr>
                <w:rFonts w:eastAsia="Times New Roman" w:cs="Calibri"/>
                <w:noProof/>
              </w:rPr>
            </w:pPr>
            <w:r>
              <w:rPr>
                <w:noProof/>
              </w:rPr>
              <w:t xml:space="preserve">Intrarea în vigoare a cadrului juridic de punere în aplicare a deținerii obligatorii a terenurilor rurale în zonele forestiere. Închirierea obligatorie se aplică exclusiv în cazul în care proprietarii de terenuri nu își exprimă angajamentul de a executa acțiunile definite în operațiunea de gestionare integrată a peisajului (OIGP) stabilită pentru zona de gestionare integrată a peisajului (AIGP) în măsura în care proprietatea lor este localizată. </w:t>
            </w:r>
          </w:p>
          <w:p w14:paraId="477BB2F7" w14:textId="77777777" w:rsidR="00A15990" w:rsidRDefault="00A15990">
            <w:pPr>
              <w:spacing w:after="0" w:line="240" w:lineRule="auto"/>
              <w:jc w:val="both"/>
              <w:rPr>
                <w:rFonts w:ascii="Calibri" w:eastAsia="Times New Roman" w:hAnsi="Calibri" w:cs="Calibri"/>
                <w:noProof/>
                <w:sz w:val="16"/>
              </w:rPr>
            </w:pPr>
          </w:p>
          <w:p w14:paraId="277FB7E1" w14:textId="6455B7DE" w:rsidR="00A15990" w:rsidRDefault="00686A62">
            <w:pPr>
              <w:pStyle w:val="P68B1DB1-Normal8"/>
              <w:spacing w:after="0" w:line="240" w:lineRule="auto"/>
              <w:jc w:val="both"/>
              <w:rPr>
                <w:rFonts w:eastAsia="Times New Roman" w:cs="Calibri"/>
                <w:noProof/>
              </w:rPr>
            </w:pPr>
            <w:r>
              <w:rPr>
                <w:noProof/>
              </w:rPr>
              <w:t>Proiectul de lege nr. 68/2020 din 5 noiembrie autorizează guvernul să modifice Legea nr. 31/2014 din 30 mai (stabilește bazele generale ale ordinii publice funciare, urbanistice și rurale, în vederea aprobării regimului juridic al proprietății obligatorii</w:t>
            </w:r>
          </w:p>
        </w:tc>
      </w:tr>
      <w:tr w:rsidR="00A15990" w14:paraId="233038E2" w14:textId="77777777">
        <w:trPr>
          <w:trHeight w:val="2388"/>
          <w:jc w:val="center"/>
        </w:trPr>
        <w:tc>
          <w:tcPr>
            <w:tcW w:w="1114" w:type="dxa"/>
            <w:shd w:val="clear" w:color="auto" w:fill="C4EFCE"/>
            <w:vAlign w:val="center"/>
            <w:hideMark/>
          </w:tcPr>
          <w:p w14:paraId="0E2ACB3B" w14:textId="77777777" w:rsidR="00A15990" w:rsidRDefault="00686A62">
            <w:pPr>
              <w:pStyle w:val="P68B1DB1-Normal7"/>
              <w:spacing w:after="0" w:line="240" w:lineRule="auto"/>
              <w:jc w:val="center"/>
              <w:rPr>
                <w:rFonts w:eastAsia="Times New Roman" w:cs="Calibri"/>
                <w:noProof/>
              </w:rPr>
            </w:pPr>
            <w:r>
              <w:rPr>
                <w:noProof/>
              </w:rPr>
              <w:t>8.18</w:t>
            </w:r>
          </w:p>
        </w:tc>
        <w:tc>
          <w:tcPr>
            <w:tcW w:w="1245" w:type="dxa"/>
            <w:shd w:val="clear" w:color="auto" w:fill="C4EFCE"/>
            <w:noWrap/>
            <w:vAlign w:val="center"/>
            <w:hideMark/>
          </w:tcPr>
          <w:p w14:paraId="1AC3438B" w14:textId="77777777" w:rsidR="00A15990" w:rsidRDefault="00686A62">
            <w:pPr>
              <w:pStyle w:val="P68B1DB1-Normal8"/>
              <w:spacing w:after="0" w:line="240" w:lineRule="auto"/>
              <w:jc w:val="center"/>
              <w:rPr>
                <w:rFonts w:eastAsia="Times New Roman" w:cs="Calibri"/>
                <w:noProof/>
              </w:rPr>
            </w:pPr>
            <w:r>
              <w:rPr>
                <w:noProof/>
              </w:rPr>
              <w:t>RE-C08-r20</w:t>
            </w:r>
          </w:p>
        </w:tc>
        <w:tc>
          <w:tcPr>
            <w:tcW w:w="1107" w:type="dxa"/>
            <w:shd w:val="clear" w:color="auto" w:fill="C4EFCE"/>
            <w:noWrap/>
            <w:vAlign w:val="center"/>
            <w:hideMark/>
          </w:tcPr>
          <w:p w14:paraId="5002EC4F" w14:textId="77777777"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1B30711D" w14:textId="77777777" w:rsidR="00A15990" w:rsidRDefault="00686A62">
            <w:pPr>
              <w:pStyle w:val="P68B1DB1-Normal8"/>
              <w:spacing w:after="0" w:line="240" w:lineRule="auto"/>
              <w:jc w:val="center"/>
              <w:rPr>
                <w:rFonts w:eastAsia="Times New Roman" w:cs="Calibri"/>
                <w:noProof/>
              </w:rPr>
            </w:pPr>
            <w:r>
              <w:rPr>
                <w:noProof/>
              </w:rPr>
              <w:t>Sistemul de monitorizare a acoperirii terenurilor (Land Cover Monitoring System – SMOS)</w:t>
            </w:r>
          </w:p>
        </w:tc>
        <w:tc>
          <w:tcPr>
            <w:tcW w:w="1244" w:type="dxa"/>
            <w:shd w:val="clear" w:color="auto" w:fill="C4EFCE"/>
            <w:noWrap/>
            <w:vAlign w:val="center"/>
            <w:hideMark/>
          </w:tcPr>
          <w:p w14:paraId="2C7013EB" w14:textId="1DC9A7AA" w:rsidR="00A15990" w:rsidRDefault="00686A62">
            <w:pPr>
              <w:pStyle w:val="P68B1DB1-Normal8"/>
              <w:spacing w:after="0" w:line="240" w:lineRule="auto"/>
              <w:jc w:val="center"/>
              <w:rPr>
                <w:rFonts w:eastAsia="Times New Roman" w:cs="Calibri"/>
                <w:noProof/>
              </w:rPr>
            </w:pPr>
            <w:r>
              <w:rPr>
                <w:noProof/>
              </w:rPr>
              <w:t>Punerea în funcțiune a sistemului de monitorizare a acoperirii terenurilor (Land Cover Monitoring System – SMOS)</w:t>
            </w:r>
          </w:p>
        </w:tc>
        <w:tc>
          <w:tcPr>
            <w:tcW w:w="971" w:type="dxa"/>
            <w:shd w:val="clear" w:color="auto" w:fill="C4EFCE"/>
            <w:noWrap/>
            <w:vAlign w:val="center"/>
            <w:hideMark/>
          </w:tcPr>
          <w:p w14:paraId="62B8E28E" w14:textId="77777777" w:rsidR="00A15990" w:rsidRDefault="00686A62">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69D846A9" w14:textId="77777777" w:rsidR="00A15990" w:rsidRDefault="00686A62">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291BC2DF" w14:textId="77777777" w:rsidR="00A15990" w:rsidRDefault="00686A62">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290FBA0F" w14:textId="77777777" w:rsidR="00A15990" w:rsidRDefault="00686A62">
            <w:pPr>
              <w:pStyle w:val="P68B1DB1-Normal8"/>
              <w:spacing w:after="0" w:line="240" w:lineRule="auto"/>
              <w:jc w:val="center"/>
              <w:rPr>
                <w:rFonts w:eastAsia="Times New Roman" w:cs="Calibri"/>
                <w:noProof/>
              </w:rPr>
            </w:pPr>
            <w:r>
              <w:rPr>
                <w:noProof/>
              </w:rPr>
              <w:t>TRIMESTRUL 4</w:t>
            </w:r>
          </w:p>
        </w:tc>
        <w:tc>
          <w:tcPr>
            <w:tcW w:w="694" w:type="dxa"/>
            <w:shd w:val="clear" w:color="auto" w:fill="C4EFCE"/>
            <w:noWrap/>
            <w:vAlign w:val="center"/>
            <w:hideMark/>
          </w:tcPr>
          <w:p w14:paraId="5B618B25" w14:textId="77777777" w:rsidR="00A15990" w:rsidRDefault="00686A62">
            <w:pPr>
              <w:pStyle w:val="P68B1DB1-Normal8"/>
              <w:spacing w:after="0" w:line="240" w:lineRule="auto"/>
              <w:jc w:val="center"/>
              <w:rPr>
                <w:rFonts w:eastAsia="Times New Roman" w:cs="Calibri"/>
                <w:noProof/>
              </w:rPr>
            </w:pPr>
            <w:r>
              <w:rPr>
                <w:noProof/>
              </w:rPr>
              <w:t>2022</w:t>
            </w:r>
          </w:p>
        </w:tc>
        <w:tc>
          <w:tcPr>
            <w:tcW w:w="4204" w:type="dxa"/>
            <w:shd w:val="clear" w:color="auto" w:fill="C4EFCE"/>
            <w:vAlign w:val="center"/>
            <w:hideMark/>
          </w:tcPr>
          <w:p w14:paraId="4823DF09" w14:textId="7F190947" w:rsidR="00A15990" w:rsidRDefault="00686A62">
            <w:pPr>
              <w:pStyle w:val="P68B1DB1-Normal8"/>
              <w:spacing w:after="0" w:line="240" w:lineRule="auto"/>
              <w:jc w:val="both"/>
              <w:rPr>
                <w:rFonts w:eastAsia="Times New Roman" w:cs="Calibri"/>
                <w:noProof/>
              </w:rPr>
            </w:pPr>
            <w:r>
              <w:rPr>
                <w:noProof/>
              </w:rPr>
              <w:t xml:space="preserve">Punerea în funcțiune a sistemului de monitorizare a acoperirii terenurilor (Land Cover Monitoring System – SMOS), care cuprinde acoperirea LiDAR, modelul digital de teren, modelul culturilor și vegetației, hărțile culturilor și ale vegetației, hărțile de acoperire a terenurilor și acoperirea imaginilor prin satelit. </w:t>
            </w:r>
          </w:p>
        </w:tc>
      </w:tr>
      <w:tr w:rsidR="00A15990" w14:paraId="538F72C3" w14:textId="77777777">
        <w:trPr>
          <w:trHeight w:val="3977"/>
          <w:jc w:val="center"/>
        </w:trPr>
        <w:tc>
          <w:tcPr>
            <w:tcW w:w="1114" w:type="dxa"/>
            <w:shd w:val="clear" w:color="auto" w:fill="C4EFCE"/>
            <w:vAlign w:val="center"/>
            <w:hideMark/>
          </w:tcPr>
          <w:p w14:paraId="0C02FD10" w14:textId="77777777" w:rsidR="00A15990" w:rsidRDefault="00686A62">
            <w:pPr>
              <w:pStyle w:val="P68B1DB1-Normal7"/>
              <w:spacing w:after="0" w:line="240" w:lineRule="auto"/>
              <w:jc w:val="center"/>
              <w:rPr>
                <w:rFonts w:eastAsia="Times New Roman" w:cs="Calibri"/>
                <w:noProof/>
              </w:rPr>
            </w:pPr>
            <w:r>
              <w:rPr>
                <w:noProof/>
              </w:rPr>
              <w:t>8.19</w:t>
            </w:r>
          </w:p>
        </w:tc>
        <w:tc>
          <w:tcPr>
            <w:tcW w:w="1245" w:type="dxa"/>
            <w:shd w:val="clear" w:color="auto" w:fill="C4EFCE"/>
            <w:noWrap/>
            <w:vAlign w:val="center"/>
            <w:hideMark/>
          </w:tcPr>
          <w:p w14:paraId="69B302CF" w14:textId="77777777" w:rsidR="00A15990" w:rsidRDefault="00686A62">
            <w:pPr>
              <w:pStyle w:val="P68B1DB1-Normal8"/>
              <w:spacing w:after="0" w:line="240" w:lineRule="auto"/>
              <w:jc w:val="center"/>
              <w:rPr>
                <w:rFonts w:eastAsia="Times New Roman" w:cs="Calibri"/>
                <w:noProof/>
              </w:rPr>
            </w:pPr>
            <w:r>
              <w:rPr>
                <w:noProof/>
              </w:rPr>
              <w:t>RE-C08-r21</w:t>
            </w:r>
          </w:p>
        </w:tc>
        <w:tc>
          <w:tcPr>
            <w:tcW w:w="1107" w:type="dxa"/>
            <w:shd w:val="clear" w:color="auto" w:fill="C4EFCE"/>
            <w:noWrap/>
            <w:vAlign w:val="center"/>
            <w:hideMark/>
          </w:tcPr>
          <w:p w14:paraId="137FC1A7" w14:textId="77777777" w:rsidR="00A15990" w:rsidRDefault="00686A62">
            <w:pPr>
              <w:pStyle w:val="P68B1DB1-Normal8"/>
              <w:spacing w:after="0" w:line="240" w:lineRule="auto"/>
              <w:jc w:val="center"/>
              <w:rPr>
                <w:rFonts w:eastAsia="Times New Roman" w:cs="Calibri"/>
                <w:noProof/>
              </w:rPr>
            </w:pPr>
            <w:r>
              <w:rPr>
                <w:noProof/>
              </w:rPr>
              <w:t>M</w:t>
            </w:r>
          </w:p>
        </w:tc>
        <w:tc>
          <w:tcPr>
            <w:tcW w:w="1658" w:type="dxa"/>
            <w:shd w:val="clear" w:color="auto" w:fill="C4EFCE"/>
            <w:noWrap/>
            <w:vAlign w:val="center"/>
            <w:hideMark/>
          </w:tcPr>
          <w:p w14:paraId="2734E036" w14:textId="77777777" w:rsidR="00A15990" w:rsidRDefault="00686A62">
            <w:pPr>
              <w:pStyle w:val="P68B1DB1-Normal8"/>
              <w:spacing w:after="0" w:line="240" w:lineRule="auto"/>
              <w:jc w:val="center"/>
              <w:rPr>
                <w:rFonts w:eastAsia="Times New Roman" w:cs="Calibri"/>
                <w:noProof/>
              </w:rPr>
            </w:pPr>
            <w:r>
              <w:rPr>
                <w:noProof/>
              </w:rPr>
              <w:t>Legea privind instituirea sistemului integrat de gestionare a incendiilor din mediul rural (SGIFR)</w:t>
            </w:r>
          </w:p>
        </w:tc>
        <w:tc>
          <w:tcPr>
            <w:tcW w:w="1244" w:type="dxa"/>
            <w:shd w:val="clear" w:color="auto" w:fill="C4EFCE"/>
            <w:noWrap/>
            <w:vAlign w:val="center"/>
            <w:hideMark/>
          </w:tcPr>
          <w:p w14:paraId="328A4877" w14:textId="77777777" w:rsidR="00A15990" w:rsidRDefault="00686A62">
            <w:pPr>
              <w:pStyle w:val="P68B1DB1-Normal8"/>
              <w:spacing w:after="0" w:line="240" w:lineRule="auto"/>
              <w:jc w:val="center"/>
              <w:rPr>
                <w:rFonts w:eastAsia="Times New Roman" w:cs="Calibri"/>
                <w:noProof/>
              </w:rPr>
            </w:pPr>
            <w:r>
              <w:rPr>
                <w:noProof/>
              </w:rPr>
              <w:t>Intrarea în vigoare a legii de instituire a sistemului integrat de gestionare a incendiilor din mediul rural (SIGIFR) și de stabilire a normelor de funcționare a acestuia.</w:t>
            </w:r>
          </w:p>
        </w:tc>
        <w:tc>
          <w:tcPr>
            <w:tcW w:w="971" w:type="dxa"/>
            <w:shd w:val="clear" w:color="auto" w:fill="C4EFCE"/>
            <w:noWrap/>
            <w:vAlign w:val="center"/>
            <w:hideMark/>
          </w:tcPr>
          <w:p w14:paraId="7E0AD6B1" w14:textId="77777777" w:rsidR="00A15990" w:rsidRDefault="00686A62">
            <w:pPr>
              <w:pStyle w:val="P68B1DB1-Normal8"/>
              <w:spacing w:after="0" w:line="240" w:lineRule="auto"/>
              <w:jc w:val="center"/>
              <w:rPr>
                <w:rFonts w:eastAsia="Times New Roman" w:cs="Calibri"/>
                <w:noProof/>
              </w:rPr>
            </w:pPr>
            <w:r>
              <w:rPr>
                <w:noProof/>
              </w:rPr>
              <w:t> </w:t>
            </w:r>
          </w:p>
        </w:tc>
        <w:tc>
          <w:tcPr>
            <w:tcW w:w="970" w:type="dxa"/>
            <w:shd w:val="clear" w:color="auto" w:fill="C4EFCE"/>
            <w:noWrap/>
            <w:vAlign w:val="center"/>
            <w:hideMark/>
          </w:tcPr>
          <w:p w14:paraId="00DB3FDD" w14:textId="77777777" w:rsidR="00A15990" w:rsidRDefault="00686A62">
            <w:pPr>
              <w:pStyle w:val="P68B1DB1-Normal8"/>
              <w:spacing w:after="0" w:line="240" w:lineRule="auto"/>
              <w:jc w:val="center"/>
              <w:rPr>
                <w:rFonts w:eastAsia="Times New Roman" w:cs="Calibri"/>
                <w:noProof/>
              </w:rPr>
            </w:pPr>
            <w:r>
              <w:rPr>
                <w:noProof/>
              </w:rPr>
              <w:t> </w:t>
            </w:r>
          </w:p>
        </w:tc>
        <w:tc>
          <w:tcPr>
            <w:tcW w:w="603" w:type="dxa"/>
            <w:shd w:val="clear" w:color="auto" w:fill="C4EFCE"/>
            <w:noWrap/>
            <w:vAlign w:val="center"/>
            <w:hideMark/>
          </w:tcPr>
          <w:p w14:paraId="762DA2A0" w14:textId="77777777" w:rsidR="00A15990" w:rsidRDefault="00686A62">
            <w:pPr>
              <w:pStyle w:val="P68B1DB1-Normal8"/>
              <w:spacing w:after="0" w:line="240" w:lineRule="auto"/>
              <w:jc w:val="center"/>
              <w:rPr>
                <w:rFonts w:eastAsia="Times New Roman" w:cs="Calibri"/>
                <w:noProof/>
              </w:rPr>
            </w:pPr>
            <w:r>
              <w:rPr>
                <w:noProof/>
              </w:rPr>
              <w:t> </w:t>
            </w:r>
          </w:p>
        </w:tc>
        <w:tc>
          <w:tcPr>
            <w:tcW w:w="649" w:type="dxa"/>
            <w:shd w:val="clear" w:color="auto" w:fill="C4EFCE"/>
            <w:noWrap/>
            <w:vAlign w:val="center"/>
            <w:hideMark/>
          </w:tcPr>
          <w:p w14:paraId="4FC4CDCF" w14:textId="77777777" w:rsidR="00A15990" w:rsidRDefault="00686A62">
            <w:pPr>
              <w:pStyle w:val="P68B1DB1-Normal8"/>
              <w:spacing w:after="0" w:line="240" w:lineRule="auto"/>
              <w:jc w:val="center"/>
              <w:rPr>
                <w:rFonts w:eastAsia="Times New Roman" w:cs="Calibri"/>
                <w:noProof/>
              </w:rPr>
            </w:pPr>
            <w:r>
              <w:rPr>
                <w:noProof/>
              </w:rPr>
              <w:t>TRIMESTRUL 3</w:t>
            </w:r>
          </w:p>
        </w:tc>
        <w:tc>
          <w:tcPr>
            <w:tcW w:w="694" w:type="dxa"/>
            <w:shd w:val="clear" w:color="auto" w:fill="C4EFCE"/>
            <w:noWrap/>
            <w:vAlign w:val="center"/>
            <w:hideMark/>
          </w:tcPr>
          <w:p w14:paraId="4C1862FA" w14:textId="77777777" w:rsidR="00A15990" w:rsidRDefault="00686A62">
            <w:pPr>
              <w:pStyle w:val="P68B1DB1-Normal8"/>
              <w:spacing w:after="0" w:line="240" w:lineRule="auto"/>
              <w:jc w:val="center"/>
              <w:rPr>
                <w:rFonts w:eastAsia="Times New Roman" w:cs="Calibri"/>
                <w:noProof/>
              </w:rPr>
            </w:pPr>
            <w:r>
              <w:rPr>
                <w:noProof/>
              </w:rPr>
              <w:t>2021</w:t>
            </w:r>
          </w:p>
        </w:tc>
        <w:tc>
          <w:tcPr>
            <w:tcW w:w="4204" w:type="dxa"/>
            <w:shd w:val="clear" w:color="auto" w:fill="C4EFCE"/>
            <w:vAlign w:val="center"/>
            <w:hideMark/>
          </w:tcPr>
          <w:p w14:paraId="1830D13D" w14:textId="77777777" w:rsidR="00A15990" w:rsidRDefault="00686A62">
            <w:pPr>
              <w:pStyle w:val="P68B1DB1-Normal8"/>
              <w:spacing w:after="0" w:line="240" w:lineRule="auto"/>
              <w:jc w:val="both"/>
              <w:rPr>
                <w:rFonts w:eastAsia="Times New Roman" w:cs="Calibri"/>
                <w:noProof/>
              </w:rPr>
            </w:pPr>
            <w:r>
              <w:rPr>
                <w:noProof/>
              </w:rPr>
              <w:t xml:space="preserve">Sistemul integrat de gestionare a incendiilor rurale (SGIFR) oferă, la nivel național, macropolitici și orientări strategice care contribuie la reducerea riscului de incendii rurale și la schimbarea comportamentului proprietarilor, utilizatorilor și beneficiarilor direcți și indirecți ai teritoriului rural. Sistemul definește modele de coordonare interministerială, delimitând competențele și domeniul de acțiune ale fiecărei entități din cadrul SIGIFR. </w:t>
            </w:r>
          </w:p>
          <w:p w14:paraId="5E99F66C" w14:textId="3F1EB5CA" w:rsidR="00A15990" w:rsidRDefault="00686A62">
            <w:pPr>
              <w:pStyle w:val="P68B1DB1-Normal8"/>
              <w:spacing w:after="0" w:line="240" w:lineRule="auto"/>
              <w:jc w:val="both"/>
              <w:rPr>
                <w:rFonts w:eastAsia="Times New Roman" w:cs="Calibri"/>
                <w:noProof/>
              </w:rPr>
            </w:pPr>
            <w:r>
              <w:rPr>
                <w:noProof/>
              </w:rPr>
              <w:t>Acesta definește conținutul diferitelor instrumente de planificare integrată a gestionării rurale a incendiilor la nivel național, regional, subregional și municipal. Se instituie un sistem rural de informare privind incendiile pentru a agrega și a disemina toate informațiile tehnice relevante din SIGIFR și există un angajament clar de a defini un model bazat pe prevenirea și reducerea la minimum a riscurilor, fie prin activități de sensibilizare, fie prin crearea unor rețele regionale de apărare, în care gestionarea combustibilului joacă un rol principal în regimul de sancțiuni. În cele din urmă, acesta stabilește un model de guvernanță, monitorizare și evaluare, care contribuie la îmbunătățirea continuă a politicilor și programelor publice.</w:t>
            </w:r>
          </w:p>
        </w:tc>
      </w:tr>
    </w:tbl>
    <w:p w14:paraId="57422AFC"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349777E8" w14:textId="77777777"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174"/>
          <w:headerReference w:type="default" r:id="rId175"/>
          <w:footerReference w:type="even" r:id="rId176"/>
          <w:footerReference w:type="default" r:id="rId177"/>
          <w:headerReference w:type="first" r:id="rId178"/>
          <w:footerReference w:type="first" r:id="rId179"/>
          <w:pgSz w:w="16839" w:h="11907" w:orient="landscape"/>
          <w:pgMar w:top="1134" w:right="1134" w:bottom="1134" w:left="1134" w:header="567" w:footer="567" w:gutter="0"/>
          <w:cols w:space="720"/>
          <w:docGrid w:linePitch="360"/>
        </w:sectPr>
      </w:pPr>
    </w:p>
    <w:p w14:paraId="31DFC5DD"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I. COMPONENTA 9: Gestionarea apei</w:t>
      </w:r>
    </w:p>
    <w:p w14:paraId="70B68D2B" w14:textId="77777777" w:rsidR="00A15990" w:rsidRDefault="00686A62">
      <w:pPr>
        <w:pStyle w:val="P68B1DB1-Normal4"/>
        <w:keepNext/>
        <w:spacing w:before="40" w:after="0" w:line="259" w:lineRule="auto"/>
        <w:jc w:val="both"/>
        <w:rPr>
          <w:rFonts w:eastAsiaTheme="minorEastAsia" w:cs="Times New Roman"/>
          <w:i/>
          <w:noProof/>
        </w:rPr>
      </w:pPr>
      <w:r>
        <w:rPr>
          <w:noProof/>
        </w:rPr>
        <w:t>Componenta abordează următoarele provocări: abordarea presiunii ridicate asupra sistemelor de stocare care furnizează apă și îmbunătățirea eficienței apei pentru a contracara constrângerile impuse de scăderea anuală preconizată a precipitațiilor, frecvența mai mare a secetelor, caracterul sezonier și creșterea scurgerilor de apă</w:t>
      </w:r>
    </w:p>
    <w:p w14:paraId="26529B51"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componentei sunt de a atenua deficitul de apă și de a asigura reziliența regiunilor cu cea mai mare problemă de secetă și care au o nevoie critică de intervenție eficace pentru a asigura aprovizionarea cu apă în Algarve, Alentejo și Madeira. </w:t>
      </w:r>
    </w:p>
    <w:p w14:paraId="4A1D2D18" w14:textId="77777777" w:rsidR="00A15990" w:rsidRDefault="00686A62">
      <w:pPr>
        <w:pStyle w:val="P68B1DB1-Normal4"/>
        <w:keepNext/>
        <w:spacing w:before="40" w:after="0" w:line="259" w:lineRule="auto"/>
        <w:jc w:val="both"/>
        <w:rPr>
          <w:rFonts w:eastAsiaTheme="minorEastAsia" w:cs="Times New Roman"/>
          <w:noProof/>
        </w:rPr>
      </w:pPr>
      <w:r>
        <w:rPr>
          <w:noProof/>
        </w:rPr>
        <w:t>Creșterea rezilienței apei este de o importanță capitală pentru dezvoltarea acestor trei regiuni, reprezentând, de asemenea, o condiție obligatorie pentru turism și ecosisteme (în special în Algarve și Madeira), pentru agricultură (Alentejo și Madeira), pentru reconfigurarea activității economice (Alentejo) și pentru a face față presiunilor combinate ale vârfurilor în ceea ce privește nevoile de irigații și consumul uman (Madeira).</w:t>
      </w:r>
    </w:p>
    <w:p w14:paraId="5C57D42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Componenta contribuie la punerea în aplicare a Recomandării specifice fiecărei țări privind investițiile în tranziția climatică (recomandarea specifică fiecărei țări din 3 2020). </w:t>
      </w:r>
    </w:p>
    <w:p w14:paraId="30738FC0"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 xml:space="preserve">I.1. </w:t>
      </w:r>
      <w:r>
        <w:rPr>
          <w:noProof/>
        </w:rPr>
        <w:tab/>
        <w:t>Descrierea reformelor și a investițiilor pentru sprijinul financiar nerambursabil</w:t>
      </w:r>
    </w:p>
    <w:p w14:paraId="5C5E8493"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RE-C09-i01: Planul regional Algarve pentru eficiența apei</w:t>
      </w:r>
    </w:p>
    <w:p w14:paraId="3110F4B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acestei investiții sunt de a răspunde deficitului de apă din Algarve, care continuă să se agraveze în fața schimbărilor climatice. Este necesar un răspuns pentru continuarea și dezvoltarea activității economice și pentru diversificarea economiei Algarve. </w:t>
      </w:r>
    </w:p>
    <w:p w14:paraId="7288C6E0" w14:textId="77777777" w:rsidR="00A15990" w:rsidRDefault="00686A62">
      <w:pPr>
        <w:pStyle w:val="P68B1DB1-Normal4"/>
        <w:keepNext/>
        <w:spacing w:before="40" w:after="0" w:line="259" w:lineRule="auto"/>
        <w:jc w:val="both"/>
        <w:rPr>
          <w:rFonts w:eastAsiaTheme="minorEastAsia" w:cs="Times New Roman"/>
          <w:noProof/>
        </w:rPr>
      </w:pPr>
      <w:r>
        <w:rPr>
          <w:noProof/>
        </w:rPr>
        <w:t>Investiția constă în măsuri de reducere a pierderilor de apă în sectoarele urban și agricol din Algarve prin intermediul unor tehnologii de irigare mai eficiente, precum și în promovarea reutilizării apelor uzate epurate. La nivelul ofertei, măsurile iau în considerare valorificarea capacității existente și îmbunătățirea rezilienței rezervoarelor existente prin creșterea afluxului în rezervorul Odeleite prin intermediul captării pe râul Guadiana, prin consolidarea rezervelor strategice și prin instalarea unui desalinizator. În special, aceste noi surse de apă funcționează ca o completare pentru a satisface utilizarea existentă pentru a face față efectelor previzibile ale schimbărilor climatice. Acesta constă, de asemenea, în măsuri de intensificare a monitorizării, a acordării de licențe și a punerii în aplicare.</w:t>
      </w:r>
    </w:p>
    <w:p w14:paraId="04427AA3"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această măsură nu prejudiciază în mod semnificativ obiectivele de mediu în sensul articolul 17 din Regulamentul (UE) 2020/852, ținând seama de descrierea măsurii și de măsurile de atenuare prevăzute în planul de redresare și reziliență în conformitate cu Orientările tehnice aferente principiului DNSH (2021/C58/01) și cu jaloanele și țintele care trebuie îndeplinite de Portugalia. În special, toate proiectele care ar putea avea efecte semnificative asupra mediului fac obiectul unei evaluări a impactului asupra mediului (EIM), care se finalizează în conformitate cu Directiva 2011/92/UE a Parlamentului European și a Consiliului din 13 decembrie 2011 privind evaluarea efectelor anumitor proiecte publice și private asupra mediului, precum și al evaluărilor relevante în contextul Directiva 2000/60/CE a Parlamentului European și a Consiliului de stabilire a unui cadru de politică comunitară în domeniul apei sau, pe scurt, al Directivei-cadru a UE privind apa, inclusiv punerea în aplicare a măsurilor de atenuare necesare, asigurând respectarea Orientărilor tehnice DNSH (2021/C58/01). Orice măsuri identificate în cadrul EIM și al evaluării în temeiul Directiva 2000/60/CE ca fiind necesare pentru a asigura respectarea principiului de „a nu aduce prejudicii semnificative” sunt integrate în proiect și respectate cu strictețe în etapele de construcție, exploatare și dezafectare a infrastructurii.</w:t>
      </w:r>
    </w:p>
    <w:p w14:paraId="05676B0D" w14:textId="77777777" w:rsidR="00A15990" w:rsidRDefault="00686A62">
      <w:pPr>
        <w:pStyle w:val="P68B1DB1-Normal17"/>
        <w:keepNext/>
        <w:autoSpaceDE w:val="0"/>
        <w:autoSpaceDN w:val="0"/>
        <w:spacing w:before="40" w:after="40" w:line="240" w:lineRule="auto"/>
        <w:jc w:val="both"/>
        <w:rPr>
          <w:rFonts w:ascii="Times New Roman" w:eastAsia="Times New Roman" w:hAnsi="Times New Roman" w:cs="Times New Roman"/>
          <w:noProof/>
        </w:rPr>
      </w:pPr>
      <w:r>
        <w:rPr>
          <w:rFonts w:ascii="Times New Roman" w:hAnsi="Times New Roman"/>
          <w:noProof/>
        </w:rPr>
        <w:t>În cazul în care apa este captată, autoritatea competentă acordă o autorizație relevantă care specifică condițiile pentru a evita deteriorarea și pentru a se asigura că corpurile de apă afectate rămân într-o stare ecologică bună, în conformitate cu cerințele Directiva 2000/60/CE privind apa.</w:t>
      </w:r>
      <w:r>
        <w:rPr>
          <w:rFonts w:ascii="Segoe UI" w:hAnsi="Segoe UI"/>
          <w:noProof/>
        </w:rPr>
        <w:t xml:space="preserve"> </w:t>
      </w:r>
    </w:p>
    <w:p w14:paraId="6B828F29" w14:textId="6F5CF201" w:rsidR="00A15990" w:rsidRDefault="00686A62">
      <w:pPr>
        <w:pStyle w:val="P68B1DB1-Normal4"/>
        <w:keepNext/>
        <w:autoSpaceDE w:val="0"/>
        <w:autoSpaceDN w:val="0"/>
        <w:spacing w:before="40" w:after="40" w:line="240" w:lineRule="auto"/>
        <w:jc w:val="both"/>
        <w:rPr>
          <w:rFonts w:eastAsiaTheme="minorEastAsia" w:cs="Times New Roman"/>
          <w:noProof/>
        </w:rPr>
      </w:pPr>
      <w:r>
        <w:rPr>
          <w:noProof/>
        </w:rPr>
        <w:t>Punerea în aplicare a investiției se va finaliza până la 30 iunie 2026.</w:t>
      </w:r>
    </w:p>
    <w:p w14:paraId="0ABB1601" w14:textId="221BFC68"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RE-C09-i02: Întreprindere hidraulică polivalentă din Crato, faza de planificare</w:t>
      </w:r>
    </w:p>
    <w:p w14:paraId="5CCA52C3" w14:textId="77777777" w:rsidR="00A15990" w:rsidRDefault="00686A62">
      <w:pPr>
        <w:pStyle w:val="P68B1DB1-Normal4"/>
        <w:keepNext/>
        <w:spacing w:before="40" w:after="0" w:line="259" w:lineRule="auto"/>
        <w:jc w:val="both"/>
        <w:rPr>
          <w:rFonts w:eastAsia="Times New Roman" w:cs="Times New Roman"/>
          <w:noProof/>
        </w:rPr>
      </w:pPr>
      <w:r>
        <w:rPr>
          <w:noProof/>
        </w:rPr>
        <w:t xml:space="preserve">Obiectivele acestei măsuri sunt de a asigura aprovizionarea cu apă potabilă, de a contracara deșertificarea regiunii, de a diversifica agricultura și de a contribui la reconfigurarea producției de energie în zonă. Măsura constă în următoarele etape: construirea unui baraj în valea Crato pentru a asigura furnizarea de apă destinată consumului uman și reconfigurarea agriculturii, oferind în același timp un amplasament privilegiat pentru instalarea de panouri fotovoltaice plutitoare (care urmează să fie instalate în oglinda de apă cu mijloace din afara Mecanismului de redresare și reziliență) și pentru producerea de energie electrică în mod autonom de la mini-hidrocentrala proiectată. </w:t>
      </w:r>
    </w:p>
    <w:p w14:paraId="07D1FD53" w14:textId="0A00FDE9" w:rsidR="00A15990" w:rsidRDefault="00686A62">
      <w:pPr>
        <w:pStyle w:val="P68B1DB1-Normal4"/>
        <w:keepNext/>
        <w:spacing w:before="40" w:after="0" w:line="259" w:lineRule="auto"/>
        <w:jc w:val="both"/>
        <w:rPr>
          <w:rFonts w:eastAsiaTheme="minorEastAsia" w:cs="Times New Roman"/>
          <w:noProof/>
        </w:rPr>
      </w:pPr>
      <w:r>
        <w:rPr>
          <w:noProof/>
        </w:rPr>
        <w:t>De exemplu, pentru o capacitate instalată de 75 MW, centrala fotovoltaică ar satisface peste 60 % din necesarul actual de energie al zonei</w:t>
      </w:r>
    </w:p>
    <w:p w14:paraId="6FC26120" w14:textId="354A61C0" w:rsidR="00A15990" w:rsidRDefault="00686A62">
      <w:pPr>
        <w:pStyle w:val="P68B1DB1-Normal4"/>
        <w:keepNext/>
        <w:spacing w:before="40" w:after="0" w:line="259" w:lineRule="auto"/>
        <w:jc w:val="both"/>
        <w:rPr>
          <w:rFonts w:eastAsia="Times New Roman" w:cs="Times New Roman"/>
          <w:noProof/>
        </w:rPr>
      </w:pPr>
      <w:r>
        <w:rPr>
          <w:noProof/>
        </w:rPr>
        <w:t>redundanța aprovizionării și reducerea cu peste 80 000 tone/an a emisiilor de dioxid de carbon. Potrivit zonei lacului care urmează să fie creată – 7,24 km</w:t>
      </w:r>
      <w:r>
        <w:rPr>
          <w:noProof/>
          <w:vertAlign w:val="superscript"/>
        </w:rPr>
        <w:t>2</w:t>
      </w:r>
      <w:r>
        <w:rPr>
          <w:noProof/>
        </w:rPr>
        <w:t xml:space="preserve"> – și suprafața maximă care ar putea fi utilizată pentru instalarea panourilor fotovoltaice este de 20 % din această cantitate). </w:t>
      </w:r>
    </w:p>
    <w:p w14:paraId="4647CC73" w14:textId="7E6C724D" w:rsidR="00A15990" w:rsidRDefault="00686A62">
      <w:pPr>
        <w:pStyle w:val="P68B1DB1-Normal4"/>
        <w:keepNext/>
        <w:spacing w:before="40" w:after="0" w:line="259" w:lineRule="auto"/>
        <w:jc w:val="both"/>
        <w:rPr>
          <w:rFonts w:eastAsia="Times New Roman" w:cs="Times New Roman"/>
          <w:noProof/>
        </w:rPr>
      </w:pPr>
      <w:r>
        <w:rPr>
          <w:noProof/>
        </w:rPr>
        <w:t>Aceasta contribuie, de asemenea, la diversificarea activității agricole și la atragerea locuitorilor în această zonă defavorizată din punct de vedere demografic a țării, menținând în același timp un sistem eficient de gestionare a apei.</w:t>
      </w:r>
    </w:p>
    <w:p w14:paraId="4B7B386F" w14:textId="2169FF6B" w:rsidR="00A15990" w:rsidRDefault="00686A62">
      <w:pPr>
        <w:pStyle w:val="P68B1DB1-Normal4"/>
        <w:widowControl w:val="0"/>
        <w:spacing w:after="120" w:line="307" w:lineRule="exact"/>
        <w:jc w:val="both"/>
        <w:rPr>
          <w:rFonts w:eastAsia="Calibri" w:cs="Times New Roman"/>
          <w:noProof/>
        </w:rPr>
      </w:pPr>
      <w:r>
        <w:rPr>
          <w:noProof/>
        </w:rPr>
        <w:t>Proiectul este situat în bazinul râului Tajo, într-o zonă apropiată de limita bazinului râului Guadiana. Investiția include următoarele etape:</w:t>
      </w:r>
    </w:p>
    <w:p w14:paraId="5130E04D" w14:textId="772268AC" w:rsidR="00A15990" w:rsidRDefault="00686A62">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Baraj</w:t>
      </w:r>
      <w:r>
        <w:rPr>
          <w:noProof/>
        </w:rPr>
        <w:t>: Să creeze un rezervor de stocare complet la cota 248 m (48 m înălțime), cu o suprafață inundată de 7,24 km</w:t>
      </w:r>
      <w:r>
        <w:rPr>
          <w:noProof/>
          <w:vertAlign w:val="superscript"/>
        </w:rPr>
        <w:t>2</w:t>
      </w:r>
      <w:r>
        <w:rPr>
          <w:noProof/>
        </w:rPr>
        <w:t>, o capacitate de depozitare de 116,1 hm</w:t>
      </w:r>
      <w:r>
        <w:rPr>
          <w:noProof/>
          <w:vertAlign w:val="superscript"/>
        </w:rPr>
        <w:t xml:space="preserve">3 </w:t>
      </w:r>
      <w:r>
        <w:rPr>
          <w:noProof/>
        </w:rPr>
        <w:t>și un volum mediu anual de 57,83 hm</w:t>
      </w:r>
      <w:r>
        <w:rPr>
          <w:noProof/>
          <w:vertAlign w:val="superscript"/>
        </w:rPr>
        <w:t>/an</w:t>
      </w:r>
      <w:r>
        <w:rPr>
          <w:noProof/>
        </w:rPr>
        <w:t>, care să permită 50,3 hm</w:t>
      </w:r>
      <w:r>
        <w:rPr>
          <w:noProof/>
          <w:vertAlign w:val="superscript"/>
        </w:rPr>
        <w:t>/an</w:t>
      </w:r>
      <w:r>
        <w:rPr>
          <w:noProof/>
        </w:rPr>
        <w:t xml:space="preserve"> pentru aprovizionarea publică cu apă (3.3 hm3/year) și irigații (</w:t>
      </w:r>
      <w:bookmarkStart w:id="23" w:name="_Hlk146292179"/>
      <w:r>
        <w:rPr>
          <w:noProof/>
        </w:rPr>
        <w:t>47 hm3/year</w:t>
      </w:r>
      <w:bookmarkEnd w:id="23"/>
      <w:r>
        <w:rPr>
          <w:noProof/>
        </w:rPr>
        <w:t>)], ceea ce este esențial pentru a asigura redundanța aprovizionării, și anume suficientă apă pentru a deservi populațiile (aproximativ 55 000 de persoane) din Alter do Chão, Avis, Crato, Fronteira, Gavião, Nisa, Ponte de Sor și Sousel.</w:t>
      </w:r>
    </w:p>
    <w:p w14:paraId="5B19CBFA" w14:textId="77777777" w:rsidR="00A15990" w:rsidRDefault="00686A62">
      <w:pPr>
        <w:pStyle w:val="P68B1DB1-Normal4"/>
        <w:widowControl w:val="0"/>
        <w:numPr>
          <w:ilvl w:val="0"/>
          <w:numId w:val="28"/>
        </w:numPr>
        <w:spacing w:before="40" w:after="120" w:line="307" w:lineRule="exact"/>
        <w:ind w:left="714" w:hanging="357"/>
        <w:jc w:val="both"/>
        <w:rPr>
          <w:rFonts w:eastAsia="Calibri" w:cs="Times New Roman"/>
          <w:noProof/>
        </w:rPr>
      </w:pPr>
      <w:r>
        <w:rPr>
          <w:noProof/>
          <w:shd w:val="clear" w:color="auto" w:fill="FFFFFF"/>
        </w:rPr>
        <w:t>Mini-hidroelectrică</w:t>
      </w:r>
      <w:r>
        <w:rPr>
          <w:noProof/>
        </w:rPr>
        <w:t>: Pentru consumul de energie al fluxurilor care urmează să fie eliberate pentru irigații în valea din aval, beneficiind de scăderea cauzată de înălțimea barajului. Are o putere instalată de 1,0 MW.</w:t>
      </w:r>
    </w:p>
    <w:p w14:paraId="7ECAF144" w14:textId="604696DD" w:rsidR="00A15990" w:rsidRDefault="00686A62">
      <w:pPr>
        <w:pStyle w:val="P68B1DB1-Normal4"/>
        <w:widowControl w:val="0"/>
        <w:numPr>
          <w:ilvl w:val="0"/>
          <w:numId w:val="28"/>
        </w:numPr>
        <w:spacing w:before="40" w:after="0" w:line="302" w:lineRule="exact"/>
        <w:ind w:left="714" w:hanging="357"/>
        <w:jc w:val="both"/>
        <w:rPr>
          <w:rFonts w:eastAsia="Calibri" w:cs="Times New Roman"/>
          <w:noProof/>
        </w:rPr>
      </w:pPr>
      <w:r>
        <w:rPr>
          <w:noProof/>
          <w:shd w:val="clear" w:color="auto" w:fill="FFFFFF"/>
        </w:rPr>
        <w:t xml:space="preserve">Sistem de consolidare a aprovizionării barajului Póvoa e Meadas de la Pisão </w:t>
      </w:r>
      <w:r>
        <w:rPr>
          <w:noProof/>
        </w:rPr>
        <w:t>d</w:t>
      </w:r>
      <w:r>
        <w:rPr>
          <w:noProof/>
          <w:shd w:val="clear" w:color="auto" w:fill="FFFFFF"/>
        </w:rPr>
        <w:t>am</w:t>
      </w:r>
      <w:r>
        <w:rPr>
          <w:noProof/>
        </w:rPr>
        <w:t>: conectarea de la rezervorul care urmează să fie instalat la stația de epurare a apei din Póvoa e Meadas pentru a asigura nevoile de consum urban ale localităților Alter do Chão, Avis, Crato, Fronteira, Gavião, Nisa, Ponte de Sor și Sousel.</w:t>
      </w:r>
    </w:p>
    <w:p w14:paraId="4A96B4C4" w14:textId="77777777" w:rsidR="00A15990" w:rsidRDefault="00686A62">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Infrastructura de irigații pentru sprijinirea zonelor agricole existente:</w:t>
      </w:r>
      <w:r>
        <w:rPr>
          <w:b/>
          <w:noProof/>
          <w:shd w:val="clear" w:color="auto" w:fill="FFFFFF"/>
        </w:rPr>
        <w:t xml:space="preserve"> </w:t>
      </w:r>
      <w:r>
        <w:rPr>
          <w:noProof/>
          <w:shd w:val="clear" w:color="auto" w:fill="FFFFFF"/>
        </w:rPr>
        <w:t xml:space="preserve">aceasta </w:t>
      </w:r>
      <w:r>
        <w:rPr>
          <w:noProof/>
        </w:rPr>
        <w:t>include stații de ridicare pentru irigații, conducte, echilibrarea rezervoarelor și a rețelelor de distribuție, rețele de irigații și îmbunătățirea accesului în agricultură și se preconizează că vor crea 5 078 ha de blocuri de irigații noi (Alter do Chão, Avis, Crato, Fronteira și Sousel).perimetrul de irigare se împarte în loturi cu o suprafață care nu depășește 100 ha.</w:t>
      </w:r>
    </w:p>
    <w:p w14:paraId="12A18ECF" w14:textId="58490B1B" w:rsidR="00A15990" w:rsidRDefault="00686A62">
      <w:pPr>
        <w:pStyle w:val="P68B1DB1-Normal4"/>
        <w:widowControl w:val="0"/>
        <w:numPr>
          <w:ilvl w:val="0"/>
          <w:numId w:val="28"/>
        </w:numPr>
        <w:tabs>
          <w:tab w:val="left" w:pos="708"/>
        </w:tabs>
        <w:spacing w:before="237" w:after="131" w:line="307" w:lineRule="exact"/>
        <w:ind w:left="714" w:hanging="357"/>
        <w:jc w:val="both"/>
        <w:rPr>
          <w:rFonts w:eastAsia="Calibri" w:cs="Times New Roman"/>
          <w:noProof/>
        </w:rPr>
      </w:pPr>
      <w:r>
        <w:rPr>
          <w:noProof/>
          <w:shd w:val="clear" w:color="auto" w:fill="FFFFFF"/>
        </w:rPr>
        <w:t>Centrală solară fotovoltaică</w:t>
      </w:r>
      <w:r>
        <w:rPr>
          <w:b/>
          <w:noProof/>
          <w:shd w:val="clear" w:color="auto" w:fill="FFFFFF"/>
        </w:rPr>
        <w:t xml:space="preserve"> </w:t>
      </w:r>
      <w:r>
        <w:rPr>
          <w:noProof/>
        </w:rPr>
        <w:t>(plăci solare, invertoare, dispozitive plutitoare, cabluri de joasă și medie tensiune): instalarea de panouri fotovoltaice în oglinda de apă a rezervorului. Finanțarea se realizează în afara planului de redresare și reziliență.</w:t>
      </w:r>
    </w:p>
    <w:p w14:paraId="5AF0593D" w14:textId="7BA9A102" w:rsidR="00A15990" w:rsidRDefault="00686A62">
      <w:pPr>
        <w:pStyle w:val="P68B1DB1-Normal4"/>
        <w:spacing w:before="40" w:after="0" w:line="259" w:lineRule="auto"/>
        <w:jc w:val="both"/>
        <w:rPr>
          <w:rFonts w:eastAsiaTheme="minorEastAsia" w:cs="Times New Roman"/>
          <w:noProof/>
        </w:rPr>
      </w:pPr>
      <w:r>
        <w:rPr>
          <w:noProof/>
        </w:rPr>
        <w:t xml:space="preserve">Această măsură nu prejudiciază în mod semnificativ obiectivele de mediu în sensul articolul 17 din Regulamentul (UE) 2020/852, ținând seama de descrierea măsurii și de măsurile de atenuare prevăzute în planul de redresare și reziliență în conformitate cu Orientările tehnice privind principiul de „a nu aduce prejudicii semnificative” (2021/C58/01) și cu jaloanele și țintele care trebuie îndeplinite de Portugalia. Se demonstrează respectarea deplină și substanțială a dispozițiilor legale aplicabile. Atunci când publică proiectul de EIM pentru consultare publică, acesta cuprinde 1) debitele de apă preconizate în corpul de apă afectat în scenariul de referință (nicio investiție), precum și după investiție, ținând seama pe deplin de efectele negative ale schimbărilor climatice, pe baza celor mai bune previziuni științifice disponibile, inclusiv a unui scenariu plauzibil cel mai pesimist; și 2) o justificare a scopului investiției în comparație cu alternativele cu un impact potențial mai redus asupra mediului, atât în ceea ce privește obiectivele lor (suprafața terenurilor irigate vs regenerarea rurală durabilă), cât și mijloacele lor (reducerea cererii de apă și soluțiile bazate pe natură). În special, toate proiectele care ar putea avea efecte semnificative asupra mediului fac obiectul unei evaluări a impactului asupra mediului (EIM), care se finalizează în conformitate cu Directiva 2011/92/UE, precum și al evaluărilor relevante în contextul Directiva 2000/60/CE, inclusiv al punerii în aplicare a măsurilor de atenuare necesare, asigurând conformitatea cu Orientările tehnice de tip DNSH (2021/C58/01). </w:t>
      </w:r>
    </w:p>
    <w:p w14:paraId="519C6249" w14:textId="77777777" w:rsidR="00A15990" w:rsidRDefault="00686A62">
      <w:pPr>
        <w:pStyle w:val="P68B1DB1-Normal4"/>
        <w:spacing w:before="40" w:after="0" w:line="259" w:lineRule="auto"/>
        <w:jc w:val="both"/>
        <w:rPr>
          <w:rFonts w:eastAsiaTheme="minorEastAsia" w:cs="Times New Roman"/>
          <w:noProof/>
        </w:rPr>
      </w:pPr>
      <w:r>
        <w:rPr>
          <w:noProof/>
        </w:rPr>
        <w:t>Orice măsuri identificate în cadrul EIM și al evaluării în temeiul Directiva 2000/60/CE ca fiind necesare pentru a asigura respectarea principiului de „a nu aduce prejudicii semnificative” sunt integrate în proiect și respectate cu strictețe în etapele de construcție, exploatare și dezafectare a infrastructurii.</w:t>
      </w:r>
    </w:p>
    <w:p w14:paraId="77735E49" w14:textId="77777777" w:rsidR="00A15990" w:rsidRDefault="00686A62">
      <w:pPr>
        <w:pStyle w:val="P68B1DB1-Normal4"/>
        <w:spacing w:before="40" w:after="0" w:line="259" w:lineRule="auto"/>
        <w:jc w:val="both"/>
        <w:rPr>
          <w:rFonts w:eastAsiaTheme="minorEastAsia" w:cs="Times New Roman"/>
          <w:noProof/>
        </w:rPr>
      </w:pPr>
      <w:r>
        <w:rPr>
          <w:noProof/>
        </w:rPr>
        <w:t>Evaluarea impactului asupra mediului se bazează pe datele cele mai actualizate, cuprinzătoare și exacte, inclusiv pe datele de monitorizare privind elementele calitative biologice care sunt în mod specific sensibile la modificările hidromorfologice, precum și pe starea preconizată a corpului de apă ca urmare a noilor activități, în comparație cu cea actuală. Aceasta evaluează în special impactul cumulat al acestui nou proiect cu alte infrastructuri existente sau planificate în bazinul hidrografic.</w:t>
      </w:r>
    </w:p>
    <w:p w14:paraId="3A356255" w14:textId="77777777" w:rsidR="00A15990" w:rsidRDefault="00686A62">
      <w:pPr>
        <w:pStyle w:val="P68B1DB1-Normal4"/>
        <w:spacing w:before="40" w:after="0" w:line="259" w:lineRule="auto"/>
        <w:jc w:val="both"/>
        <w:rPr>
          <w:rFonts w:eastAsiaTheme="minorEastAsia" w:cs="Times New Roman"/>
          <w:noProof/>
        </w:rPr>
      </w:pPr>
      <w:r>
        <w:rPr>
          <w:noProof/>
        </w:rPr>
        <w:t>Pentru a fi în conformitate cu Directiva 2000/60/CE, se demonstrează, pe baza unei evaluări a tuturor impacturilor potențiale asupra stării corpurilor de apă din același bazin hidrografic și asupra habitatelor și speciilor protejate care depind în mod direct de apă, având în vedere în special presiunile actuale legate de captarea apei, că măsura:</w:t>
      </w:r>
    </w:p>
    <w:p w14:paraId="4E8790D8" w14:textId="77777777" w:rsidR="00A15990" w:rsidRDefault="00686A62">
      <w:pPr>
        <w:pStyle w:val="P68B1DB1-Normal4"/>
        <w:spacing w:before="40" w:after="0" w:line="259" w:lineRule="auto"/>
        <w:jc w:val="both"/>
        <w:rPr>
          <w:rFonts w:eastAsiaTheme="minorEastAsia" w:cs="Times New Roman"/>
          <w:noProof/>
        </w:rPr>
      </w:pPr>
      <w:r>
        <w:rPr>
          <w:noProof/>
        </w:rPr>
        <w:t xml:space="preserve">I) nu afectează în mod semnificativ sau ireversibil corpurile de apă afectate și nici nu împiedică corpul de apă specific la care se referă sau alte corpuri de apă din același bazin hidrografic să atingă o stare bună sau un potențial bun până în T4 2025; și </w:t>
      </w:r>
    </w:p>
    <w:p w14:paraId="41CC86CF" w14:textId="77777777" w:rsidR="00A15990" w:rsidRDefault="00686A62">
      <w:pPr>
        <w:pStyle w:val="P68B1DB1-Normal4"/>
        <w:spacing w:before="40" w:after="0" w:line="259" w:lineRule="auto"/>
        <w:jc w:val="both"/>
        <w:rPr>
          <w:rFonts w:eastAsiaTheme="minorEastAsia" w:cs="Times New Roman"/>
          <w:noProof/>
        </w:rPr>
      </w:pPr>
      <w:r>
        <w:rPr>
          <w:noProof/>
        </w:rPr>
        <w:t>II) nu are un impact negativ semnificativ asupra habitatelor și speciilor protejate care depind în mod direct de apă.</w:t>
      </w:r>
    </w:p>
    <w:p w14:paraId="5E5C92F5" w14:textId="0CA8BF50" w:rsidR="00A15990" w:rsidRDefault="00686A62">
      <w:pPr>
        <w:pStyle w:val="P68B1DB1-Normal4"/>
        <w:keepNext/>
        <w:spacing w:before="40" w:after="0" w:line="259" w:lineRule="auto"/>
        <w:jc w:val="both"/>
        <w:rPr>
          <w:rFonts w:eastAsiaTheme="minorEastAsia" w:cs="Times New Roman"/>
          <w:noProof/>
        </w:rPr>
      </w:pPr>
      <w:r>
        <w:rPr>
          <w:noProof/>
        </w:rPr>
        <w:t xml:space="preserve">Autoritatea competentă acordă o autorizație pentru proiect, specificând toate măsurile fezabile din punct de vedere tehnic și relevante din punct de vedere ecologic puse în aplicare pentru a atenua impactul și a asigura atingerea unei stări ecologice bune și a unui potențial ecologic bun în corpurile de apă afectate până în al doilea trimestru al anului 4 2025, precum și pentru a se asigura că eficacitatea acestor măsuri este monitorizată, în conformitate cu cerințele Directiva 2000/60/CE privind apa. </w:t>
      </w:r>
    </w:p>
    <w:p w14:paraId="207EA017" w14:textId="19E4EEFD"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martie 2022.</w:t>
      </w:r>
    </w:p>
    <w:p w14:paraId="34D05917" w14:textId="77777777" w:rsidR="00A15990" w:rsidRDefault="00686A62">
      <w:pPr>
        <w:pStyle w:val="P68B1DB1-Normal5"/>
        <w:spacing w:before="240" w:after="0" w:line="259" w:lineRule="auto"/>
        <w:ind w:left="851"/>
        <w:jc w:val="both"/>
        <w:outlineLvl w:val="3"/>
        <w:rPr>
          <w:rFonts w:eastAsiaTheme="minorEastAsia" w:cs="Times New Roman"/>
          <w:noProof/>
        </w:rPr>
      </w:pPr>
      <w:r>
        <w:rPr>
          <w:noProof/>
        </w:rPr>
        <w:t>Investiția RE-C09-i03-RAM: Planul privind utilizarea eficientă a apei și consolidarea sistemelor de aprovizionare și de irigare din Madeira</w:t>
      </w:r>
    </w:p>
    <w:p w14:paraId="37F68CD1" w14:textId="17F84417" w:rsidR="00A15990" w:rsidRDefault="00686A62">
      <w:pPr>
        <w:pStyle w:val="P68B1DB1-Normal4"/>
        <w:spacing w:before="40" w:after="0" w:line="259" w:lineRule="auto"/>
        <w:jc w:val="both"/>
        <w:rPr>
          <w:rFonts w:eastAsiaTheme="minorEastAsia" w:cs="Times New Roman"/>
          <w:noProof/>
        </w:rPr>
      </w:pPr>
      <w:r>
        <w:rPr>
          <w:noProof/>
        </w:rPr>
        <w:t xml:space="preserve">Obiectivele măsurii sunt de a spori reziliența resurselor de apă din insulele Madeira și Porto Santo. </w:t>
      </w:r>
    </w:p>
    <w:p w14:paraId="0884F004" w14:textId="7EB121EB" w:rsidR="00A15990" w:rsidRDefault="00686A62">
      <w:pPr>
        <w:pStyle w:val="P68B1DB1-Normal4"/>
        <w:spacing w:before="40" w:after="0" w:line="259" w:lineRule="auto"/>
        <w:jc w:val="both"/>
        <w:rPr>
          <w:rFonts w:eastAsiaTheme="minorEastAsia" w:cs="Times New Roman"/>
          <w:noProof/>
        </w:rPr>
      </w:pPr>
      <w:r>
        <w:rPr>
          <w:noProof/>
        </w:rPr>
        <w:t xml:space="preserve">Investiția constă în punerea la dispoziție a resurselor de apă prin optimizarea utilizării resurselor existente, captarea surplusului de apă fără impact asupra ecosistemelor, crearea și extinderea rezervelor strategice și interconectarea diferitelor surse de apă. </w:t>
      </w:r>
    </w:p>
    <w:p w14:paraId="6EF884DE" w14:textId="77777777" w:rsidR="00A15990" w:rsidRDefault="00686A62">
      <w:pPr>
        <w:pStyle w:val="P68B1DB1-Normal4"/>
        <w:spacing w:before="40" w:after="0" w:line="259" w:lineRule="auto"/>
        <w:jc w:val="both"/>
        <w:rPr>
          <w:rFonts w:eastAsiaTheme="minorEastAsia" w:cs="Times New Roman"/>
          <w:noProof/>
        </w:rPr>
      </w:pPr>
      <w:r>
        <w:rPr>
          <w:noProof/>
        </w:rPr>
        <w:t>Se preconizează că această măsură nu prejudiciază în mod semnificativ obiectivele de mediu în sensul articolul 17 din Regulamentul (UE) 2020/852, ținând seama de descrierea măsurii și de măsurile de atenuare prevăzute în planul de redresare și reziliență în conformitate cu Orientările tehnice aferente principiului DNSH (2021/C58/01) și cu jaloanele și țintele care trebuie îndeplinite de Portugalia. În special, toate proiectele care ar putea avea efecte semnificative asupra mediului trebuie să facă în mod necesar obiectul unei evaluări a impactului asupra mediului (EIM) în temeiul Directiva 2011/92/UE, precum și al unor evaluări relevante în contextul Directiva 2000/60/CE și al Directiva 92/43/CEE, inclusiv punerea în aplicare a măsurilor de atenuare necesare.</w:t>
      </w:r>
    </w:p>
    <w:p w14:paraId="38F7BA54" w14:textId="4535BBF2" w:rsidR="00A15990" w:rsidRDefault="00686A62">
      <w:pPr>
        <w:pStyle w:val="P68B1DB1-Normal4"/>
        <w:keepNext/>
        <w:spacing w:before="40" w:after="0" w:line="259" w:lineRule="auto"/>
        <w:jc w:val="both"/>
        <w:rPr>
          <w:rFonts w:eastAsiaTheme="minorEastAsia" w:cs="Times New Roman"/>
          <w:noProof/>
        </w:rPr>
        <w:sectPr w:rsidR="00A15990" w:rsidSect="00E00EDD">
          <w:headerReference w:type="even" r:id="rId180"/>
          <w:headerReference w:type="default" r:id="rId181"/>
          <w:footerReference w:type="even" r:id="rId182"/>
          <w:footerReference w:type="default" r:id="rId183"/>
          <w:headerReference w:type="first" r:id="rId184"/>
          <w:footerReference w:type="first" r:id="rId185"/>
          <w:pgSz w:w="11907" w:h="16839"/>
          <w:pgMar w:top="1134" w:right="1134" w:bottom="1134" w:left="1134" w:header="567" w:footer="567" w:gutter="0"/>
          <w:cols w:space="720"/>
          <w:docGrid w:linePitch="360"/>
        </w:sectPr>
      </w:pPr>
      <w:r>
        <w:rPr>
          <w:noProof/>
        </w:rPr>
        <w:t>Punerea în aplicare a investiției se va finaliza până la 30 iunie 2026.</w:t>
      </w:r>
    </w:p>
    <w:p w14:paraId="12B3E8CF"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1AF6FAD5"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1001889C"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I.2. Obiective de etapă, ținte, indicatori și calendar pentru monitorizarea și punerea în aplicare a sprijinului financiar nerambursabil</w:t>
      </w:r>
    </w:p>
    <w:p w14:paraId="25E28A3C" w14:textId="77777777"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A15990" w14:paraId="600C6CC3" w14:textId="77777777">
        <w:trPr>
          <w:trHeight w:val="300"/>
          <w:tblHeader/>
          <w:jc w:val="center"/>
        </w:trPr>
        <w:tc>
          <w:tcPr>
            <w:tcW w:w="1135" w:type="dxa"/>
            <w:vMerge w:val="restart"/>
            <w:shd w:val="clear" w:color="auto" w:fill="BDD6EE"/>
            <w:vAlign w:val="center"/>
            <w:hideMark/>
          </w:tcPr>
          <w:p w14:paraId="7EDDF729"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noWrap/>
            <w:vAlign w:val="center"/>
            <w:hideMark/>
          </w:tcPr>
          <w:p w14:paraId="245FD828"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noWrap/>
            <w:vAlign w:val="center"/>
            <w:hideMark/>
          </w:tcPr>
          <w:p w14:paraId="0BF43E8A" w14:textId="7D990881" w:rsidR="00A15990" w:rsidRDefault="00F32597">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noWrap/>
            <w:vAlign w:val="center"/>
            <w:hideMark/>
          </w:tcPr>
          <w:p w14:paraId="340FFCF7"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noWrap/>
            <w:vAlign w:val="center"/>
            <w:hideMark/>
          </w:tcPr>
          <w:p w14:paraId="6468587C"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shd w:val="clear" w:color="auto" w:fill="BDD6EE"/>
            <w:noWrap/>
            <w:vAlign w:val="center"/>
            <w:hideMark/>
          </w:tcPr>
          <w:p w14:paraId="12177533"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noWrap/>
            <w:vAlign w:val="center"/>
            <w:hideMark/>
          </w:tcPr>
          <w:p w14:paraId="28F7EB70" w14:textId="77777777" w:rsidR="00A15990" w:rsidRDefault="00686A62">
            <w:pPr>
              <w:pStyle w:val="P68B1DB1-Normal6"/>
              <w:spacing w:after="0" w:line="240" w:lineRule="auto"/>
              <w:jc w:val="center"/>
              <w:rPr>
                <w:rFonts w:eastAsia="Times New Roman" w:cs="Times New Roman"/>
                <w:noProof/>
              </w:rPr>
            </w:pPr>
            <w:r>
              <w:rPr>
                <w:noProof/>
              </w:rPr>
              <w:t>Calendarul de finalizare</w:t>
            </w:r>
          </w:p>
        </w:tc>
        <w:tc>
          <w:tcPr>
            <w:tcW w:w="3969" w:type="dxa"/>
            <w:vMerge w:val="restart"/>
            <w:shd w:val="clear" w:color="auto" w:fill="BDD6EE"/>
            <w:vAlign w:val="center"/>
            <w:hideMark/>
          </w:tcPr>
          <w:p w14:paraId="4A0FED38"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1E2172AA" w14:textId="77777777">
        <w:trPr>
          <w:trHeight w:val="300"/>
          <w:tblHeader/>
          <w:jc w:val="center"/>
        </w:trPr>
        <w:tc>
          <w:tcPr>
            <w:tcW w:w="1135" w:type="dxa"/>
            <w:vMerge/>
            <w:vAlign w:val="center"/>
            <w:hideMark/>
          </w:tcPr>
          <w:p w14:paraId="57B55280"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622AD449"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201EE1EB" w14:textId="3CE9A911" w:rsidR="00A15990" w:rsidRDefault="00A15990">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5BCDAF57"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7CCC7491"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4AA0E852"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noWrap/>
            <w:vAlign w:val="center"/>
            <w:hideMark/>
          </w:tcPr>
          <w:p w14:paraId="19FD5F31"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noWrap/>
            <w:vAlign w:val="center"/>
            <w:hideMark/>
          </w:tcPr>
          <w:p w14:paraId="2839A6A1"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noWrap/>
            <w:vAlign w:val="center"/>
            <w:hideMark/>
          </w:tcPr>
          <w:p w14:paraId="46BA416F"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726D1C15"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5EDB4CE2" w14:textId="77777777" w:rsidR="00A15990" w:rsidRDefault="00A15990">
            <w:pPr>
              <w:spacing w:after="0" w:line="240" w:lineRule="auto"/>
              <w:rPr>
                <w:rFonts w:ascii="Times New Roman" w:eastAsia="Times New Roman" w:hAnsi="Times New Roman" w:cs="Times New Roman"/>
                <w:b/>
                <w:noProof/>
                <w:sz w:val="18"/>
              </w:rPr>
            </w:pPr>
          </w:p>
        </w:tc>
      </w:tr>
      <w:tr w:rsidR="00A15990" w14:paraId="6349FC7E" w14:textId="77777777">
        <w:trPr>
          <w:trHeight w:val="1480"/>
          <w:jc w:val="center"/>
        </w:trPr>
        <w:tc>
          <w:tcPr>
            <w:tcW w:w="1135" w:type="dxa"/>
            <w:shd w:val="clear" w:color="auto" w:fill="C5EFCE"/>
            <w:noWrap/>
            <w:vAlign w:val="center"/>
            <w:hideMark/>
          </w:tcPr>
          <w:p w14:paraId="0438A134" w14:textId="77777777" w:rsidR="00A15990" w:rsidRDefault="00686A62">
            <w:pPr>
              <w:pStyle w:val="P68B1DB1-Normal7"/>
              <w:spacing w:after="0" w:line="240" w:lineRule="auto"/>
              <w:jc w:val="center"/>
              <w:rPr>
                <w:rFonts w:eastAsia="Times New Roman" w:cs="Calibri"/>
                <w:noProof/>
              </w:rPr>
            </w:pPr>
            <w:r>
              <w:rPr>
                <w:noProof/>
              </w:rPr>
              <w:t>9.1</w:t>
            </w:r>
          </w:p>
        </w:tc>
        <w:tc>
          <w:tcPr>
            <w:tcW w:w="1276" w:type="dxa"/>
            <w:shd w:val="clear" w:color="auto" w:fill="C4EFCE"/>
            <w:noWrap/>
            <w:vAlign w:val="center"/>
            <w:hideMark/>
          </w:tcPr>
          <w:p w14:paraId="0B8CF946"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3A439A7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E88BABD" w14:textId="77777777" w:rsidR="00A15990" w:rsidRDefault="00686A62">
            <w:pPr>
              <w:pStyle w:val="P68B1DB1-Normal8"/>
              <w:spacing w:after="0" w:line="240" w:lineRule="auto"/>
              <w:jc w:val="center"/>
              <w:rPr>
                <w:rFonts w:eastAsia="Times New Roman" w:cs="Calibri"/>
                <w:noProof/>
              </w:rPr>
            </w:pPr>
            <w:r>
              <w:rPr>
                <w:noProof/>
              </w:rPr>
              <w:t>Puncte suplimentare de monitorizare a resurselor de apă subterană instalate (SM3)</w:t>
            </w:r>
          </w:p>
        </w:tc>
        <w:tc>
          <w:tcPr>
            <w:tcW w:w="1275" w:type="dxa"/>
            <w:shd w:val="clear" w:color="auto" w:fill="C4EFCE"/>
            <w:noWrap/>
            <w:vAlign w:val="center"/>
            <w:hideMark/>
          </w:tcPr>
          <w:p w14:paraId="6E70CEC2" w14:textId="77777777" w:rsidR="00A15990" w:rsidRDefault="00A15990">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8B8CA1B"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642E61B9" w14:textId="77777777" w:rsidR="00A15990" w:rsidRDefault="00686A62">
            <w:pPr>
              <w:pStyle w:val="P68B1DB1-Normal8"/>
              <w:spacing w:after="0" w:line="240" w:lineRule="auto"/>
              <w:jc w:val="center"/>
              <w:rPr>
                <w:rFonts w:eastAsia="Times New Roman" w:cs="Calibri"/>
                <w:noProof/>
              </w:rPr>
            </w:pPr>
            <w:r>
              <w:rPr>
                <w:noProof/>
              </w:rPr>
              <w:t>32</w:t>
            </w:r>
          </w:p>
        </w:tc>
        <w:tc>
          <w:tcPr>
            <w:tcW w:w="709" w:type="dxa"/>
            <w:shd w:val="clear" w:color="auto" w:fill="C4EFCE"/>
            <w:noWrap/>
            <w:vAlign w:val="center"/>
            <w:hideMark/>
          </w:tcPr>
          <w:p w14:paraId="6267D00B" w14:textId="77777777" w:rsidR="00A15990" w:rsidRDefault="00686A62">
            <w:pPr>
              <w:pStyle w:val="P68B1DB1-Normal8"/>
              <w:spacing w:after="0" w:line="240" w:lineRule="auto"/>
              <w:jc w:val="center"/>
              <w:rPr>
                <w:rFonts w:eastAsia="Times New Roman" w:cs="Calibri"/>
                <w:noProof/>
              </w:rPr>
            </w:pPr>
            <w:r>
              <w:rPr>
                <w:noProof/>
              </w:rPr>
              <w:t>82</w:t>
            </w:r>
          </w:p>
        </w:tc>
        <w:tc>
          <w:tcPr>
            <w:tcW w:w="567" w:type="dxa"/>
            <w:shd w:val="clear" w:color="auto" w:fill="C4EFCE"/>
            <w:noWrap/>
            <w:vAlign w:val="center"/>
            <w:hideMark/>
          </w:tcPr>
          <w:p w14:paraId="43A52E08" w14:textId="39780CFB"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32E3C24C" w14:textId="7777777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6A1ABD5" w14:textId="77777777" w:rsidR="00A15990" w:rsidRDefault="00686A62">
            <w:pPr>
              <w:pStyle w:val="P68B1DB1-Normal9"/>
              <w:spacing w:after="0" w:line="240" w:lineRule="auto"/>
              <w:jc w:val="both"/>
              <w:rPr>
                <w:rFonts w:eastAsia="Times New Roman" w:cs="Calibri"/>
                <w:noProof/>
                <w:sz w:val="16"/>
              </w:rPr>
            </w:pPr>
            <w:r>
              <w:rPr>
                <w:noProof/>
                <w:sz w:val="16"/>
              </w:rPr>
              <w:t>Instalarea de puncte de monitorizare și supraveghere a resurselor de apă subterană (inclusiv piezometre și telemetrie). Pe lângă cele 32 piezometre existente, se instalează alte 50 piezometre.</w:t>
            </w:r>
            <w:r>
              <w:rPr>
                <w:noProof/>
                <w:sz w:val="18"/>
              </w:rPr>
              <w:t xml:space="preserve"> </w:t>
            </w:r>
          </w:p>
        </w:tc>
      </w:tr>
      <w:tr w:rsidR="00A15990" w14:paraId="0792A2CB" w14:textId="77777777">
        <w:trPr>
          <w:trHeight w:val="1050"/>
          <w:jc w:val="center"/>
        </w:trPr>
        <w:tc>
          <w:tcPr>
            <w:tcW w:w="1135" w:type="dxa"/>
            <w:shd w:val="clear" w:color="auto" w:fill="C4EFCE"/>
            <w:noWrap/>
            <w:vAlign w:val="center"/>
            <w:hideMark/>
          </w:tcPr>
          <w:p w14:paraId="2868601E" w14:textId="77777777" w:rsidR="00A15990" w:rsidRDefault="00686A62">
            <w:pPr>
              <w:pStyle w:val="P68B1DB1-Normal7"/>
              <w:spacing w:after="0" w:line="240" w:lineRule="auto"/>
              <w:jc w:val="center"/>
              <w:rPr>
                <w:rFonts w:eastAsia="Times New Roman" w:cs="Calibri"/>
                <w:noProof/>
              </w:rPr>
            </w:pPr>
            <w:r>
              <w:rPr>
                <w:noProof/>
              </w:rPr>
              <w:t>9.2</w:t>
            </w:r>
          </w:p>
        </w:tc>
        <w:tc>
          <w:tcPr>
            <w:tcW w:w="1276" w:type="dxa"/>
            <w:shd w:val="clear" w:color="auto" w:fill="C4EFCE"/>
            <w:noWrap/>
            <w:vAlign w:val="center"/>
            <w:hideMark/>
          </w:tcPr>
          <w:p w14:paraId="473C196B"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7A7F263"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10ABBF9" w14:textId="77777777" w:rsidR="00A15990" w:rsidRDefault="00686A62">
            <w:pPr>
              <w:pStyle w:val="P68B1DB1-Normal8"/>
              <w:spacing w:after="0" w:line="240" w:lineRule="auto"/>
              <w:jc w:val="center"/>
              <w:rPr>
                <w:rFonts w:eastAsia="Times New Roman" w:cs="Calibri"/>
                <w:noProof/>
              </w:rPr>
            </w:pPr>
            <w:r>
              <w:rPr>
                <w:noProof/>
              </w:rPr>
              <w:t>Finalizarea intervențiilor în rețea pentru reducerea pierderilor de apă (SM1)</w:t>
            </w:r>
          </w:p>
        </w:tc>
        <w:tc>
          <w:tcPr>
            <w:tcW w:w="1275" w:type="dxa"/>
            <w:shd w:val="clear" w:color="auto" w:fill="C4EFCE"/>
            <w:noWrap/>
            <w:vAlign w:val="center"/>
            <w:hideMark/>
          </w:tcPr>
          <w:p w14:paraId="03DA0A8A" w14:textId="77777777" w:rsidR="00A15990" w:rsidRDefault="00A15990">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5ED303C2"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60440915"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2D1D6224" w14:textId="77777777" w:rsidR="00A15990" w:rsidRDefault="00686A62">
            <w:pPr>
              <w:pStyle w:val="P68B1DB1-Normal8"/>
              <w:spacing w:after="0" w:line="240" w:lineRule="auto"/>
              <w:jc w:val="center"/>
              <w:rPr>
                <w:rFonts w:eastAsia="Times New Roman" w:cs="Calibri"/>
                <w:noProof/>
              </w:rPr>
            </w:pPr>
            <w:r>
              <w:rPr>
                <w:noProof/>
              </w:rPr>
              <w:t>125</w:t>
            </w:r>
          </w:p>
        </w:tc>
        <w:tc>
          <w:tcPr>
            <w:tcW w:w="567" w:type="dxa"/>
            <w:shd w:val="clear" w:color="auto" w:fill="C4EFCE"/>
            <w:noWrap/>
            <w:vAlign w:val="center"/>
            <w:hideMark/>
          </w:tcPr>
          <w:p w14:paraId="5B4ACE0D"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5FCFB3CB" w14:textId="77777777"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E31623D" w14:textId="77777777" w:rsidR="00A15990" w:rsidRDefault="00686A62">
            <w:pPr>
              <w:pStyle w:val="P68B1DB1-Normal8"/>
              <w:spacing w:after="0" w:line="240" w:lineRule="auto"/>
              <w:jc w:val="both"/>
              <w:rPr>
                <w:rFonts w:eastAsia="Times New Roman" w:cs="Calibri"/>
                <w:noProof/>
              </w:rPr>
            </w:pPr>
            <w:r>
              <w:rPr>
                <w:noProof/>
              </w:rPr>
              <w:t>Finalizarea intervențiilor în rețea pentru optimizarea presiunii și reabilitarea rețelei prin următoarele acțiuni: 1) optimizarea presiunii și măsurarea debitului, 2) reabilitarea rețelei în zonele urbane/istorice 3) reabilitarea rețelei în zonele rurale sau rurale medii.</w:t>
            </w:r>
          </w:p>
        </w:tc>
      </w:tr>
      <w:tr w:rsidR="00A15990" w14:paraId="470669E2" w14:textId="77777777">
        <w:trPr>
          <w:trHeight w:val="1757"/>
          <w:jc w:val="center"/>
        </w:trPr>
        <w:tc>
          <w:tcPr>
            <w:tcW w:w="1135" w:type="dxa"/>
            <w:shd w:val="clear" w:color="auto" w:fill="C5EFCE"/>
            <w:noWrap/>
            <w:vAlign w:val="center"/>
            <w:hideMark/>
          </w:tcPr>
          <w:p w14:paraId="24335E6E" w14:textId="77777777" w:rsidR="00A15990" w:rsidRDefault="00686A62">
            <w:pPr>
              <w:pStyle w:val="P68B1DB1-Normal7"/>
              <w:spacing w:after="0" w:line="240" w:lineRule="auto"/>
              <w:jc w:val="center"/>
              <w:rPr>
                <w:rFonts w:eastAsia="Times New Roman" w:cs="Calibri"/>
                <w:noProof/>
              </w:rPr>
            </w:pPr>
            <w:r>
              <w:rPr>
                <w:noProof/>
              </w:rPr>
              <w:t>9.3</w:t>
            </w:r>
          </w:p>
        </w:tc>
        <w:tc>
          <w:tcPr>
            <w:tcW w:w="1276" w:type="dxa"/>
            <w:shd w:val="clear" w:color="auto" w:fill="C4EFCE"/>
            <w:noWrap/>
            <w:vAlign w:val="center"/>
            <w:hideMark/>
          </w:tcPr>
          <w:p w14:paraId="61BA6E03"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481B50F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AFCFDF3" w14:textId="77777777" w:rsidR="00A15990" w:rsidRDefault="00686A62">
            <w:pPr>
              <w:pStyle w:val="P68B1DB1-Normal8"/>
              <w:spacing w:after="0" w:line="240" w:lineRule="auto"/>
              <w:jc w:val="center"/>
              <w:rPr>
                <w:rFonts w:eastAsia="Times New Roman" w:cs="Calibri"/>
                <w:noProof/>
              </w:rPr>
            </w:pPr>
            <w:r>
              <w:rPr>
                <w:noProof/>
              </w:rPr>
              <w:t>Modernizarea suprafeței de teren cu utilizare hidro-agricolă colectivă și irigații individuale (SM2)</w:t>
            </w:r>
          </w:p>
        </w:tc>
        <w:tc>
          <w:tcPr>
            <w:tcW w:w="1275" w:type="dxa"/>
            <w:shd w:val="clear" w:color="auto" w:fill="C4EFCE"/>
            <w:noWrap/>
            <w:vAlign w:val="center"/>
            <w:hideMark/>
          </w:tcPr>
          <w:p w14:paraId="36A7294C" w14:textId="77777777" w:rsidR="00A15990" w:rsidRDefault="00A15990">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45E8102A" w14:textId="77777777" w:rsidR="00A15990" w:rsidRDefault="00686A62">
            <w:pPr>
              <w:pStyle w:val="P68B1DB1-Normal8"/>
              <w:spacing w:after="0" w:line="240" w:lineRule="auto"/>
              <w:jc w:val="center"/>
              <w:rPr>
                <w:rFonts w:eastAsia="Times New Roman" w:cs="Calibri"/>
                <w:noProof/>
              </w:rPr>
            </w:pPr>
            <w:r>
              <w:rPr>
                <w:noProof/>
              </w:rPr>
              <w:t>Ha</w:t>
            </w:r>
          </w:p>
        </w:tc>
        <w:tc>
          <w:tcPr>
            <w:tcW w:w="992" w:type="dxa"/>
            <w:shd w:val="clear" w:color="auto" w:fill="C4EFCE"/>
            <w:noWrap/>
            <w:vAlign w:val="center"/>
            <w:hideMark/>
          </w:tcPr>
          <w:p w14:paraId="72C10700"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23692D8" w14:textId="77777777" w:rsidR="00A15990" w:rsidRDefault="00686A62">
            <w:pPr>
              <w:pStyle w:val="P68B1DB1-Normal8"/>
              <w:spacing w:after="0" w:line="240" w:lineRule="auto"/>
              <w:jc w:val="center"/>
              <w:rPr>
                <w:rFonts w:eastAsia="Times New Roman" w:cs="Calibri"/>
                <w:noProof/>
              </w:rPr>
            </w:pPr>
            <w:r>
              <w:rPr>
                <w:noProof/>
              </w:rPr>
              <w:t>10 300</w:t>
            </w:r>
          </w:p>
        </w:tc>
        <w:tc>
          <w:tcPr>
            <w:tcW w:w="567" w:type="dxa"/>
            <w:shd w:val="clear" w:color="auto" w:fill="C4EFCE"/>
            <w:noWrap/>
            <w:vAlign w:val="center"/>
            <w:hideMark/>
          </w:tcPr>
          <w:p w14:paraId="32AC4E73"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174A4D7F" w14:textId="77777777"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188BD210" w14:textId="77777777" w:rsidR="00A15990" w:rsidRDefault="00686A62">
            <w:pPr>
              <w:pStyle w:val="P68B1DB1-Normal8"/>
              <w:spacing w:after="0" w:line="240" w:lineRule="auto"/>
              <w:jc w:val="both"/>
              <w:rPr>
                <w:rFonts w:eastAsia="Times New Roman" w:cs="Calibri"/>
                <w:noProof/>
              </w:rPr>
            </w:pPr>
            <w:r>
              <w:rPr>
                <w:noProof/>
              </w:rPr>
              <w:t xml:space="preserve">Zona vizată de adoptarea unor sisteme de distribuție mai eficiente, prin înlocuirea canalelor cu conducte, îmbunătățirea presiunii în rețea, implementarea sistemelor de teledetecție și control al consumului și implementarea sistemelor de detectare a scurgerilor pentru instalațiile hidroagricole colective și pentru instalarea unor sisteme de irigații mai eficiente și mai monitorizabile în irigații individuale </w:t>
            </w:r>
          </w:p>
        </w:tc>
      </w:tr>
      <w:tr w:rsidR="00A15990" w14:paraId="13208EC3" w14:textId="77777777">
        <w:trPr>
          <w:trHeight w:val="1251"/>
          <w:jc w:val="center"/>
        </w:trPr>
        <w:tc>
          <w:tcPr>
            <w:tcW w:w="1135" w:type="dxa"/>
            <w:shd w:val="clear" w:color="auto" w:fill="C5EFCE"/>
            <w:noWrap/>
            <w:vAlign w:val="center"/>
            <w:hideMark/>
          </w:tcPr>
          <w:p w14:paraId="5C18D42C" w14:textId="77777777" w:rsidR="00A15990" w:rsidRDefault="00686A62">
            <w:pPr>
              <w:pStyle w:val="P68B1DB1-Normal7"/>
              <w:spacing w:after="0" w:line="240" w:lineRule="auto"/>
              <w:jc w:val="center"/>
              <w:rPr>
                <w:rFonts w:eastAsia="Times New Roman" w:cs="Calibri"/>
                <w:noProof/>
              </w:rPr>
            </w:pPr>
            <w:r>
              <w:rPr>
                <w:noProof/>
              </w:rPr>
              <w:t>9.4</w:t>
            </w:r>
          </w:p>
        </w:tc>
        <w:tc>
          <w:tcPr>
            <w:tcW w:w="1276" w:type="dxa"/>
            <w:shd w:val="clear" w:color="auto" w:fill="C4EFCE"/>
            <w:noWrap/>
            <w:vAlign w:val="center"/>
            <w:hideMark/>
          </w:tcPr>
          <w:p w14:paraId="3F908A5B"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27188DE4"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4082C95" w14:textId="77777777" w:rsidR="00A15990" w:rsidRDefault="00686A62">
            <w:pPr>
              <w:pStyle w:val="P68B1DB1-Normal8"/>
              <w:spacing w:after="0" w:line="240" w:lineRule="auto"/>
              <w:jc w:val="center"/>
              <w:rPr>
                <w:rFonts w:eastAsia="Times New Roman" w:cs="Calibri"/>
                <w:noProof/>
              </w:rPr>
            </w:pPr>
            <w:r>
              <w:rPr>
                <w:noProof/>
              </w:rPr>
              <w:t>Numărul de stații de epurare pentru a asigura producția și rafinarea apelor uzate epurate (SM4)</w:t>
            </w:r>
          </w:p>
        </w:tc>
        <w:tc>
          <w:tcPr>
            <w:tcW w:w="1275" w:type="dxa"/>
            <w:shd w:val="clear" w:color="auto" w:fill="C4EFCE"/>
            <w:noWrap/>
            <w:vAlign w:val="center"/>
            <w:hideMark/>
          </w:tcPr>
          <w:p w14:paraId="78A33847" w14:textId="77777777" w:rsidR="00A15990" w:rsidRDefault="00A15990">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28B2E837"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72835986"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40E57D3" w14:textId="77777777" w:rsidR="00A15990" w:rsidRDefault="00686A62">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254C1418"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72AB9968" w14:textId="77777777"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3C292FEE" w14:textId="77777777" w:rsidR="00A15990" w:rsidRDefault="00686A62">
            <w:pPr>
              <w:pStyle w:val="P68B1DB1-Normal8"/>
              <w:spacing w:after="0" w:line="240" w:lineRule="auto"/>
              <w:jc w:val="both"/>
              <w:rPr>
                <w:rFonts w:eastAsia="Times New Roman" w:cs="Calibri"/>
                <w:noProof/>
              </w:rPr>
            </w:pPr>
            <w:r>
              <w:rPr>
                <w:noProof/>
              </w:rPr>
              <w:t>Numărul de stații de epurare deschise pentru a asigura producția de ape uzate epurate gata de reutilizare</w:t>
            </w:r>
          </w:p>
        </w:tc>
      </w:tr>
      <w:tr w:rsidR="00A15990" w14:paraId="4757E211" w14:textId="77777777">
        <w:trPr>
          <w:trHeight w:val="1050"/>
          <w:jc w:val="center"/>
        </w:trPr>
        <w:tc>
          <w:tcPr>
            <w:tcW w:w="1135" w:type="dxa"/>
            <w:shd w:val="clear" w:color="auto" w:fill="C4EFCE"/>
            <w:noWrap/>
            <w:vAlign w:val="center"/>
            <w:hideMark/>
          </w:tcPr>
          <w:p w14:paraId="63118563" w14:textId="77777777" w:rsidR="00A15990" w:rsidRDefault="00686A62">
            <w:pPr>
              <w:pStyle w:val="P68B1DB1-Normal7"/>
              <w:spacing w:after="0" w:line="240" w:lineRule="auto"/>
              <w:jc w:val="center"/>
              <w:rPr>
                <w:rFonts w:eastAsia="Times New Roman" w:cs="Calibri"/>
                <w:noProof/>
              </w:rPr>
            </w:pPr>
            <w:r>
              <w:rPr>
                <w:noProof/>
              </w:rPr>
              <w:t>9.5</w:t>
            </w:r>
          </w:p>
        </w:tc>
        <w:tc>
          <w:tcPr>
            <w:tcW w:w="1276" w:type="dxa"/>
            <w:shd w:val="clear" w:color="auto" w:fill="C4EFCE"/>
            <w:noWrap/>
            <w:vAlign w:val="center"/>
            <w:hideMark/>
          </w:tcPr>
          <w:p w14:paraId="323709CC"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047FA0FE"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F4FE77F" w14:textId="77777777" w:rsidR="00A15990" w:rsidRDefault="00686A62">
            <w:pPr>
              <w:pStyle w:val="P68B1DB1-Normal8"/>
              <w:spacing w:after="0" w:line="240" w:lineRule="auto"/>
              <w:jc w:val="center"/>
              <w:rPr>
                <w:rFonts w:eastAsia="Times New Roman" w:cs="Calibri"/>
                <w:noProof/>
              </w:rPr>
            </w:pPr>
            <w:r>
              <w:rPr>
                <w:noProof/>
              </w:rPr>
              <w:t>Adoptarea unui proiect actualizat (dacă este necesar) al măsurii privind captarea în Guadiana, care să includă pe deplin orice rezultat și condiție din evaluarea impactului asupra mediului (SM5)</w:t>
            </w:r>
          </w:p>
        </w:tc>
        <w:tc>
          <w:tcPr>
            <w:tcW w:w="1275" w:type="dxa"/>
            <w:shd w:val="clear" w:color="auto" w:fill="C4EFCE"/>
            <w:noWrap/>
            <w:vAlign w:val="center"/>
            <w:hideMark/>
          </w:tcPr>
          <w:p w14:paraId="2770C7F5" w14:textId="77777777" w:rsidR="00A15990" w:rsidRDefault="00686A62">
            <w:pPr>
              <w:pStyle w:val="P68B1DB1-Normal8"/>
              <w:spacing w:after="0" w:line="240" w:lineRule="auto"/>
              <w:jc w:val="center"/>
              <w:rPr>
                <w:rFonts w:eastAsia="Times New Roman" w:cs="Calibri"/>
                <w:noProof/>
              </w:rPr>
            </w:pPr>
            <w:r>
              <w:rPr>
                <w:noProof/>
              </w:rPr>
              <w:t>Adoptarea desenului sau modelului actualizat (dacă este necesar)</w:t>
            </w:r>
          </w:p>
        </w:tc>
        <w:tc>
          <w:tcPr>
            <w:tcW w:w="993" w:type="dxa"/>
            <w:shd w:val="clear" w:color="auto" w:fill="C4EFCE"/>
            <w:noWrap/>
            <w:vAlign w:val="center"/>
            <w:hideMark/>
          </w:tcPr>
          <w:p w14:paraId="2CB3CD29"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8D2587E"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08998EE7"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60BDF15" w14:textId="4D96C4DC"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1079CDB9" w14:textId="7777777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73E76A50" w14:textId="77777777" w:rsidR="00A15990" w:rsidRDefault="00686A62">
            <w:pPr>
              <w:pStyle w:val="P68B1DB1-Normal8"/>
              <w:spacing w:after="0" w:line="240" w:lineRule="auto"/>
              <w:jc w:val="both"/>
              <w:rPr>
                <w:rFonts w:eastAsia="Times New Roman" w:cs="Calibri"/>
                <w:noProof/>
              </w:rPr>
            </w:pPr>
            <w:r>
              <w:rPr>
                <w:noProof/>
              </w:rPr>
              <w:t xml:space="preserve">Adoptarea unui proiect actualizat al măsurii (dacă este necesar), care să includă pe deplin rezultatele și condițiile necesare din evaluarea impactului asupra mediului, care trebuie finalizată în conformitate cu Directiva 2011/92/UE și cu Directiva 92/43/CEE, precum și evaluările relevante în contextul Directiva 2000/60/CE, inclusiv punerea în aplicare a măsurilor de atenuare necesare, asigurând conformitatea cu Orientările tehnice de tip DNSH (2021/C58/01). </w:t>
            </w:r>
          </w:p>
          <w:p w14:paraId="3F1FF344" w14:textId="77777777" w:rsidR="00A15990" w:rsidRDefault="00686A62">
            <w:pPr>
              <w:pStyle w:val="P68B1DB1-Normal8"/>
              <w:spacing w:after="0" w:line="240" w:lineRule="auto"/>
              <w:jc w:val="both"/>
              <w:rPr>
                <w:rFonts w:eastAsia="Times New Roman" w:cs="Calibri"/>
                <w:noProof/>
              </w:rPr>
            </w:pPr>
            <w:r>
              <w:rPr>
                <w:noProof/>
              </w:rPr>
              <w:t xml:space="preserve">Orice măsuri identificate în cadrul EIM și al evaluării în temeiul Directiva 2000/60/CE ca fiind necesare pentru a asigura respectarea principiului de „a nu aduce prejudicii semnificative” sunt integrate în proiect și respectate cu strictețe în etapele de construcție, exploatare și dezafectare a infrastructurii. </w:t>
            </w:r>
          </w:p>
          <w:p w14:paraId="2BD5E250" w14:textId="2C0B174C" w:rsidR="00A15990" w:rsidRDefault="00686A62">
            <w:pPr>
              <w:pStyle w:val="P68B1DB1-Normal8"/>
              <w:spacing w:after="0" w:line="240" w:lineRule="auto"/>
              <w:jc w:val="both"/>
              <w:rPr>
                <w:rFonts w:eastAsia="Times New Roman" w:cs="Calibri"/>
                <w:noProof/>
              </w:rPr>
            </w:pPr>
            <w:r>
              <w:rPr>
                <w:noProof/>
              </w:rPr>
              <w:t>În cazul captării apei, autoritatea competentă acordă o autorizație relevantă care specifică condițiile pentru a evita deteriorarea și pentru a se asigura că corpurile de apă afectate rămân într-o stare ecologică bună, în conformitate cu cerințele Directivei 2000/60/CE.</w:t>
            </w:r>
          </w:p>
        </w:tc>
      </w:tr>
      <w:tr w:rsidR="00A15990" w14:paraId="192B3758" w14:textId="77777777">
        <w:trPr>
          <w:trHeight w:val="3160"/>
          <w:jc w:val="center"/>
        </w:trPr>
        <w:tc>
          <w:tcPr>
            <w:tcW w:w="1135" w:type="dxa"/>
            <w:shd w:val="clear" w:color="auto" w:fill="C4EFCE"/>
            <w:noWrap/>
            <w:vAlign w:val="center"/>
            <w:hideMark/>
          </w:tcPr>
          <w:p w14:paraId="2C0C5900" w14:textId="77777777" w:rsidR="00A15990" w:rsidRDefault="00686A62">
            <w:pPr>
              <w:pStyle w:val="P68B1DB1-Normal7"/>
              <w:spacing w:after="0" w:line="240" w:lineRule="auto"/>
              <w:jc w:val="center"/>
              <w:rPr>
                <w:rFonts w:eastAsia="Times New Roman" w:cs="Calibri"/>
                <w:noProof/>
              </w:rPr>
            </w:pPr>
            <w:r>
              <w:rPr>
                <w:noProof/>
              </w:rPr>
              <w:t>9.6</w:t>
            </w:r>
          </w:p>
        </w:tc>
        <w:tc>
          <w:tcPr>
            <w:tcW w:w="1276" w:type="dxa"/>
            <w:shd w:val="clear" w:color="auto" w:fill="C4EFCE"/>
            <w:noWrap/>
            <w:vAlign w:val="center"/>
            <w:hideMark/>
          </w:tcPr>
          <w:p w14:paraId="70BF118A"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D10D257"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39625382" w14:textId="77777777" w:rsidR="00A15990" w:rsidRDefault="00686A62">
            <w:pPr>
              <w:pStyle w:val="P68B1DB1-Normal8"/>
              <w:spacing w:after="0" w:line="240" w:lineRule="auto"/>
              <w:jc w:val="center"/>
              <w:rPr>
                <w:rFonts w:eastAsia="Times New Roman" w:cs="Calibri"/>
                <w:noProof/>
              </w:rPr>
            </w:pPr>
            <w:r>
              <w:rPr>
                <w:noProof/>
              </w:rPr>
              <w:t>Punerea în funcțiune a captării în Guadiana, respectând pe deplin rezultatele și condițiile stabilite în evaluarea impactului asupra mediului (SM5)</w:t>
            </w:r>
          </w:p>
        </w:tc>
        <w:tc>
          <w:tcPr>
            <w:tcW w:w="1275" w:type="dxa"/>
            <w:shd w:val="clear" w:color="auto" w:fill="C4EFCE"/>
            <w:noWrap/>
            <w:vAlign w:val="center"/>
            <w:hideMark/>
          </w:tcPr>
          <w:p w14:paraId="0C2A7E77" w14:textId="77777777" w:rsidR="00A15990" w:rsidRDefault="00686A62">
            <w:pPr>
              <w:pStyle w:val="P68B1DB1-Normal8"/>
              <w:spacing w:after="0" w:line="240" w:lineRule="auto"/>
              <w:jc w:val="center"/>
              <w:rPr>
                <w:rFonts w:eastAsia="Times New Roman" w:cs="Calibri"/>
                <w:noProof/>
              </w:rPr>
            </w:pPr>
            <w:r>
              <w:rPr>
                <w:noProof/>
              </w:rPr>
              <w:t>Punerea în funcțiune a captării apei</w:t>
            </w:r>
          </w:p>
        </w:tc>
        <w:tc>
          <w:tcPr>
            <w:tcW w:w="993" w:type="dxa"/>
            <w:shd w:val="clear" w:color="auto" w:fill="C4EFCE"/>
            <w:noWrap/>
            <w:vAlign w:val="center"/>
            <w:hideMark/>
          </w:tcPr>
          <w:p w14:paraId="554265B5"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F44BFB8"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7BF66C"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1DA95B63" w14:textId="40897D40"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0523A9C1" w14:textId="7596D464"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4433FAD9" w14:textId="696B8034" w:rsidR="00A15990" w:rsidRDefault="00686A62">
            <w:pPr>
              <w:pStyle w:val="P68B1DB1-Normal8"/>
              <w:spacing w:after="0" w:line="240" w:lineRule="auto"/>
              <w:jc w:val="both"/>
              <w:rPr>
                <w:rFonts w:eastAsia="Times New Roman" w:cs="Calibri"/>
                <w:noProof/>
              </w:rPr>
            </w:pPr>
            <w:r>
              <w:rPr>
                <w:noProof/>
              </w:rPr>
              <w:t xml:space="preserve">Punerea în funcțiune a captării în Guadiana, respectând pe deplin rezultatul EIM care trebuie să fi fost finalizată în conformitate cu Directiva 2011/92/UE și cu Directiva 92/43/CEE, inclusiv punerea în aplicare a măsurilor de atenuare necesare, asigurând conformitatea cu Orientările tehnice privind principiul de a nu aduce prejudicii semnificative (2021/C58/01) </w:t>
            </w:r>
          </w:p>
        </w:tc>
      </w:tr>
      <w:tr w:rsidR="00A15990" w14:paraId="6F9F9602" w14:textId="77777777">
        <w:trPr>
          <w:trHeight w:val="2966"/>
          <w:jc w:val="center"/>
        </w:trPr>
        <w:tc>
          <w:tcPr>
            <w:tcW w:w="1135" w:type="dxa"/>
            <w:shd w:val="clear" w:color="auto" w:fill="C4EFCE"/>
            <w:noWrap/>
            <w:vAlign w:val="center"/>
            <w:hideMark/>
          </w:tcPr>
          <w:p w14:paraId="29F6DCA6" w14:textId="77777777" w:rsidR="00A15990" w:rsidRDefault="00686A62">
            <w:pPr>
              <w:pStyle w:val="P68B1DB1-Normal7"/>
              <w:spacing w:after="0" w:line="240" w:lineRule="auto"/>
              <w:jc w:val="center"/>
              <w:rPr>
                <w:rFonts w:eastAsia="Times New Roman" w:cs="Calibri"/>
                <w:noProof/>
              </w:rPr>
            </w:pPr>
            <w:r>
              <w:rPr>
                <w:noProof/>
              </w:rPr>
              <w:t>9.7</w:t>
            </w:r>
          </w:p>
        </w:tc>
        <w:tc>
          <w:tcPr>
            <w:tcW w:w="1276" w:type="dxa"/>
            <w:shd w:val="clear" w:color="auto" w:fill="C4EFCE"/>
            <w:noWrap/>
            <w:vAlign w:val="center"/>
            <w:hideMark/>
          </w:tcPr>
          <w:p w14:paraId="7E7B9030"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65577101"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6971F09" w14:textId="77777777" w:rsidR="00A15990" w:rsidRDefault="00686A62">
            <w:pPr>
              <w:pStyle w:val="P68B1DB1-Normal8"/>
              <w:spacing w:after="0" w:line="240" w:lineRule="auto"/>
              <w:jc w:val="center"/>
              <w:rPr>
                <w:rFonts w:eastAsia="Times New Roman" w:cs="Calibri"/>
                <w:noProof/>
              </w:rPr>
            </w:pPr>
            <w:r>
              <w:rPr>
                <w:noProof/>
              </w:rPr>
              <w:t>Adoptarea unui proiect actualizat (dacă este necesar) al măsurii de desalinizare, care să includă pe deplin orice rezultat și condiție din evaluarea impactului asupra mediului (SM6)</w:t>
            </w:r>
          </w:p>
        </w:tc>
        <w:tc>
          <w:tcPr>
            <w:tcW w:w="1275" w:type="dxa"/>
            <w:shd w:val="clear" w:color="auto" w:fill="C4EFCE"/>
            <w:noWrap/>
            <w:vAlign w:val="center"/>
            <w:hideMark/>
          </w:tcPr>
          <w:p w14:paraId="4E8E76C8" w14:textId="77777777" w:rsidR="00A15990" w:rsidRDefault="00686A62">
            <w:pPr>
              <w:pStyle w:val="P68B1DB1-Normal8"/>
              <w:spacing w:after="0" w:line="240" w:lineRule="auto"/>
              <w:jc w:val="center"/>
              <w:rPr>
                <w:rFonts w:eastAsia="Times New Roman" w:cs="Calibri"/>
                <w:noProof/>
              </w:rPr>
            </w:pPr>
            <w:r>
              <w:rPr>
                <w:noProof/>
              </w:rPr>
              <w:t>Adoptarea desenului sau modelului actualizat (dacă este necesar)</w:t>
            </w:r>
          </w:p>
        </w:tc>
        <w:tc>
          <w:tcPr>
            <w:tcW w:w="993" w:type="dxa"/>
            <w:shd w:val="clear" w:color="auto" w:fill="C4EFCE"/>
            <w:noWrap/>
            <w:vAlign w:val="center"/>
            <w:hideMark/>
          </w:tcPr>
          <w:p w14:paraId="4A6FC0AE"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3C3FADE0"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71FE3BF8"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14F91E1" w14:textId="365EFFDB"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249C3716" w14:textId="0AB69983"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7FA125F" w14:textId="77777777" w:rsidR="00A15990" w:rsidRDefault="00686A62">
            <w:pPr>
              <w:pStyle w:val="P68B1DB1-Normal8"/>
              <w:spacing w:after="0" w:line="240" w:lineRule="auto"/>
              <w:jc w:val="both"/>
              <w:rPr>
                <w:rFonts w:eastAsia="Times New Roman" w:cs="Calibri"/>
                <w:noProof/>
              </w:rPr>
            </w:pPr>
            <w:r>
              <w:rPr>
                <w:noProof/>
              </w:rPr>
              <w:t>Adoptarea unui proiect actualizat al măsurii de desalinizare (dacă este necesar), care să includă pe deplin rezultatele și condițiile necesare din evaluarea impactului asupra mediului, care trebuie finalizată în conformitate cu Directiva 2011/92/UE, precum și evaluările relevante în contextul Directiva 2000/60/CE, inclusiv punerea în aplicare a măsurilor de atenuare necesare, asigurând conformitatea cu Orientările tehnice de tip DNSH (2021/C58/01). Orice măsuri identificate în cadrul EIM și al evaluării în temeiul Directiva 2000/60/CE ca fiind necesare pentru a asigura respectarea principiului de „a nu aduce prejudicii semnificative” sunt integrate în proiect și respectate cu strictețe în etapele de construcție, exploatare și dezafectare a infrastructurii.</w:t>
            </w:r>
          </w:p>
        </w:tc>
      </w:tr>
      <w:tr w:rsidR="00A15990" w14:paraId="3DA4741E" w14:textId="77777777">
        <w:trPr>
          <w:trHeight w:val="1250"/>
          <w:jc w:val="center"/>
        </w:trPr>
        <w:tc>
          <w:tcPr>
            <w:tcW w:w="1135" w:type="dxa"/>
            <w:shd w:val="clear" w:color="auto" w:fill="C4EFCE"/>
            <w:noWrap/>
            <w:vAlign w:val="center"/>
            <w:hideMark/>
          </w:tcPr>
          <w:p w14:paraId="584AC037" w14:textId="77777777" w:rsidR="00A15990" w:rsidRDefault="00686A62">
            <w:pPr>
              <w:pStyle w:val="P68B1DB1-Normal7"/>
              <w:spacing w:after="0" w:line="240" w:lineRule="auto"/>
              <w:jc w:val="center"/>
              <w:rPr>
                <w:rFonts w:eastAsia="Times New Roman" w:cs="Calibri"/>
                <w:noProof/>
              </w:rPr>
            </w:pPr>
            <w:r>
              <w:rPr>
                <w:noProof/>
              </w:rPr>
              <w:t>9.8</w:t>
            </w:r>
          </w:p>
        </w:tc>
        <w:tc>
          <w:tcPr>
            <w:tcW w:w="1276" w:type="dxa"/>
            <w:shd w:val="clear" w:color="auto" w:fill="C4EFCE"/>
            <w:noWrap/>
            <w:vAlign w:val="center"/>
            <w:hideMark/>
          </w:tcPr>
          <w:p w14:paraId="46BCD0A0" w14:textId="77777777" w:rsidR="00A15990" w:rsidRDefault="00686A62">
            <w:pPr>
              <w:pStyle w:val="P68B1DB1-Normal8"/>
              <w:spacing w:after="0" w:line="240" w:lineRule="auto"/>
              <w:jc w:val="center"/>
              <w:rPr>
                <w:rFonts w:eastAsia="Times New Roman" w:cs="Calibri"/>
                <w:noProof/>
              </w:rPr>
            </w:pPr>
            <w:r>
              <w:rPr>
                <w:noProof/>
              </w:rPr>
              <w:t>RE-C09-i01</w:t>
            </w:r>
          </w:p>
        </w:tc>
        <w:tc>
          <w:tcPr>
            <w:tcW w:w="1134" w:type="dxa"/>
            <w:shd w:val="clear" w:color="auto" w:fill="C4EFCE"/>
            <w:noWrap/>
            <w:vAlign w:val="center"/>
            <w:hideMark/>
          </w:tcPr>
          <w:p w14:paraId="549C7160"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0B65542" w14:textId="758A5464" w:rsidR="00A15990" w:rsidRDefault="00686A62">
            <w:pPr>
              <w:pStyle w:val="P68B1DB1-Normal8"/>
              <w:spacing w:after="0" w:line="240" w:lineRule="auto"/>
              <w:jc w:val="center"/>
              <w:rPr>
                <w:rFonts w:eastAsia="Times New Roman" w:cs="Calibri"/>
                <w:noProof/>
              </w:rPr>
            </w:pPr>
            <w:r>
              <w:rPr>
                <w:noProof/>
              </w:rPr>
              <w:t>Punerea în funcțiune a măsurii de desalinizare, cu respectarea deplină a rezultatelor și a condițiilor stabilite în evaluarea impactului asupra mediului (SM6)</w:t>
            </w:r>
          </w:p>
        </w:tc>
        <w:tc>
          <w:tcPr>
            <w:tcW w:w="1275" w:type="dxa"/>
            <w:shd w:val="clear" w:color="auto" w:fill="C4EFCE"/>
            <w:noWrap/>
            <w:vAlign w:val="center"/>
            <w:hideMark/>
          </w:tcPr>
          <w:p w14:paraId="3DF16F3D" w14:textId="77777777" w:rsidR="00A15990" w:rsidRDefault="00686A62">
            <w:pPr>
              <w:pStyle w:val="P68B1DB1-Normal8"/>
              <w:spacing w:after="0" w:line="240" w:lineRule="auto"/>
              <w:jc w:val="center"/>
              <w:rPr>
                <w:rFonts w:eastAsia="Times New Roman" w:cs="Calibri"/>
                <w:noProof/>
              </w:rPr>
            </w:pPr>
            <w:r>
              <w:rPr>
                <w:noProof/>
              </w:rPr>
              <w:t>Punerea în funcțiune a desalinatorului</w:t>
            </w:r>
          </w:p>
        </w:tc>
        <w:tc>
          <w:tcPr>
            <w:tcW w:w="993" w:type="dxa"/>
            <w:shd w:val="clear" w:color="auto" w:fill="C4EFCE"/>
            <w:noWrap/>
            <w:vAlign w:val="center"/>
            <w:hideMark/>
          </w:tcPr>
          <w:p w14:paraId="72453BB8"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6510E366"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53F0AD13"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532C96C1"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70A056AF" w14:textId="77777777"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522A58FB" w14:textId="77777777" w:rsidR="00A15990" w:rsidRDefault="00686A62">
            <w:pPr>
              <w:pStyle w:val="P68B1DB1-Normal8"/>
              <w:spacing w:after="0" w:line="240" w:lineRule="auto"/>
              <w:jc w:val="both"/>
              <w:rPr>
                <w:rFonts w:eastAsia="Times New Roman" w:cs="Calibri"/>
                <w:noProof/>
              </w:rPr>
            </w:pPr>
            <w:r>
              <w:rPr>
                <w:noProof/>
              </w:rPr>
              <w:t xml:space="preserve">Punerea în funcțiune a desalinatorului, respectând pe deplin rezultatul evaluării impactului asupra mediului care trebuie să fi fost finalizată în conformitate cu Directiva 2011/92/UE, inclusiv punerea în aplicare a măsurilor de atenuare necesare, asigurând conformitatea cu Orientările tehnice privind principiul de a nu aduce prejudicii semnificative (2021/C58/01) </w:t>
            </w:r>
          </w:p>
        </w:tc>
      </w:tr>
      <w:tr w:rsidR="00A15990" w14:paraId="0EE35F32" w14:textId="77777777">
        <w:trPr>
          <w:trHeight w:val="1260"/>
          <w:jc w:val="center"/>
        </w:trPr>
        <w:tc>
          <w:tcPr>
            <w:tcW w:w="1135" w:type="dxa"/>
            <w:shd w:val="clear" w:color="auto" w:fill="C4EFCE"/>
            <w:noWrap/>
            <w:vAlign w:val="center"/>
            <w:hideMark/>
          </w:tcPr>
          <w:p w14:paraId="6907820E" w14:textId="77777777" w:rsidR="00A15990" w:rsidRDefault="00686A62">
            <w:pPr>
              <w:pStyle w:val="P68B1DB1-Normal7"/>
              <w:spacing w:after="0" w:line="240" w:lineRule="auto"/>
              <w:jc w:val="center"/>
              <w:rPr>
                <w:rFonts w:eastAsia="Times New Roman" w:cs="Calibri"/>
                <w:noProof/>
              </w:rPr>
            </w:pPr>
            <w:r>
              <w:rPr>
                <w:noProof/>
              </w:rPr>
              <w:t>9.9</w:t>
            </w:r>
          </w:p>
        </w:tc>
        <w:tc>
          <w:tcPr>
            <w:tcW w:w="1276" w:type="dxa"/>
            <w:shd w:val="clear" w:color="auto" w:fill="C4EFCE"/>
            <w:noWrap/>
            <w:vAlign w:val="center"/>
            <w:hideMark/>
          </w:tcPr>
          <w:p w14:paraId="60154726" w14:textId="77777777" w:rsidR="00A15990" w:rsidRDefault="00686A62">
            <w:pPr>
              <w:pStyle w:val="P68B1DB1-Normal8"/>
              <w:spacing w:after="0" w:line="240" w:lineRule="auto"/>
              <w:jc w:val="center"/>
              <w:rPr>
                <w:rFonts w:eastAsia="Times New Roman" w:cs="Calibri"/>
                <w:noProof/>
              </w:rPr>
            </w:pPr>
            <w:r>
              <w:rPr>
                <w:noProof/>
              </w:rPr>
              <w:t>RE-C09-i02</w:t>
            </w:r>
          </w:p>
        </w:tc>
        <w:tc>
          <w:tcPr>
            <w:tcW w:w="1134" w:type="dxa"/>
            <w:shd w:val="clear" w:color="auto" w:fill="C4EFCE"/>
            <w:noWrap/>
            <w:vAlign w:val="center"/>
            <w:hideMark/>
          </w:tcPr>
          <w:p w14:paraId="2B576482"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2B791B0" w14:textId="77777777" w:rsidR="00A15990" w:rsidRDefault="00686A62">
            <w:pPr>
              <w:pStyle w:val="P68B1DB1-Normal8"/>
              <w:spacing w:after="0" w:line="240" w:lineRule="auto"/>
              <w:jc w:val="center"/>
              <w:rPr>
                <w:rFonts w:eastAsia="Times New Roman" w:cs="Calibri"/>
                <w:noProof/>
              </w:rPr>
            </w:pPr>
            <w:r>
              <w:rPr>
                <w:noProof/>
              </w:rPr>
              <w:t xml:space="preserve">Publicarea documentației de planificare a măsurii, incluzând pe deplin orice rezultat și condiție din evaluarea impactului asupra mediului </w:t>
            </w:r>
          </w:p>
        </w:tc>
        <w:tc>
          <w:tcPr>
            <w:tcW w:w="1275" w:type="dxa"/>
            <w:shd w:val="clear" w:color="auto" w:fill="C4EFCE"/>
            <w:noWrap/>
            <w:vAlign w:val="center"/>
            <w:hideMark/>
          </w:tcPr>
          <w:p w14:paraId="675CEB32" w14:textId="77777777" w:rsidR="00A15990" w:rsidRDefault="00686A62">
            <w:pPr>
              <w:pStyle w:val="P68B1DB1-Normal8"/>
              <w:spacing w:after="0" w:line="240" w:lineRule="auto"/>
              <w:jc w:val="center"/>
              <w:rPr>
                <w:rFonts w:eastAsia="Times New Roman" w:cs="Calibri"/>
                <w:noProof/>
              </w:rPr>
            </w:pPr>
            <w:r>
              <w:rPr>
                <w:noProof/>
              </w:rPr>
              <w:t>Publicarea documentației de planificare a măsurii, incluzând pe deplin orice rezultat și condiție din evaluarea impactului asupra mediului</w:t>
            </w:r>
          </w:p>
        </w:tc>
        <w:tc>
          <w:tcPr>
            <w:tcW w:w="993" w:type="dxa"/>
            <w:shd w:val="clear" w:color="auto" w:fill="C4EFCE"/>
            <w:noWrap/>
            <w:vAlign w:val="center"/>
            <w:hideMark/>
          </w:tcPr>
          <w:p w14:paraId="72B7CA55"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0FDA11AC"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hideMark/>
          </w:tcPr>
          <w:p w14:paraId="3BE4B173"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4F786AEF"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59AB2AB7"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8FDFB3C" w14:textId="77777777" w:rsidR="00A15990" w:rsidRDefault="00686A62">
            <w:pPr>
              <w:pStyle w:val="P68B1DB1-Normal8"/>
              <w:spacing w:after="0" w:line="240" w:lineRule="auto"/>
              <w:jc w:val="both"/>
              <w:rPr>
                <w:rFonts w:eastAsia="Times New Roman" w:cs="Calibri"/>
                <w:noProof/>
              </w:rPr>
            </w:pPr>
            <w:r>
              <w:rPr>
                <w:noProof/>
              </w:rPr>
              <w:t xml:space="preserve">Sub rezerva unei evaluări pozitive a impactului asupra mediului care a respectat pe deplin și în fond criteriile legale, publicarea documentației de planificare a măsurii, încorporând pe deplin orice rezultat și condiție din evaluarea impactului asupra mediului, dacă acest lucru este necesar pentru a se asigura conformitatea cu Orientările tehnice privind principiul de „a nu aduce prejudicii semnificative” (2021/C58/01). Evaluarea impactului asupra mediului este publicată și finalizată în conformitate cu Directiva 2011/92/UE, precum și evaluările relevante în contextul Directiva 2000/60/CE, inclusiv punerea în aplicare a măsurilor de atenuare necesare. </w:t>
            </w:r>
          </w:p>
          <w:p w14:paraId="16928ACC" w14:textId="62802450" w:rsidR="00A15990" w:rsidRDefault="00686A62">
            <w:pPr>
              <w:pStyle w:val="P68B1DB1-Normal8"/>
              <w:spacing w:after="0" w:line="240" w:lineRule="auto"/>
              <w:jc w:val="both"/>
              <w:rPr>
                <w:rFonts w:eastAsia="Times New Roman" w:cs="Calibri"/>
                <w:noProof/>
              </w:rPr>
            </w:pPr>
            <w:r>
              <w:rPr>
                <w:noProof/>
              </w:rPr>
              <w:t>Orice măsuri identificate în cadrul EIM și al evaluării în temeiul Directiva 2000/60/CE ca fiind necesare pentru a asigura conformitatea cu Orientările tehnice privind principiul de „a nu aduce prejudicii semnificative” (2021/C58/01) sunt integrate în proiect și respectate în etapele de construcție, exploatare și dezafectare a infrastructurii.</w:t>
            </w:r>
          </w:p>
        </w:tc>
      </w:tr>
      <w:tr w:rsidR="00A15990" w14:paraId="6E7029E4" w14:textId="77777777">
        <w:trPr>
          <w:trHeight w:val="850"/>
          <w:jc w:val="center"/>
        </w:trPr>
        <w:tc>
          <w:tcPr>
            <w:tcW w:w="1135" w:type="dxa"/>
            <w:shd w:val="clear" w:color="auto" w:fill="C4EFCE"/>
            <w:noWrap/>
            <w:vAlign w:val="center"/>
            <w:hideMark/>
          </w:tcPr>
          <w:p w14:paraId="7DFAB53A" w14:textId="77777777" w:rsidR="00A15990" w:rsidRDefault="00686A62">
            <w:pPr>
              <w:pStyle w:val="P68B1DB1-Normal7"/>
              <w:spacing w:after="0" w:line="240" w:lineRule="auto"/>
              <w:jc w:val="center"/>
              <w:rPr>
                <w:rFonts w:eastAsia="Times New Roman" w:cs="Calibri"/>
                <w:noProof/>
              </w:rPr>
            </w:pPr>
            <w:r>
              <w:rPr>
                <w:noProof/>
              </w:rPr>
              <w:t>9.12</w:t>
            </w:r>
          </w:p>
        </w:tc>
        <w:tc>
          <w:tcPr>
            <w:tcW w:w="1276" w:type="dxa"/>
            <w:shd w:val="clear" w:color="auto" w:fill="C4EFCE"/>
            <w:noWrap/>
            <w:vAlign w:val="center"/>
            <w:hideMark/>
          </w:tcPr>
          <w:p w14:paraId="16076ED4" w14:textId="77777777" w:rsidR="00A15990" w:rsidRDefault="00686A62">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6337F20"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0A0CCBB" w14:textId="77777777" w:rsidR="00A15990" w:rsidRDefault="00686A62">
            <w:pPr>
              <w:pStyle w:val="P68B1DB1-Normal8"/>
              <w:spacing w:after="0" w:line="240" w:lineRule="auto"/>
              <w:jc w:val="center"/>
              <w:rPr>
                <w:rFonts w:eastAsia="Times New Roman" w:cs="Calibri"/>
                <w:noProof/>
              </w:rPr>
            </w:pPr>
            <w:r>
              <w:rPr>
                <w:noProof/>
              </w:rPr>
              <w:t>Km suplimentari de conducte renovate sau reabilitate</w:t>
            </w:r>
          </w:p>
        </w:tc>
        <w:tc>
          <w:tcPr>
            <w:tcW w:w="1275" w:type="dxa"/>
            <w:shd w:val="clear" w:color="auto" w:fill="C4EFCE"/>
            <w:noWrap/>
            <w:vAlign w:val="center"/>
            <w:hideMark/>
          </w:tcPr>
          <w:p w14:paraId="63DB2787" w14:textId="77777777" w:rsidR="00A15990" w:rsidRDefault="00A15990">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69886126"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shd w:val="clear" w:color="auto" w:fill="C4EFCE"/>
            <w:noWrap/>
            <w:vAlign w:val="center"/>
            <w:hideMark/>
          </w:tcPr>
          <w:p w14:paraId="3003D95B"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EB636C7" w14:textId="77777777" w:rsidR="00A15990" w:rsidRDefault="00686A62">
            <w:pPr>
              <w:pStyle w:val="P68B1DB1-Normal8"/>
              <w:spacing w:after="0" w:line="240" w:lineRule="auto"/>
              <w:jc w:val="center"/>
              <w:rPr>
                <w:rFonts w:eastAsia="Times New Roman" w:cs="Calibri"/>
                <w:noProof/>
              </w:rPr>
            </w:pPr>
            <w:r>
              <w:rPr>
                <w:noProof/>
              </w:rPr>
              <w:t>53</w:t>
            </w:r>
          </w:p>
        </w:tc>
        <w:tc>
          <w:tcPr>
            <w:tcW w:w="567" w:type="dxa"/>
            <w:shd w:val="clear" w:color="auto" w:fill="C4EFCE"/>
            <w:noWrap/>
            <w:vAlign w:val="center"/>
            <w:hideMark/>
          </w:tcPr>
          <w:p w14:paraId="4F60250B" w14:textId="3336C189"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3679EC0A" w14:textId="68FE60DD"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E611BB0" w14:textId="096EC16F" w:rsidR="00A15990" w:rsidRDefault="00686A62">
            <w:pPr>
              <w:pStyle w:val="P68B1DB1-Normal8"/>
              <w:spacing w:after="0" w:line="240" w:lineRule="auto"/>
              <w:jc w:val="both"/>
              <w:rPr>
                <w:rFonts w:eastAsia="Times New Roman" w:cs="Calibri"/>
                <w:noProof/>
              </w:rPr>
            </w:pPr>
            <w:r>
              <w:rPr>
                <w:noProof/>
              </w:rPr>
              <w:t>Lungimea, în km, a conductelor de apă construite, renovate sau reabilitate</w:t>
            </w:r>
          </w:p>
        </w:tc>
      </w:tr>
      <w:tr w:rsidR="00A15990" w14:paraId="31E82792" w14:textId="77777777">
        <w:trPr>
          <w:trHeight w:val="2110"/>
          <w:jc w:val="center"/>
        </w:trPr>
        <w:tc>
          <w:tcPr>
            <w:tcW w:w="1135" w:type="dxa"/>
            <w:shd w:val="clear" w:color="auto" w:fill="C4EFCE"/>
            <w:noWrap/>
            <w:vAlign w:val="center"/>
            <w:hideMark/>
          </w:tcPr>
          <w:p w14:paraId="600412E0" w14:textId="77777777" w:rsidR="00A15990" w:rsidRDefault="00686A62">
            <w:pPr>
              <w:pStyle w:val="P68B1DB1-Normal7"/>
              <w:spacing w:after="0" w:line="240" w:lineRule="auto"/>
              <w:jc w:val="center"/>
              <w:rPr>
                <w:rFonts w:eastAsia="Times New Roman" w:cs="Calibri"/>
                <w:noProof/>
              </w:rPr>
            </w:pPr>
            <w:r>
              <w:rPr>
                <w:noProof/>
              </w:rPr>
              <w:t>9.13</w:t>
            </w:r>
          </w:p>
        </w:tc>
        <w:tc>
          <w:tcPr>
            <w:tcW w:w="1276" w:type="dxa"/>
            <w:shd w:val="clear" w:color="auto" w:fill="C4EFCE"/>
            <w:noWrap/>
            <w:vAlign w:val="center"/>
            <w:hideMark/>
          </w:tcPr>
          <w:p w14:paraId="17550FBE" w14:textId="77777777" w:rsidR="00A15990" w:rsidRDefault="00686A62">
            <w:pPr>
              <w:pStyle w:val="P68B1DB1-Normal8"/>
              <w:spacing w:after="0" w:line="240" w:lineRule="auto"/>
              <w:jc w:val="center"/>
              <w:rPr>
                <w:rFonts w:eastAsia="Times New Roman" w:cs="Calibri"/>
                <w:noProof/>
              </w:rPr>
            </w:pPr>
            <w:r>
              <w:rPr>
                <w:noProof/>
              </w:rPr>
              <w:t>RE-C09-i03-RAM</w:t>
            </w:r>
          </w:p>
        </w:tc>
        <w:tc>
          <w:tcPr>
            <w:tcW w:w="1134" w:type="dxa"/>
            <w:shd w:val="clear" w:color="auto" w:fill="C4EFCE"/>
            <w:noWrap/>
            <w:vAlign w:val="center"/>
            <w:hideMark/>
          </w:tcPr>
          <w:p w14:paraId="3549A2DF"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4FA1D5A" w14:textId="77777777" w:rsidR="00A15990" w:rsidRDefault="00686A62">
            <w:pPr>
              <w:pStyle w:val="P68B1DB1-Normal8"/>
              <w:spacing w:after="0" w:line="240" w:lineRule="auto"/>
              <w:jc w:val="center"/>
              <w:rPr>
                <w:rFonts w:eastAsia="Times New Roman" w:cs="Calibri"/>
                <w:noProof/>
              </w:rPr>
            </w:pPr>
            <w:r>
              <w:rPr>
                <w:noProof/>
              </w:rPr>
              <w:t>Volumul suplimentar de apă pus la dispoziție în partea de sud a insulei Madeira pentru aprovizionare publică și irigații</w:t>
            </w:r>
          </w:p>
        </w:tc>
        <w:tc>
          <w:tcPr>
            <w:tcW w:w="1275" w:type="dxa"/>
            <w:shd w:val="clear" w:color="auto" w:fill="C4EFCE"/>
            <w:noWrap/>
            <w:vAlign w:val="center"/>
            <w:hideMark/>
          </w:tcPr>
          <w:p w14:paraId="6A44E574" w14:textId="77777777" w:rsidR="00A15990" w:rsidRDefault="00A15990">
            <w:pPr>
              <w:spacing w:after="0" w:line="240" w:lineRule="auto"/>
              <w:jc w:val="center"/>
              <w:rPr>
                <w:rFonts w:ascii="Calibri" w:eastAsia="Times New Roman" w:hAnsi="Calibri" w:cs="Calibri"/>
                <w:noProof/>
                <w:sz w:val="16"/>
              </w:rPr>
            </w:pPr>
          </w:p>
        </w:tc>
        <w:tc>
          <w:tcPr>
            <w:tcW w:w="993" w:type="dxa"/>
            <w:shd w:val="clear" w:color="auto" w:fill="C4EFCE"/>
            <w:noWrap/>
            <w:vAlign w:val="center"/>
            <w:hideMark/>
          </w:tcPr>
          <w:p w14:paraId="70237239" w14:textId="77777777" w:rsidR="00A15990" w:rsidRDefault="00686A62">
            <w:pPr>
              <w:pStyle w:val="P68B1DB1-Normal8"/>
              <w:spacing w:after="0" w:line="240" w:lineRule="auto"/>
              <w:jc w:val="center"/>
              <w:rPr>
                <w:rFonts w:eastAsia="Times New Roman" w:cs="Calibri"/>
                <w:noProof/>
              </w:rPr>
            </w:pPr>
            <w:r>
              <w:rPr>
                <w:noProof/>
              </w:rPr>
              <w:t>hm3</w:t>
            </w:r>
          </w:p>
        </w:tc>
        <w:tc>
          <w:tcPr>
            <w:tcW w:w="992" w:type="dxa"/>
            <w:shd w:val="clear" w:color="auto" w:fill="C4EFCE"/>
            <w:noWrap/>
            <w:vAlign w:val="center"/>
            <w:hideMark/>
          </w:tcPr>
          <w:p w14:paraId="1AE1E1CE" w14:textId="77777777" w:rsidR="00A15990" w:rsidRDefault="00686A62">
            <w:pPr>
              <w:pStyle w:val="P68B1DB1-Normal8"/>
              <w:spacing w:after="0" w:line="240" w:lineRule="auto"/>
              <w:jc w:val="center"/>
              <w:rPr>
                <w:rFonts w:eastAsia="Times New Roman" w:cs="Calibri"/>
                <w:noProof/>
              </w:rPr>
            </w:pPr>
            <w:r>
              <w:rPr>
                <w:noProof/>
              </w:rPr>
              <w:t>NU SE APLICĂ</w:t>
            </w:r>
          </w:p>
        </w:tc>
        <w:tc>
          <w:tcPr>
            <w:tcW w:w="709" w:type="dxa"/>
            <w:shd w:val="clear" w:color="auto" w:fill="C4EFCE"/>
            <w:noWrap/>
            <w:vAlign w:val="center"/>
            <w:hideMark/>
          </w:tcPr>
          <w:p w14:paraId="66A0614B" w14:textId="77777777" w:rsidR="00A15990" w:rsidRDefault="00686A62">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31C162B3"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62F42872"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BC078D4" w14:textId="77777777" w:rsidR="00A15990" w:rsidRDefault="00686A62">
            <w:pPr>
              <w:pStyle w:val="P68B1DB1-Normal8"/>
              <w:spacing w:after="0" w:line="240" w:lineRule="auto"/>
              <w:jc w:val="both"/>
              <w:rPr>
                <w:rFonts w:eastAsia="Times New Roman" w:cs="Calibri"/>
                <w:noProof/>
              </w:rPr>
            </w:pPr>
            <w:r>
              <w:rPr>
                <w:noProof/>
              </w:rPr>
              <w:t>Volumul suplimentar de apă pus la dispoziție pentru aprovizionarea publică și irigații; acest lucru se realizează prin consolidarea, renovarea, redimensionarea și construirea de noi conducte, canale, iazuri și rezervoare.</w:t>
            </w:r>
          </w:p>
        </w:tc>
      </w:tr>
    </w:tbl>
    <w:p w14:paraId="5E4AB6BD"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186"/>
          <w:headerReference w:type="default" r:id="rId187"/>
          <w:footerReference w:type="even" r:id="rId188"/>
          <w:footerReference w:type="default" r:id="rId189"/>
          <w:headerReference w:type="first" r:id="rId190"/>
          <w:footerReference w:type="first" r:id="rId191"/>
          <w:pgSz w:w="16839" w:h="11907" w:orient="landscape"/>
          <w:pgMar w:top="1134" w:right="1134" w:bottom="1134" w:left="1134" w:header="567" w:footer="567" w:gutter="0"/>
          <w:cols w:space="720"/>
          <w:docGrid w:linePitch="360"/>
        </w:sectPr>
      </w:pPr>
    </w:p>
    <w:p w14:paraId="49EFEC21"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45C8B58D" w14:textId="293E2C82" w:rsidR="00A15990" w:rsidRDefault="00686A62">
      <w:pPr>
        <w:pStyle w:val="P68B1DB1-Normal3"/>
        <w:spacing w:before="40" w:after="0" w:line="259" w:lineRule="auto"/>
        <w:ind w:left="130" w:firstLine="720"/>
        <w:jc w:val="both"/>
        <w:outlineLvl w:val="2"/>
        <w:rPr>
          <w:rFonts w:eastAsiaTheme="minorEastAsia" w:cs="Times New Roman"/>
          <w:noProof/>
        </w:rPr>
      </w:pPr>
      <w:r>
        <w:rPr>
          <w:noProof/>
        </w:rPr>
        <w:t xml:space="preserve">I.3. </w:t>
      </w:r>
      <w:r>
        <w:rPr>
          <w:noProof/>
        </w:rPr>
        <w:tab/>
        <w:t xml:space="preserve">Descrierea reformelor și a investițiilor pentru împrumut </w:t>
      </w:r>
    </w:p>
    <w:p w14:paraId="39E334BC" w14:textId="43A46B43"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Investiția RE-C09-i04: Întreprindere hidraulică polivalentă din Crato, faza de construcție</w:t>
      </w:r>
    </w:p>
    <w:p w14:paraId="55CAA73A" w14:textId="74061741" w:rsidR="00A15990" w:rsidRDefault="00686A62">
      <w:pPr>
        <w:pStyle w:val="P68B1DB1-Normal4"/>
        <w:keepNext/>
        <w:spacing w:before="40" w:after="0" w:line="259" w:lineRule="auto"/>
        <w:jc w:val="both"/>
        <w:outlineLvl w:val="2"/>
        <w:rPr>
          <w:rFonts w:eastAsia="Times New Roman" w:cs="Times New Roman"/>
          <w:noProof/>
        </w:rPr>
      </w:pPr>
      <w:r>
        <w:rPr>
          <w:noProof/>
        </w:rPr>
        <w:t xml:space="preserve">Această investiție se referă la proiectul descris în cadrul investiției RE-C09-i02, întreprinderea hidraulică polivalentă din Crato, faza de planificare. Această investiție include adoptarea proiectului actualizat al barajului (DCAPE) și punerea în funcțiune a barajului. </w:t>
      </w:r>
    </w:p>
    <w:p w14:paraId="0F013EA5" w14:textId="5E42A201" w:rsidR="00A15990" w:rsidRDefault="00686A62">
      <w:pPr>
        <w:pStyle w:val="P68B1DB1-Normal4"/>
        <w:keepNext/>
        <w:spacing w:before="40" w:after="0" w:line="259" w:lineRule="auto"/>
        <w:jc w:val="both"/>
        <w:outlineLvl w:val="2"/>
        <w:rPr>
          <w:rFonts w:eastAsia="Times New Roman" w:cs="Times New Roman"/>
          <w:noProof/>
        </w:rPr>
      </w:pPr>
      <w:r>
        <w:rPr>
          <w:noProof/>
        </w:rPr>
        <w:t xml:space="preserve">Toate celelalte elemente, inclusiv obligațiile aferente principiului DNSH, sunt aceleași cu cele specificate în investiția RE-C09-i02 Întreprindere hidraulică polivalentă din Crato, faza de planificare. </w:t>
      </w:r>
    </w:p>
    <w:p w14:paraId="0D565263" w14:textId="54DC2D99"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p w14:paraId="735167DE" w14:textId="77777777" w:rsidR="00A15990" w:rsidRDefault="00A15990">
      <w:pPr>
        <w:keepNext/>
        <w:spacing w:before="40" w:after="0" w:line="259" w:lineRule="auto"/>
        <w:ind w:left="130" w:firstLine="720"/>
        <w:jc w:val="both"/>
        <w:outlineLvl w:val="2"/>
        <w:rPr>
          <w:rFonts w:ascii="Times New Roman" w:eastAsia="Times New Roman" w:hAnsi="Times New Roman" w:cs="Times New Roman"/>
          <w:noProof/>
          <w:sz w:val="24"/>
        </w:rPr>
        <w:sectPr w:rsidR="00A15990" w:rsidSect="009A4B20">
          <w:headerReference w:type="even" r:id="rId192"/>
          <w:headerReference w:type="default" r:id="rId193"/>
          <w:footerReference w:type="even" r:id="rId194"/>
          <w:footerReference w:type="default" r:id="rId195"/>
          <w:headerReference w:type="first" r:id="rId196"/>
          <w:footerReference w:type="first" r:id="rId197"/>
          <w:pgSz w:w="11907" w:h="16839"/>
          <w:pgMar w:top="1134" w:right="1134" w:bottom="1134" w:left="1134" w:header="567" w:footer="567" w:gutter="0"/>
          <w:cols w:space="720"/>
          <w:docGrid w:linePitch="360"/>
        </w:sectPr>
      </w:pPr>
    </w:p>
    <w:p w14:paraId="1FFCEE23" w14:textId="336170A4"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I.4. Jaloane, ținte, indicatori și calendarul de monitorizare și implementare aplicabile împrumutului</w:t>
      </w:r>
    </w:p>
    <w:p w14:paraId="4548674B" w14:textId="77777777"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A15990" w14:paraId="5B622BB4" w14:textId="77777777">
        <w:trPr>
          <w:trHeight w:val="300"/>
          <w:tblHeader/>
        </w:trPr>
        <w:tc>
          <w:tcPr>
            <w:tcW w:w="1135" w:type="dxa"/>
            <w:vMerge w:val="restart"/>
            <w:shd w:val="clear" w:color="auto" w:fill="BDD6EE"/>
            <w:vAlign w:val="center"/>
            <w:hideMark/>
          </w:tcPr>
          <w:p w14:paraId="05AF7307" w14:textId="77777777" w:rsidR="00A15990" w:rsidRDefault="00686A62">
            <w:pPr>
              <w:pStyle w:val="P68B1DB1-Normal6"/>
              <w:spacing w:after="0" w:line="240" w:lineRule="auto"/>
              <w:jc w:val="center"/>
              <w:rPr>
                <w:rFonts w:eastAsia="Times New Roman" w:cs="Times New Roman"/>
                <w:noProof/>
              </w:rPr>
            </w:pPr>
            <w:bookmarkStart w:id="24" w:name="_Hlk145941568"/>
            <w:r>
              <w:rPr>
                <w:noProof/>
              </w:rPr>
              <w:t>Număr secvențial</w:t>
            </w:r>
          </w:p>
        </w:tc>
        <w:tc>
          <w:tcPr>
            <w:tcW w:w="1276" w:type="dxa"/>
            <w:vMerge w:val="restart"/>
            <w:shd w:val="clear" w:color="auto" w:fill="BDD6EE"/>
            <w:noWrap/>
            <w:vAlign w:val="center"/>
            <w:hideMark/>
          </w:tcPr>
          <w:p w14:paraId="36DC91A9"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noWrap/>
            <w:vAlign w:val="center"/>
            <w:hideMark/>
          </w:tcPr>
          <w:p w14:paraId="46CCCA20" w14:textId="1631953F"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noWrap/>
            <w:vAlign w:val="center"/>
            <w:hideMark/>
          </w:tcPr>
          <w:p w14:paraId="3972FD46"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noWrap/>
            <w:vAlign w:val="center"/>
            <w:hideMark/>
          </w:tcPr>
          <w:p w14:paraId="0B6B437F"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shd w:val="clear" w:color="auto" w:fill="BDD6EE"/>
            <w:noWrap/>
            <w:vAlign w:val="center"/>
            <w:hideMark/>
          </w:tcPr>
          <w:p w14:paraId="2D09032E"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noWrap/>
            <w:vAlign w:val="center"/>
            <w:hideMark/>
          </w:tcPr>
          <w:p w14:paraId="4DCBBD59" w14:textId="77777777" w:rsidR="00A15990" w:rsidRDefault="00686A62">
            <w:pPr>
              <w:pStyle w:val="P68B1DB1-Normal6"/>
              <w:spacing w:after="0" w:line="240" w:lineRule="auto"/>
              <w:jc w:val="center"/>
              <w:rPr>
                <w:rFonts w:eastAsia="Times New Roman" w:cs="Times New Roman"/>
                <w:noProof/>
              </w:rPr>
            </w:pPr>
            <w:r>
              <w:rPr>
                <w:noProof/>
              </w:rPr>
              <w:t>Calendarul de finalizare</w:t>
            </w:r>
          </w:p>
        </w:tc>
        <w:tc>
          <w:tcPr>
            <w:tcW w:w="3969" w:type="dxa"/>
            <w:vMerge w:val="restart"/>
            <w:shd w:val="clear" w:color="auto" w:fill="BDD6EE"/>
            <w:vAlign w:val="center"/>
            <w:hideMark/>
          </w:tcPr>
          <w:p w14:paraId="1C2BDDAB"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bookmarkEnd w:id="24"/>
      <w:tr w:rsidR="00A15990" w14:paraId="2512663C" w14:textId="77777777">
        <w:trPr>
          <w:trHeight w:val="300"/>
          <w:tblHeader/>
        </w:trPr>
        <w:tc>
          <w:tcPr>
            <w:tcW w:w="1135" w:type="dxa"/>
            <w:vMerge/>
            <w:vAlign w:val="center"/>
            <w:hideMark/>
          </w:tcPr>
          <w:p w14:paraId="71D29AAD"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3784C786"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shd w:val="clear" w:color="auto" w:fill="BDD6EE"/>
            <w:noWrap/>
            <w:vAlign w:val="center"/>
            <w:hideMark/>
          </w:tcPr>
          <w:p w14:paraId="7BE73013" w14:textId="1244C4EB" w:rsidR="00A15990" w:rsidRDefault="00A15990">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6F2C4548"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106AC914"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noWrap/>
            <w:vAlign w:val="center"/>
            <w:hideMark/>
          </w:tcPr>
          <w:p w14:paraId="6BB0C9B9"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noWrap/>
            <w:vAlign w:val="center"/>
            <w:hideMark/>
          </w:tcPr>
          <w:p w14:paraId="7837A6A7"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noWrap/>
            <w:vAlign w:val="center"/>
            <w:hideMark/>
          </w:tcPr>
          <w:p w14:paraId="0A015CF7"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noWrap/>
            <w:vAlign w:val="center"/>
            <w:hideMark/>
          </w:tcPr>
          <w:p w14:paraId="715832CA"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5FA15F06"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4CC75BE5" w14:textId="77777777" w:rsidR="00A15990" w:rsidRDefault="00A15990">
            <w:pPr>
              <w:spacing w:after="0" w:line="240" w:lineRule="auto"/>
              <w:rPr>
                <w:rFonts w:ascii="Times New Roman" w:eastAsia="Times New Roman" w:hAnsi="Times New Roman" w:cs="Times New Roman"/>
                <w:b/>
                <w:noProof/>
                <w:sz w:val="18"/>
              </w:rPr>
            </w:pPr>
          </w:p>
        </w:tc>
      </w:tr>
      <w:tr w:rsidR="00A15990" w14:paraId="7A04D420" w14:textId="77777777">
        <w:trPr>
          <w:trHeight w:val="1260"/>
          <w:tblHeader/>
        </w:trPr>
        <w:tc>
          <w:tcPr>
            <w:tcW w:w="1135" w:type="dxa"/>
            <w:shd w:val="clear" w:color="auto" w:fill="C4EFCE"/>
            <w:noWrap/>
            <w:vAlign w:val="center"/>
          </w:tcPr>
          <w:p w14:paraId="5AE76F1F" w14:textId="0E0C05FE" w:rsidR="00A15990" w:rsidRDefault="00686A62">
            <w:pPr>
              <w:pStyle w:val="P68B1DB1-Normal7"/>
              <w:spacing w:after="0" w:line="240" w:lineRule="auto"/>
              <w:jc w:val="center"/>
              <w:rPr>
                <w:rFonts w:eastAsia="Times New Roman" w:cs="Calibri"/>
                <w:noProof/>
              </w:rPr>
            </w:pPr>
            <w:r>
              <w:rPr>
                <w:noProof/>
              </w:rPr>
              <w:t>9.10</w:t>
            </w:r>
          </w:p>
        </w:tc>
        <w:tc>
          <w:tcPr>
            <w:tcW w:w="1276" w:type="dxa"/>
            <w:shd w:val="clear" w:color="auto" w:fill="C4EFCE"/>
            <w:noWrap/>
            <w:vAlign w:val="center"/>
          </w:tcPr>
          <w:p w14:paraId="7B9ECDFA" w14:textId="4638F8FA" w:rsidR="00A15990" w:rsidRDefault="00686A62">
            <w:pPr>
              <w:pStyle w:val="P68B1DB1-Normal8"/>
              <w:spacing w:after="0" w:line="240" w:lineRule="auto"/>
              <w:jc w:val="center"/>
              <w:rPr>
                <w:rFonts w:eastAsia="Times New Roman" w:cs="Calibri"/>
                <w:noProof/>
              </w:rPr>
            </w:pPr>
            <w:r>
              <w:rPr>
                <w:noProof/>
              </w:rPr>
              <w:t>RE-C09-i04</w:t>
            </w:r>
          </w:p>
        </w:tc>
        <w:tc>
          <w:tcPr>
            <w:tcW w:w="1134" w:type="dxa"/>
            <w:shd w:val="clear" w:color="auto" w:fill="C4EFCE"/>
            <w:noWrap/>
            <w:vAlign w:val="center"/>
          </w:tcPr>
          <w:p w14:paraId="1650E83C" w14:textId="2A98B9CC"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38E9F561" w14:textId="401CA359" w:rsidR="00A15990" w:rsidRDefault="00686A62">
            <w:pPr>
              <w:pStyle w:val="P68B1DB1-Normal8"/>
              <w:spacing w:after="0" w:line="240" w:lineRule="auto"/>
              <w:jc w:val="center"/>
              <w:rPr>
                <w:rFonts w:eastAsia="Times New Roman" w:cs="Calibri"/>
                <w:noProof/>
              </w:rPr>
            </w:pPr>
            <w:r>
              <w:rPr>
                <w:noProof/>
              </w:rPr>
              <w:t>Sub rezerva unei evaluări pozitive a impactului asupra mediului care a respectat pe deplin și în mod substanțial criteriile legale, adoptarea unui proiect actualizat al barajului, al generării de energie hidroelectrică și solară și al irigării, care să includă pe deplin toate rezultatele și condițiile din evaluarea impactului asupra mediului.</w:t>
            </w:r>
          </w:p>
        </w:tc>
        <w:tc>
          <w:tcPr>
            <w:tcW w:w="1275" w:type="dxa"/>
            <w:shd w:val="clear" w:color="auto" w:fill="C4EFCE"/>
            <w:noWrap/>
            <w:vAlign w:val="center"/>
          </w:tcPr>
          <w:p w14:paraId="02774AD5" w14:textId="25B357D0" w:rsidR="00A15990" w:rsidRDefault="00686A62">
            <w:pPr>
              <w:pStyle w:val="P68B1DB1-Normal8"/>
              <w:spacing w:after="0" w:line="240" w:lineRule="auto"/>
              <w:jc w:val="center"/>
              <w:rPr>
                <w:rFonts w:eastAsia="Times New Roman" w:cs="Calibri"/>
                <w:noProof/>
              </w:rPr>
            </w:pPr>
            <w:r>
              <w:rPr>
                <w:noProof/>
              </w:rPr>
              <w:t>Adoptarea modelului actualizat</w:t>
            </w:r>
          </w:p>
        </w:tc>
        <w:tc>
          <w:tcPr>
            <w:tcW w:w="993" w:type="dxa"/>
            <w:shd w:val="clear" w:color="auto" w:fill="C4EFCE"/>
            <w:noWrap/>
            <w:vAlign w:val="center"/>
          </w:tcPr>
          <w:p w14:paraId="357E7085"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EAF7F6D"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DB852A9"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634803F8" w14:textId="6C3C8F2A"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tcPr>
          <w:p w14:paraId="5CCD347B" w14:textId="6A4D3ED5" w:rsidR="00A15990" w:rsidRDefault="00686A62">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tcPr>
          <w:p w14:paraId="307065E5" w14:textId="77777777" w:rsidR="00A15990" w:rsidRDefault="00686A62">
            <w:pPr>
              <w:pStyle w:val="P68B1DB1-Normal8"/>
              <w:spacing w:after="0" w:line="240" w:lineRule="auto"/>
              <w:jc w:val="both"/>
              <w:rPr>
                <w:rFonts w:eastAsia="Times New Roman" w:cs="Calibri"/>
                <w:noProof/>
              </w:rPr>
            </w:pPr>
            <w:r>
              <w:rPr>
                <w:noProof/>
              </w:rPr>
              <w:t xml:space="preserve">Sub rezerva unei evaluări a impactului asupra mediului care concluzionează că nu se aduc prejudicii semnificative, adoptarea unui proiect actualizat pentru generarea și irigarea barajului, a hidroenergiei și a energiei solare, încorporând pe deplin orice rezultat și condiție din evaluarea cuprinzătoare și cumulativă a impactului asupra mediului, dacă acest lucru este necesar pentru a se asigura conformitatea cu Orientările tehnice privind principiul de a nu aduce prejudicii semnificative (2021/C58/01). Evaluarea impactului asupra mediului este finalizată în conformitate cu Directiva 2011/92/UE, precum și evaluările relevante în contextul Directiva 2000/60/CE, inclusiv punerea în aplicare a măsurilor de atenuare necesare. </w:t>
            </w:r>
          </w:p>
          <w:p w14:paraId="6301C6F9" w14:textId="77777777" w:rsidR="00A15990" w:rsidRDefault="00A15990">
            <w:pPr>
              <w:spacing w:after="0" w:line="240" w:lineRule="auto"/>
              <w:jc w:val="both"/>
              <w:rPr>
                <w:rFonts w:ascii="Calibri" w:eastAsia="Times New Roman" w:hAnsi="Calibri" w:cs="Calibri"/>
                <w:noProof/>
                <w:sz w:val="16"/>
              </w:rPr>
            </w:pPr>
          </w:p>
          <w:p w14:paraId="563B34EB" w14:textId="77777777" w:rsidR="00A15990" w:rsidRDefault="00686A62">
            <w:pPr>
              <w:pStyle w:val="P68B1DB1-Normal8"/>
              <w:spacing w:after="0" w:line="240" w:lineRule="auto"/>
              <w:jc w:val="both"/>
              <w:rPr>
                <w:rFonts w:eastAsia="Times New Roman" w:cs="Calibri"/>
                <w:noProof/>
              </w:rPr>
            </w:pPr>
            <w:r>
              <w:rPr>
                <w:noProof/>
              </w:rPr>
              <w:t>Orice măsuri identificate în cadrul EIM și al evaluării în temeiul Directiva 2000/60/CE ca fiind necesare pentru a asigura conformitatea cu Orientările tehnice privind principiul de „a nu aduce prejudicii semnificative” (2021/C58/01) sunt integrate în proiect și respectate în etapele de construcție, exploatare și dezafectare a infrastructurii.</w:t>
            </w:r>
          </w:p>
          <w:p w14:paraId="47634865" w14:textId="7A8CAFDB" w:rsidR="00A15990" w:rsidRDefault="00A15990">
            <w:pPr>
              <w:spacing w:after="0" w:line="240" w:lineRule="auto"/>
              <w:jc w:val="both"/>
              <w:rPr>
                <w:rFonts w:ascii="Calibri" w:eastAsia="Times New Roman" w:hAnsi="Calibri" w:cs="Calibri"/>
                <w:noProof/>
                <w:sz w:val="16"/>
              </w:rPr>
            </w:pPr>
          </w:p>
        </w:tc>
      </w:tr>
    </w:tbl>
    <w:p w14:paraId="7E0C9D80" w14:textId="77777777" w:rsidR="00A15990" w:rsidRDefault="00A15990">
      <w:pPr>
        <w:spacing w:after="0" w:line="240" w:lineRule="auto"/>
        <w:jc w:val="center"/>
        <w:rPr>
          <w:rFonts w:ascii="Calibri" w:eastAsia="Times New Roman" w:hAnsi="Calibri" w:cs="Calibri"/>
          <w:b/>
          <w:noProof/>
          <w:sz w:val="16"/>
        </w:rPr>
        <w:sectPr w:rsidR="00A15990" w:rsidSect="00E00EDD">
          <w:headerReference w:type="even" r:id="rId198"/>
          <w:headerReference w:type="default" r:id="rId199"/>
          <w:footerReference w:type="even" r:id="rId200"/>
          <w:footerReference w:type="default" r:id="rId201"/>
          <w:headerReference w:type="first" r:id="rId202"/>
          <w:footerReference w:type="first" r:id="rId203"/>
          <w:pgSz w:w="16839" w:h="11907" w:orient="landscape"/>
          <w:pgMar w:top="1134" w:right="1134" w:bottom="1134" w:left="1134" w:header="567" w:footer="567" w:gutter="0"/>
          <w:cols w:space="720"/>
          <w:docGrid w:linePitch="360"/>
        </w:sect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A15990" w14:paraId="645A7A24" w14:textId="77777777">
        <w:trPr>
          <w:trHeight w:val="525"/>
          <w:tblHeader/>
        </w:trPr>
        <w:tc>
          <w:tcPr>
            <w:tcW w:w="1135" w:type="dxa"/>
            <w:vMerge w:val="restart"/>
            <w:shd w:val="clear" w:color="auto" w:fill="BDD6EE"/>
            <w:noWrap/>
            <w:vAlign w:val="center"/>
          </w:tcPr>
          <w:p w14:paraId="49BCA749" w14:textId="574691EA"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noWrap/>
            <w:vAlign w:val="center"/>
          </w:tcPr>
          <w:p w14:paraId="656A6E3D" w14:textId="65A6BE6F"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noWrap/>
            <w:vAlign w:val="center"/>
          </w:tcPr>
          <w:p w14:paraId="3F140861" w14:textId="4877A026"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noWrap/>
            <w:vAlign w:val="center"/>
          </w:tcPr>
          <w:p w14:paraId="7E92527E" w14:textId="5A6FC241"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noWrap/>
            <w:vAlign w:val="center"/>
          </w:tcPr>
          <w:p w14:paraId="4E73A322" w14:textId="10710CE6"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shd w:val="clear" w:color="auto" w:fill="BDD6EE"/>
            <w:noWrap/>
            <w:vAlign w:val="center"/>
          </w:tcPr>
          <w:p w14:paraId="1CF25973" w14:textId="50C0721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noWrap/>
            <w:vAlign w:val="center"/>
          </w:tcPr>
          <w:p w14:paraId="7627C3DB" w14:textId="67658CFC" w:rsidR="00A15990" w:rsidRDefault="00686A62">
            <w:pPr>
              <w:pStyle w:val="P68B1DB1-Normal6"/>
              <w:spacing w:after="0" w:line="240" w:lineRule="auto"/>
              <w:jc w:val="center"/>
              <w:rPr>
                <w:rFonts w:eastAsia="Times New Roman" w:cs="Times New Roman"/>
                <w:noProof/>
              </w:rPr>
            </w:pPr>
            <w:r>
              <w:rPr>
                <w:noProof/>
              </w:rPr>
              <w:t>Calendarul de finalizare</w:t>
            </w:r>
          </w:p>
        </w:tc>
        <w:tc>
          <w:tcPr>
            <w:tcW w:w="3969" w:type="dxa"/>
            <w:vMerge w:val="restart"/>
            <w:shd w:val="clear" w:color="auto" w:fill="BDD6EE"/>
            <w:vAlign w:val="center"/>
          </w:tcPr>
          <w:p w14:paraId="6E91A456" w14:textId="1EEE8516"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6AF10782" w14:textId="77777777">
        <w:trPr>
          <w:trHeight w:val="525"/>
          <w:tblHeader/>
        </w:trPr>
        <w:tc>
          <w:tcPr>
            <w:tcW w:w="1135" w:type="dxa"/>
            <w:vMerge/>
            <w:shd w:val="clear" w:color="auto" w:fill="BDD6EE"/>
            <w:noWrap/>
            <w:vAlign w:val="center"/>
          </w:tcPr>
          <w:p w14:paraId="5D493835" w14:textId="77777777" w:rsidR="00A15990" w:rsidRDefault="00A15990">
            <w:pPr>
              <w:spacing w:after="0" w:line="240" w:lineRule="auto"/>
              <w:jc w:val="center"/>
              <w:rPr>
                <w:rFonts w:ascii="Times New Roman" w:eastAsia="Times New Roman" w:hAnsi="Times New Roman" w:cs="Times New Roman"/>
                <w:b/>
                <w:noProof/>
                <w:sz w:val="18"/>
              </w:rPr>
            </w:pPr>
          </w:p>
        </w:tc>
        <w:tc>
          <w:tcPr>
            <w:tcW w:w="1276" w:type="dxa"/>
            <w:vMerge/>
            <w:shd w:val="clear" w:color="auto" w:fill="BDD6EE"/>
            <w:noWrap/>
            <w:vAlign w:val="center"/>
          </w:tcPr>
          <w:p w14:paraId="5CFE31A1" w14:textId="77777777" w:rsidR="00A15990" w:rsidRDefault="00A15990">
            <w:pPr>
              <w:spacing w:after="0" w:line="240" w:lineRule="auto"/>
              <w:jc w:val="center"/>
              <w:rPr>
                <w:rFonts w:ascii="Times New Roman" w:eastAsia="Times New Roman" w:hAnsi="Times New Roman" w:cs="Times New Roman"/>
                <w:b/>
                <w:noProof/>
                <w:sz w:val="18"/>
              </w:rPr>
            </w:pPr>
          </w:p>
        </w:tc>
        <w:tc>
          <w:tcPr>
            <w:tcW w:w="1134" w:type="dxa"/>
            <w:vMerge/>
            <w:shd w:val="clear" w:color="auto" w:fill="BDD6EE"/>
            <w:noWrap/>
            <w:vAlign w:val="center"/>
          </w:tcPr>
          <w:p w14:paraId="1EC2C84E" w14:textId="77777777" w:rsidR="00A15990" w:rsidRDefault="00A15990">
            <w:pPr>
              <w:spacing w:after="0" w:line="240" w:lineRule="auto"/>
              <w:jc w:val="center"/>
              <w:rPr>
                <w:rFonts w:ascii="Times New Roman" w:eastAsia="Times New Roman" w:hAnsi="Times New Roman" w:cs="Times New Roman"/>
                <w:b/>
                <w:noProof/>
                <w:sz w:val="18"/>
              </w:rPr>
            </w:pPr>
          </w:p>
        </w:tc>
        <w:tc>
          <w:tcPr>
            <w:tcW w:w="1701" w:type="dxa"/>
            <w:vMerge/>
            <w:shd w:val="clear" w:color="auto" w:fill="BDD6EE"/>
            <w:noWrap/>
            <w:vAlign w:val="center"/>
          </w:tcPr>
          <w:p w14:paraId="318B1182" w14:textId="77777777" w:rsidR="00A15990" w:rsidRDefault="00A15990">
            <w:pPr>
              <w:spacing w:after="0" w:line="240" w:lineRule="auto"/>
              <w:jc w:val="center"/>
              <w:rPr>
                <w:rFonts w:ascii="Times New Roman" w:eastAsia="Times New Roman" w:hAnsi="Times New Roman" w:cs="Times New Roman"/>
                <w:b/>
                <w:noProof/>
                <w:sz w:val="18"/>
              </w:rPr>
            </w:pPr>
          </w:p>
        </w:tc>
        <w:tc>
          <w:tcPr>
            <w:tcW w:w="1275" w:type="dxa"/>
            <w:vMerge/>
            <w:shd w:val="clear" w:color="auto" w:fill="BDD6EE"/>
            <w:noWrap/>
            <w:vAlign w:val="center"/>
          </w:tcPr>
          <w:p w14:paraId="3F2B7268" w14:textId="77777777" w:rsidR="00A15990" w:rsidRDefault="00A15990">
            <w:pPr>
              <w:spacing w:after="0" w:line="240" w:lineRule="auto"/>
              <w:jc w:val="center"/>
              <w:rPr>
                <w:rFonts w:ascii="Times New Roman" w:eastAsia="Times New Roman" w:hAnsi="Times New Roman" w:cs="Times New Roman"/>
                <w:b/>
                <w:noProof/>
                <w:sz w:val="18"/>
              </w:rPr>
            </w:pPr>
          </w:p>
        </w:tc>
        <w:tc>
          <w:tcPr>
            <w:tcW w:w="993" w:type="dxa"/>
            <w:shd w:val="clear" w:color="auto" w:fill="BDD6EE"/>
            <w:noWrap/>
            <w:vAlign w:val="center"/>
          </w:tcPr>
          <w:p w14:paraId="442EF0A7" w14:textId="46709A64"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tcPr>
          <w:p w14:paraId="57D31F6B" w14:textId="69A20BB0"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vAlign w:val="center"/>
          </w:tcPr>
          <w:p w14:paraId="00D0D2E2" w14:textId="333D1553"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C6D9F1" w:themeFill="text2" w:themeFillTint="33"/>
            <w:noWrap/>
            <w:vAlign w:val="center"/>
          </w:tcPr>
          <w:p w14:paraId="0C609051" w14:textId="5DFF1650" w:rsidR="00A15990" w:rsidRDefault="00686A62">
            <w:pPr>
              <w:pStyle w:val="P68B1DB1-Normal8"/>
              <w:spacing w:after="0" w:line="240" w:lineRule="auto"/>
              <w:jc w:val="center"/>
              <w:rPr>
                <w:rFonts w:eastAsia="Times New Roman" w:cs="Calibri"/>
                <w:noProof/>
              </w:rPr>
            </w:pPr>
            <w:r>
              <w:rPr>
                <w:noProof/>
              </w:rPr>
              <w:t>Q</w:t>
            </w:r>
          </w:p>
        </w:tc>
        <w:tc>
          <w:tcPr>
            <w:tcW w:w="708" w:type="dxa"/>
            <w:shd w:val="clear" w:color="auto" w:fill="BDD6EE"/>
            <w:vAlign w:val="center"/>
          </w:tcPr>
          <w:p w14:paraId="5E59938E" w14:textId="4687ACDB" w:rsidR="00A15990" w:rsidRDefault="00686A62">
            <w:pPr>
              <w:pStyle w:val="P68B1DB1-Normal6"/>
              <w:spacing w:after="0" w:line="240" w:lineRule="auto"/>
              <w:jc w:val="center"/>
              <w:rPr>
                <w:rFonts w:ascii="Calibri" w:eastAsia="Times New Roman" w:hAnsi="Calibri" w:cs="Calibri"/>
                <w:noProof/>
                <w:sz w:val="16"/>
              </w:rPr>
            </w:pPr>
            <w:r>
              <w:rPr>
                <w:noProof/>
              </w:rPr>
              <w:t>Anul</w:t>
            </w:r>
          </w:p>
        </w:tc>
        <w:tc>
          <w:tcPr>
            <w:tcW w:w="3969" w:type="dxa"/>
            <w:vMerge/>
            <w:shd w:val="clear" w:color="auto" w:fill="B8CCE4" w:themeFill="accent1" w:themeFillTint="66"/>
            <w:vAlign w:val="center"/>
          </w:tcPr>
          <w:p w14:paraId="2D7E8CEC" w14:textId="77777777" w:rsidR="00A15990" w:rsidRDefault="00A15990">
            <w:pPr>
              <w:spacing w:after="0" w:line="240" w:lineRule="auto"/>
              <w:jc w:val="both"/>
              <w:rPr>
                <w:rFonts w:ascii="Calibri" w:eastAsia="Times New Roman" w:hAnsi="Calibri" w:cs="Calibri"/>
                <w:noProof/>
                <w:sz w:val="16"/>
              </w:rPr>
            </w:pPr>
          </w:p>
        </w:tc>
      </w:tr>
      <w:tr w:rsidR="00A15990" w14:paraId="377F90B7" w14:textId="77777777">
        <w:trPr>
          <w:trHeight w:val="1050"/>
          <w:tblHeader/>
        </w:trPr>
        <w:tc>
          <w:tcPr>
            <w:tcW w:w="1135" w:type="dxa"/>
            <w:shd w:val="clear" w:color="auto" w:fill="C4EFCE"/>
            <w:noWrap/>
            <w:vAlign w:val="center"/>
          </w:tcPr>
          <w:p w14:paraId="1879CF06" w14:textId="2ED24A15" w:rsidR="00A15990" w:rsidRDefault="00686A62">
            <w:pPr>
              <w:pStyle w:val="P68B1DB1-Normal7"/>
              <w:spacing w:after="0" w:line="240" w:lineRule="auto"/>
              <w:jc w:val="center"/>
              <w:rPr>
                <w:rFonts w:eastAsia="Times New Roman" w:cs="Calibri"/>
                <w:noProof/>
              </w:rPr>
            </w:pPr>
            <w:r>
              <w:rPr>
                <w:noProof/>
              </w:rPr>
              <w:t>9.11</w:t>
            </w:r>
          </w:p>
        </w:tc>
        <w:tc>
          <w:tcPr>
            <w:tcW w:w="1276" w:type="dxa"/>
            <w:shd w:val="clear" w:color="auto" w:fill="C4EFCE"/>
            <w:noWrap/>
            <w:vAlign w:val="center"/>
          </w:tcPr>
          <w:p w14:paraId="1407D8DF" w14:textId="7A6EA6EF" w:rsidR="00A15990" w:rsidRDefault="00686A62">
            <w:pPr>
              <w:pStyle w:val="P68B1DB1-Normal8"/>
              <w:spacing w:after="0" w:line="240" w:lineRule="auto"/>
              <w:jc w:val="center"/>
              <w:rPr>
                <w:rFonts w:eastAsia="Times New Roman" w:cs="Calibri"/>
                <w:noProof/>
              </w:rPr>
            </w:pPr>
            <w:r>
              <w:rPr>
                <w:noProof/>
              </w:rPr>
              <w:t>RE-C09-i04</w:t>
            </w:r>
          </w:p>
        </w:tc>
        <w:tc>
          <w:tcPr>
            <w:tcW w:w="1134" w:type="dxa"/>
            <w:shd w:val="clear" w:color="auto" w:fill="C4EFCE"/>
            <w:noWrap/>
            <w:vAlign w:val="center"/>
          </w:tcPr>
          <w:p w14:paraId="0C17A5A0" w14:textId="063C5029"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0239B0F6" w14:textId="52DBFA21" w:rsidR="00A15990" w:rsidRDefault="00686A62">
            <w:pPr>
              <w:pStyle w:val="P68B1DB1-Normal8"/>
              <w:spacing w:after="0" w:line="240" w:lineRule="auto"/>
              <w:jc w:val="center"/>
              <w:rPr>
                <w:rFonts w:eastAsia="Times New Roman" w:cs="Calibri"/>
                <w:noProof/>
              </w:rPr>
            </w:pPr>
            <w:r>
              <w:rPr>
                <w:noProof/>
              </w:rPr>
              <w:t>Punerea în funcțiune a barajului, producerea de energie hidroelectrică și solară și irigarea, cu respectarea deplină a rezultatelor și a condițiilor stabilite de EIA și atingerea unei stări bune a corpurilor de apă relevante</w:t>
            </w:r>
          </w:p>
        </w:tc>
        <w:tc>
          <w:tcPr>
            <w:tcW w:w="1275" w:type="dxa"/>
            <w:shd w:val="clear" w:color="auto" w:fill="C4EFCE"/>
            <w:noWrap/>
            <w:vAlign w:val="center"/>
          </w:tcPr>
          <w:p w14:paraId="7A468BEE" w14:textId="5C179788" w:rsidR="00A15990" w:rsidRDefault="00686A62">
            <w:pPr>
              <w:pStyle w:val="P68B1DB1-Normal8"/>
              <w:spacing w:after="0" w:line="240" w:lineRule="auto"/>
              <w:jc w:val="center"/>
              <w:rPr>
                <w:rFonts w:eastAsia="Times New Roman" w:cs="Calibri"/>
                <w:noProof/>
              </w:rPr>
            </w:pPr>
            <w:r>
              <w:rPr>
                <w:noProof/>
              </w:rPr>
              <w:t>Punerea în funcțiune a barajului</w:t>
            </w:r>
          </w:p>
        </w:tc>
        <w:tc>
          <w:tcPr>
            <w:tcW w:w="993" w:type="dxa"/>
            <w:shd w:val="clear" w:color="auto" w:fill="C4EFCE"/>
            <w:noWrap/>
            <w:vAlign w:val="center"/>
          </w:tcPr>
          <w:p w14:paraId="7F731D00"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7E2C7D5C"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0BD23613"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1A712FED" w14:textId="101D2A8E"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tcPr>
          <w:p w14:paraId="03485358" w14:textId="49F63D83"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tcPr>
          <w:p w14:paraId="06A29FB6" w14:textId="77777777" w:rsidR="00A15990" w:rsidRDefault="00686A62">
            <w:pPr>
              <w:pStyle w:val="P68B1DB1-Normal8"/>
              <w:spacing w:after="0" w:line="240" w:lineRule="auto"/>
              <w:jc w:val="both"/>
              <w:rPr>
                <w:rFonts w:eastAsia="Times New Roman" w:cs="Calibri"/>
                <w:noProof/>
              </w:rPr>
            </w:pPr>
            <w:r>
              <w:rPr>
                <w:noProof/>
              </w:rPr>
              <w:t>Punerea în funcțiune a barajului, a unităților de generare a energiei hidroelectrice și solare și a sistemului de irigare, respectând pe deplin rezultatele și condițiile stabilite de EIA cuprinzătoare și cumulativă care trebuie să fi fost finalizată în conformitate cu Directiva 2011/92/UE, precum și evaluările relevante în contextul Directiva 2000/60/CE, inclusiv punerea în aplicare a măsurilor de atenuare necesare. Trebuie asigurată conformitatea cu Orientările tehnice privind principiul de „a nu aduce prejudicii semnificative” (2021/C58/01).</w:t>
            </w:r>
          </w:p>
          <w:p w14:paraId="27D5C9C8" w14:textId="77777777" w:rsidR="00A15990" w:rsidRDefault="00A15990">
            <w:pPr>
              <w:spacing w:after="0" w:line="240" w:lineRule="auto"/>
              <w:jc w:val="both"/>
              <w:rPr>
                <w:rFonts w:ascii="Calibri" w:eastAsia="Times New Roman" w:hAnsi="Calibri" w:cs="Calibri"/>
                <w:noProof/>
                <w:sz w:val="16"/>
              </w:rPr>
            </w:pPr>
          </w:p>
          <w:p w14:paraId="4FAACE21" w14:textId="77777777" w:rsidR="00A15990" w:rsidRDefault="00686A62">
            <w:pPr>
              <w:pStyle w:val="P68B1DB1-Normal8"/>
              <w:spacing w:after="0" w:line="240" w:lineRule="auto"/>
              <w:jc w:val="both"/>
              <w:rPr>
                <w:rFonts w:eastAsia="Times New Roman" w:cs="Calibri"/>
                <w:noProof/>
              </w:rPr>
            </w:pPr>
            <w:r>
              <w:rPr>
                <w:noProof/>
              </w:rPr>
              <w:t>Măsura asigură satisfacerea nevoilor de apă urbană pentru populațiile din Alter do Chão, Avis, Crato, Fronteira, Gavião, Nisa, Ponte de Sor și Sousel.</w:t>
            </w:r>
          </w:p>
          <w:p w14:paraId="66B2A4F9" w14:textId="77777777" w:rsidR="00A15990" w:rsidRDefault="00A15990">
            <w:pPr>
              <w:spacing w:after="0" w:line="240" w:lineRule="auto"/>
              <w:jc w:val="both"/>
              <w:rPr>
                <w:rFonts w:ascii="Calibri" w:eastAsia="Times New Roman" w:hAnsi="Calibri" w:cs="Calibri"/>
                <w:noProof/>
                <w:sz w:val="16"/>
              </w:rPr>
            </w:pPr>
          </w:p>
          <w:p w14:paraId="6E6FCE41" w14:textId="77777777" w:rsidR="00A15990" w:rsidRDefault="00686A62">
            <w:pPr>
              <w:pStyle w:val="P68B1DB1-Normal8"/>
              <w:spacing w:after="0" w:line="240" w:lineRule="auto"/>
              <w:jc w:val="both"/>
              <w:rPr>
                <w:rFonts w:eastAsia="Times New Roman" w:cs="Calibri"/>
                <w:noProof/>
              </w:rPr>
            </w:pPr>
            <w:r>
              <w:rPr>
                <w:noProof/>
              </w:rPr>
              <w:t>Creșterea capacității de producere a energiei curate în funcție de capacitatea de producție a unității solare care urmează să fie instalată, plus 1,0 MW/an de la mini-hidroenergia; instalarea unei infrastructuri pentru blocuri de irigații care să permită furnizarea unei noi suprafețe irigate de 5 078 ha, adecvată pentru culturile ecologice și diversificate.</w:t>
            </w:r>
          </w:p>
          <w:p w14:paraId="52487FBC" w14:textId="77777777" w:rsidR="00A15990" w:rsidRDefault="00A15990">
            <w:pPr>
              <w:spacing w:after="0" w:line="240" w:lineRule="auto"/>
              <w:jc w:val="both"/>
              <w:rPr>
                <w:rFonts w:ascii="Calibri" w:eastAsia="Times New Roman" w:hAnsi="Calibri" w:cs="Calibri"/>
                <w:noProof/>
                <w:sz w:val="16"/>
              </w:rPr>
            </w:pPr>
          </w:p>
          <w:p w14:paraId="42592D55" w14:textId="77777777" w:rsidR="00A15990" w:rsidRDefault="00686A62">
            <w:pPr>
              <w:pStyle w:val="P68B1DB1-Normal8"/>
              <w:spacing w:after="0" w:line="240" w:lineRule="auto"/>
              <w:jc w:val="both"/>
              <w:rPr>
                <w:rFonts w:eastAsia="Times New Roman" w:cs="Calibri"/>
                <w:noProof/>
              </w:rPr>
            </w:pPr>
            <w:r>
              <w:rPr>
                <w:noProof/>
              </w:rPr>
              <w:t>Starea ecologică bună/potențialul ecologic bun al corpurilor de apă relevante în conformitate cu cerințele Directivei-cadru privind apa a fost atins (ă) și certificat (ă).</w:t>
            </w:r>
          </w:p>
          <w:p w14:paraId="08B20BF2" w14:textId="24EAFAF5" w:rsidR="00A15990" w:rsidRDefault="00A15990">
            <w:pPr>
              <w:spacing w:after="0" w:line="240" w:lineRule="auto"/>
              <w:jc w:val="both"/>
              <w:rPr>
                <w:rFonts w:ascii="Calibri" w:eastAsia="Times New Roman" w:hAnsi="Calibri" w:cs="Calibri"/>
                <w:noProof/>
                <w:sz w:val="16"/>
              </w:rPr>
            </w:pPr>
          </w:p>
        </w:tc>
      </w:tr>
    </w:tbl>
    <w:p w14:paraId="67B8C802" w14:textId="150ED53E"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sectPr w:rsidR="00A15990" w:rsidSect="00E00EDD">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134" w:right="1134" w:bottom="1134" w:left="1134" w:header="567" w:footer="567" w:gutter="0"/>
          <w:cols w:space="720"/>
          <w:docGrid w:linePitch="360"/>
        </w:sectPr>
      </w:pPr>
    </w:p>
    <w:p w14:paraId="36DDF044"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J. COMPONENTA 10: Marea</w:t>
      </w:r>
    </w:p>
    <w:p w14:paraId="7B573033" w14:textId="34C41316" w:rsidR="00A15990" w:rsidRDefault="00686A62">
      <w:pPr>
        <w:pStyle w:val="P68B1DB1-Normal4"/>
        <w:keepNext/>
        <w:spacing w:before="40" w:after="0" w:line="259" w:lineRule="auto"/>
        <w:jc w:val="both"/>
        <w:rPr>
          <w:rFonts w:eastAsiaTheme="minorEastAsia" w:cs="Times New Roman"/>
          <w:noProof/>
        </w:rPr>
      </w:pPr>
      <w:r>
        <w:rPr>
          <w:noProof/>
        </w:rPr>
        <w:t>Componenta abordează provocarea de a deschide calea către o economie maritimă mai competitivă, mai coezivă, mai favorabilă incluziunii și, în plus, mai durabilă și mai decarbonizată, un domeniu în care Portugalia are un potențial puternic. Componenta contribuie la valorificarea oportunităților care decurg din tranziția climatică și cea digitală în economia maritimă. Obiectivul acestei componente este de a sprijini realizarea obiectivelor naționale legate de potențialul productiv al economiei maritime. În special, componenta urmărește să asigure sustenabilitatea și competitivitatea sistemului de afaceri din domeniul maritim. În plus, componenta are ambiția de a aborda, cel puțin parțial, sărăcia în comunitățile costiere, asigurând în același timp un teritoriu competitiv și coerent în contextul adaptării la tranziția climatică și la cea digitală, inclusiv cu accent pe competențele relevante pentru sectoarele maritime. Componenta contribuie, de asemenea, la conservarea valorii serviciilor ecosistemului oceanic.</w:t>
      </w:r>
    </w:p>
    <w:p w14:paraId="5AE10A03"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Componenta sprijină abordarea recomandărilor specifice fiecărei țări privind concentrarea politicii economice legate de investițiile în porturi și inovare (recomandarea specifică fiecărei țări 3 2019) și concentrarea investițiilor asupra tranziției verzi (recomandarea specifică fiecărei țări 3 2020). În plus, componenta contribuie la abordarea recomandării specifice fiecărei țări privind îmbunătățirea nivelului de competențe al populației (recomandarea specifică fiecărei țări 2 2020). </w:t>
      </w:r>
    </w:p>
    <w:p w14:paraId="064A0E1A"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620BBC55"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7744EE41"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J.1. Descrierea reformelor și a investițiilor pentru sprijinul financiar nerambursabil</w:t>
      </w:r>
    </w:p>
    <w:p w14:paraId="2A752A9A"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 xml:space="preserve">Reforma CC 23: Reforma ecosistemului infrastructurii economiei albastre. </w:t>
      </w:r>
    </w:p>
    <w:p w14:paraId="6BF01A81"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reforme este de a revizui legislația privind rețeaua clusterelor de tehnologie portuară (aprobată de Consiliul de Miniștri în 2017), prin care Portugalia vizează consolidarea activităților economice legate de mare, prin crearea de oportunități de afaceri, noi locuri de muncă, sprijinirea exporturilor, sprijinirea creșterii transportului maritim și promovarea exploatării durabile a potențialului maritim. Reforma extinde rețeaua clusterelor de tehnologie portuară la alte zone cu acces la mare și stabilește noi obiective, cum ar fi consolidarea capacității de finanțare a economiei mării prin intermediul unui fond albastru revizuit, sprijinirea utilizării oceanelor pentru a îmbunătăți reziliența în vederea atenuării schimbărilor climatice, promovarea dezvoltării competențelor legate de economia maritimă și dubla tranziție și consolidarea sprijinului public pentru inovare pentru dezvoltarea durabilă a economiei maritime. </w:t>
      </w:r>
    </w:p>
    <w:p w14:paraId="7535A86B"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Reforma stabilește modelul de guvernanță al unui nou centru albastru, care ar trebui să fie un motor al transferului de tehnologie între diferiții actori din lanțul valoric al unei economii maritime noi, mai reziliente și mai durabile, al cărei impact este menit să fie de durată și semnificativ asupra schimbării de paradigmă către o dezvoltare economică inteligentă, durabilă și favorabilă incluziunii a sectoarelor în cauză. </w:t>
      </w:r>
    </w:p>
    <w:p w14:paraId="268AFDE5"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31 decembrie 2021.</w:t>
      </w:r>
    </w:p>
    <w:p w14:paraId="3D3AF8C2" w14:textId="77777777" w:rsidR="00A15990" w:rsidRDefault="00686A62">
      <w:pPr>
        <w:pStyle w:val="P68B1DB1-Normal5"/>
        <w:keepNext/>
        <w:keepLines/>
        <w:spacing w:before="240" w:after="0" w:line="259" w:lineRule="auto"/>
        <w:ind w:left="851"/>
        <w:jc w:val="both"/>
        <w:outlineLvl w:val="3"/>
        <w:rPr>
          <w:rFonts w:eastAsiaTheme="minorEastAsia" w:cs="Times New Roman"/>
          <w:noProof/>
        </w:rPr>
      </w:pPr>
      <w:bookmarkStart w:id="25" w:name="_Hlk67034111"/>
      <w:r>
        <w:rPr>
          <w:noProof/>
        </w:rPr>
        <w:t>Investiții TC-C10-I01: Blue Hub, Rețeaua infrastructurii pentru economia albastră</w:t>
      </w:r>
      <w:bookmarkEnd w:id="25"/>
    </w:p>
    <w:p w14:paraId="1A65F7A8"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investiții este de a crea o rețea națională de infrastructuri pentru economia albastră în întreaga țară și de a consolida ecosistemul de inovare al economiei albastre. </w:t>
      </w:r>
    </w:p>
    <w:p w14:paraId="54DA9EF4"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construirea sau renovarea unor infrastructuri noi sau existente, precum și în investiții în echipamente legate de economia maritimă. Investițiile includ crearea de noi clustere albastre în întreaga țară și modernizarea sau reabilitarea clusterelor albastre existente, precum și investiții în formare și competențe prin intermediul unui nou concept de școală albastră. Investiția constă în construirea de clădiri noi sau reabilitarea și modernizarea clădirilor și a echipamentelor aferente economiei maritime. Investiția va permite capacitatea de a transfera rezultatele cercetării în specializări productive în economie în diferite clustere din Portugalia (inclusiv Lisabona, Oeiras, Peniche, Aveiro, Porto, Algarve). Aceasta include, de asemenea, investiții într-un centru albastru care reunește cunoștințele generate de diferitele clustere și sprijină colaborarea în rețea în cadrul acestora. Acest centru albastru reflectă metodologia de dezvoltare economică de ultimă generație, în conformitate cu strategia portugheză de specializare inteligentă, care pune un accent puternic pe economia maritimă. Acesta include, de asemenea, proiectul Blue Hub School, care include în principal investiții în infrastructură și echipamente, care includ o dimensiune semnificativă a dezvoltării competențelor, în special prin conceperea de cursuri școlare în cooperare cu Agenția Națională pentru Calificare și Educație și Formare Profesională (ANQEP) și cu accent pe platformele și formarea digitale. </w:t>
      </w:r>
    </w:p>
    <w:p w14:paraId="6210D5F3"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3AECA6EA"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Investiții TC-C10-I02: Tranziția verde și digitală și siguranța în domeniul pescuitului</w:t>
      </w:r>
    </w:p>
    <w:p w14:paraId="23CC3E78" w14:textId="77777777" w:rsidR="00A15990" w:rsidRDefault="00686A62">
      <w:pPr>
        <w:pStyle w:val="P68B1DB1-Normal4"/>
        <w:keepNext/>
        <w:spacing w:before="40" w:after="0" w:line="259" w:lineRule="auto"/>
        <w:jc w:val="both"/>
        <w:rPr>
          <w:rFonts w:eastAsia="Times New Roman" w:cs="Times New Roman"/>
          <w:noProof/>
        </w:rPr>
      </w:pPr>
      <w:r>
        <w:rPr>
          <w:noProof/>
        </w:rPr>
        <w:t>Obiectivele acestei investiții sunt de a</w:t>
      </w:r>
      <w:r>
        <w:rPr>
          <w:b/>
          <w:noProof/>
        </w:rPr>
        <w:t xml:space="preserve"> </w:t>
      </w:r>
      <w:r>
        <w:rPr>
          <w:noProof/>
        </w:rPr>
        <w:t xml:space="preserve">sprijini finanțarea proiectelor care vizează inovarea, modernizarea proceselor, reducerea amprentei de carbon și economia circulară a industriei piscicole și a organizațiilor. Investițiile sunt puse în aplicare prin legături strânse între întreprinderi, asociații care reprezintă sectorul, organizații de producători, organisme științifice și organisme guvernamentale centrale, pentru a maximiza beneficiile sociale ale investiției realizate. Investiția constă într-o cerere de oferte pentru 70 de proiecte legate de inovare, modernizarea proceselor, economia circulară și reducerea amprentei ecologice a întreprinderilor din industria pescuitului. </w:t>
      </w:r>
    </w:p>
    <w:p w14:paraId="6D8544C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31 decembrie 2025. </w:t>
      </w:r>
    </w:p>
    <w:p w14:paraId="1CC63106"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 xml:space="preserve">Investiții TC-C10-i04-RAA: Dezvoltarea „Cluster do Mar dos Açores”. </w:t>
      </w:r>
    </w:p>
    <w:p w14:paraId="7A537770" w14:textId="44C7D35E"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investiții este de a moderniza infrastructura fixă și mobilă de cercetare științifică marină din regiunea autonomă Azore. O măsură constă în înlocuirea navei „Arhipelago”, care ajunge la sfârșitul duratei sale de funcționare, cu o navă modernă, cu standarde tehnologice înalte în ceea ce privește capacitățile și echipamentele și performanța energetică ridicată pentru a răspunde nevoilor actuale în materie de cercetare și monitorizare marină sau de promovare a utilizării durabile a oceanelor. A doua măsură constă în achiziționarea a două module, care urmează să fie încorporate în nava de cercetare asociată, și anume un modul de echipament pentru trenuri și un modul ROV (Remoly Operated Water Vehicle – ROV). Ultima măsură constă în crearea unui centru experimental de cercetare și dezvoltare în domeniul mării, comun cu instituțiile Sistemului științific și tehnologic din Azore (SCTA) și cu întreprinderi, care să conducă la C &amp;Dîn zonele tradiționale și emergente, cum ar fi pescuitul și produsele derivate, biotehnologia marină, biomaterialele sau tehnologiile și uneltele marine, inclusiv un „incubator albastru”, un centru de acvacultură în Azore. </w:t>
      </w:r>
    </w:p>
    <w:p w14:paraId="6F19EFBB" w14:textId="45036ACD"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p w14:paraId="17D3B2E6" w14:textId="02ECFF14" w:rsidR="00A15990" w:rsidRDefault="00686A62">
      <w:pPr>
        <w:pStyle w:val="P68B1DB1-Normal5"/>
        <w:keepNext/>
        <w:spacing w:before="240" w:after="0" w:line="259" w:lineRule="auto"/>
        <w:ind w:left="851"/>
        <w:jc w:val="both"/>
        <w:outlineLvl w:val="3"/>
        <w:rPr>
          <w:b/>
          <w:noProof/>
        </w:rPr>
      </w:pPr>
      <w:bookmarkStart w:id="26" w:name="_Toc137472457"/>
      <w:r>
        <w:rPr>
          <w:noProof/>
        </w:rPr>
        <w:t>Investiția TC-C10-I05</w:t>
      </w:r>
      <w:bookmarkStart w:id="27" w:name="_Toc137472458"/>
      <w:bookmarkEnd w:id="26"/>
      <w:r>
        <w:rPr>
          <w:noProof/>
        </w:rPr>
        <w:t>-RAA: Tranziția energetică, digitalizarea și reducerea impactului asupra mediului în sectorul pescuitului și acvaculturii</w:t>
      </w:r>
      <w:bookmarkEnd w:id="27"/>
    </w:p>
    <w:p w14:paraId="2F82CF26" w14:textId="77777777" w:rsidR="00A15990" w:rsidRDefault="00686A62">
      <w:pPr>
        <w:pStyle w:val="P68B1DB1-Normal4"/>
        <w:spacing w:before="40" w:after="0" w:line="259" w:lineRule="auto"/>
        <w:jc w:val="both"/>
        <w:rPr>
          <w:rFonts w:cs="Times New Roman"/>
          <w:noProof/>
        </w:rPr>
      </w:pPr>
      <w:r>
        <w:rPr>
          <w:noProof/>
        </w:rPr>
        <w:t xml:space="preserve">Obiectivul acestei investiții este de a sprijini proiecte care vizează: tranziția energetică, digitalizarea și reducerea impactului asupra mediului în sectorul pescuitului și acvaculturii din Regiunea Autonomă Azore. </w:t>
      </w:r>
    </w:p>
    <w:p w14:paraId="4851BFBB" w14:textId="71550539" w:rsidR="00A15990" w:rsidRDefault="00686A62">
      <w:pPr>
        <w:pStyle w:val="P68B1DB1-Normal4"/>
        <w:spacing w:before="40" w:after="0" w:line="259" w:lineRule="auto"/>
        <w:jc w:val="both"/>
        <w:rPr>
          <w:rFonts w:cs="Times New Roman"/>
          <w:noProof/>
        </w:rPr>
      </w:pPr>
      <w:r>
        <w:rPr>
          <w:noProof/>
        </w:rPr>
        <w:t xml:space="preserve"> Investiția constă în 15 de proiecte atribuite legate de modernizarea și reînnoirea flotei de pescuit, de inovarea în domeniul pescuitului și acvaculturii pentru îmbunătățirea performanței energetice, de modernizarea proceselor, de reducerea producției de deșeuri pe mare și de promovarea economiei circulare în toate sectoarele pescuitului și acvaculturii, precum și de diversificarea activității de pescuit. </w:t>
      </w:r>
    </w:p>
    <w:p w14:paraId="2CDB0CE1" w14:textId="4128E9A1" w:rsidR="00A15990" w:rsidRDefault="00686A62">
      <w:pPr>
        <w:pStyle w:val="P68B1DB1-Normal4"/>
        <w:spacing w:before="40" w:after="0" w:line="259" w:lineRule="auto"/>
        <w:jc w:val="both"/>
        <w:rPr>
          <w:noProof/>
        </w:rPr>
      </w:pPr>
      <w:r>
        <w:rPr>
          <w:noProof/>
        </w:rPr>
        <w:t>Pentru selectarea proiectelor, 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40"/>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41"/>
      </w:r>
      <w:r>
        <w:rPr>
          <w:noProof/>
        </w:rPr>
        <w:t>; activități legate de depozitele de deșeuri, incineratoarele</w:t>
      </w:r>
      <w:r>
        <w:rPr>
          <w:noProof/>
        </w:rPr>
        <w:footnoteReference w:id="42"/>
      </w:r>
      <w:r>
        <w:rPr>
          <w:noProof/>
        </w:rPr>
        <w:t xml:space="preserve"> și stațiile de tratare mecano-biologică</w:t>
      </w:r>
      <w:r>
        <w:rPr>
          <w:noProof/>
        </w:rPr>
        <w:footnoteReference w:id="43"/>
      </w:r>
      <w:r>
        <w:rPr>
          <w:noProof/>
        </w:rPr>
        <w:t>. În plus, termenii de referință prevăd că pot fi selectate numai activitățile care respectă legislația UE și națională relevantă în materie de mediu.</w:t>
      </w:r>
    </w:p>
    <w:p w14:paraId="6A89D7B3" w14:textId="77777777" w:rsidR="00A15990" w:rsidRDefault="00686A62">
      <w:pPr>
        <w:pStyle w:val="P68B1DB1-Normal4"/>
        <w:spacing w:before="40" w:after="0" w:line="259" w:lineRule="auto"/>
        <w:jc w:val="both"/>
        <w:rPr>
          <w:rFonts w:cs="Times New Roman"/>
          <w:i/>
          <w:noProof/>
        </w:rPr>
      </w:pPr>
      <w:r>
        <w:rPr>
          <w:noProof/>
        </w:rPr>
        <w:t>Punerea în aplicare a investiției se va finaliza până la 31 martie 2026.</w:t>
      </w:r>
    </w:p>
    <w:p w14:paraId="4524D534" w14:textId="590264E0" w:rsidR="00A15990" w:rsidRDefault="00686A62">
      <w:pPr>
        <w:pStyle w:val="P68B1DB1-Heading214"/>
        <w:spacing w:before="120"/>
        <w:rPr>
          <w:noProof/>
        </w:rPr>
      </w:pPr>
      <w:bookmarkStart w:id="28" w:name="_Toc137472459"/>
      <w:r>
        <w:rPr>
          <w:noProof/>
        </w:rPr>
        <w:t>Investiția TC-C10-i06-RAM: Tehnologii oceanice</w:t>
      </w:r>
      <w:bookmarkEnd w:id="28"/>
    </w:p>
    <w:p w14:paraId="31140A4D" w14:textId="77777777" w:rsidR="00A15990" w:rsidRDefault="00686A62">
      <w:pPr>
        <w:pStyle w:val="P68B1DB1-Normal4"/>
        <w:spacing w:before="40" w:after="0" w:line="259" w:lineRule="auto"/>
        <w:jc w:val="both"/>
        <w:rPr>
          <w:rFonts w:cs="Times New Roman"/>
          <w:noProof/>
        </w:rPr>
      </w:pPr>
      <w:r>
        <w:rPr>
          <w:noProof/>
        </w:rPr>
        <w:t xml:space="preserve">Obiectivul acestei investiții este de a răspunde nevoilor de infrastructură ale cercetării științifice marine din Regiunea Autonomă Madeira și de a promova legăturile dintre cercetarea marină și sectorul economic. </w:t>
      </w:r>
    </w:p>
    <w:p w14:paraId="68DC00B7" w14:textId="414E5E65" w:rsidR="00A15990" w:rsidRDefault="00686A62">
      <w:pPr>
        <w:pStyle w:val="P68B1DB1-Normal4"/>
        <w:spacing w:before="40" w:after="0" w:line="259" w:lineRule="auto"/>
        <w:jc w:val="both"/>
        <w:rPr>
          <w:rFonts w:eastAsia="@MS Mincho" w:cs="Times New Roman"/>
          <w:noProof/>
        </w:rPr>
      </w:pPr>
      <w:r>
        <w:rPr>
          <w:noProof/>
        </w:rPr>
        <w:t xml:space="preserve">Investiția constă în construirea unei nave de cercetare polivalente eficiente din punct de vedere energetic, destinată cercetării și formării în apele de mică adâncime din jurul insulelor arhipelagului Madeira și în largul mării. Aceasta include, de asemenea, achiziționarea a trei vehicule autonome fără pilot, pentru a permite o creștere a numărului de zile pe mare în Atlanticul de Nord pentru cercetarea marină, precum și colectarea de date acustice de înaltă calitate în comparație cu alte metode tradiționale de căutare. </w:t>
      </w:r>
    </w:p>
    <w:p w14:paraId="5B145707" w14:textId="09C460B5" w:rsidR="00A15990" w:rsidRDefault="00686A62">
      <w:pPr>
        <w:pStyle w:val="P68B1DB1-Normal4"/>
        <w:spacing w:before="40" w:after="0" w:line="259" w:lineRule="auto"/>
        <w:jc w:val="both"/>
        <w:rPr>
          <w:rFonts w:eastAsia="@MS Mincho" w:cs="Times New Roman"/>
          <w:noProof/>
        </w:rPr>
      </w:pPr>
      <w:r>
        <w:rPr>
          <w:noProof/>
        </w:rPr>
        <w:t>Se preconizează că această măsură nu prejudiciază în mod semnificativ obiectivele de mediu în sensul articolul 17 din Regulamentul (UE) 2020/852, ținând seama de descrierea măsurii și de măsurile de atenuare prevăzute în planul de redresare și reziliență în conformitate cu Orientările tehnice de „a nu prejudicia în mod semnificativ” (2021/C58/01). În special, nava de cercetare și vehiculele autonome fără pilot utilizează cea mai bună tehnologie disponibilă cu cel mai mic impact asupra mediului din sector.</w:t>
      </w:r>
    </w:p>
    <w:p w14:paraId="365B8C9F" w14:textId="701FB870" w:rsidR="00A15990" w:rsidRDefault="00686A62">
      <w:pPr>
        <w:pStyle w:val="P68B1DB1-Normal4"/>
        <w:spacing w:before="40" w:after="0" w:line="259" w:lineRule="auto"/>
        <w:jc w:val="both"/>
        <w:rPr>
          <w:rFonts w:cs="Times New Roman"/>
          <w:noProof/>
        </w:rPr>
      </w:pPr>
      <w:r>
        <w:rPr>
          <w:noProof/>
        </w:rPr>
        <w:t>Punerea în aplicare a investiției se va finaliza până la 30 iunie 2026.</w:t>
      </w:r>
    </w:p>
    <w:p w14:paraId="6121D230"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3D6BEFF2" w14:textId="3AF4D913"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210"/>
          <w:headerReference w:type="default" r:id="rId211"/>
          <w:footerReference w:type="even" r:id="rId212"/>
          <w:footerReference w:type="default" r:id="rId213"/>
          <w:headerReference w:type="first" r:id="rId214"/>
          <w:footerReference w:type="first" r:id="rId215"/>
          <w:pgSz w:w="11907" w:h="16839"/>
          <w:pgMar w:top="1134" w:right="1134" w:bottom="1134" w:left="1134" w:header="567" w:footer="567" w:gutter="0"/>
          <w:cols w:space="720"/>
          <w:docGrid w:linePitch="360"/>
        </w:sectPr>
      </w:pPr>
    </w:p>
    <w:p w14:paraId="5D1E2539" w14:textId="26B1DED9"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J.2. Obiective de etapă, ținte, indicatori și calendar pentru monitorizarea și punerea în aplicare a sprijinului financiar nerambursabil</w:t>
      </w:r>
    </w:p>
    <w:p w14:paraId="6886E91A"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A15990" w14:paraId="0F42C60E" w14:textId="77777777">
        <w:trPr>
          <w:trHeight w:val="910"/>
          <w:tblHeader/>
          <w:jc w:val="center"/>
        </w:trPr>
        <w:tc>
          <w:tcPr>
            <w:tcW w:w="1101" w:type="dxa"/>
            <w:vMerge w:val="restart"/>
            <w:shd w:val="clear" w:color="auto" w:fill="BDD6EE"/>
            <w:vAlign w:val="center"/>
            <w:hideMark/>
          </w:tcPr>
          <w:p w14:paraId="1AA982C8" w14:textId="77777777" w:rsidR="00A15990" w:rsidRDefault="00686A62">
            <w:pPr>
              <w:pStyle w:val="P68B1DB1-Normal6"/>
              <w:keepNext/>
              <w:spacing w:before="40" w:after="0" w:line="240" w:lineRule="auto"/>
              <w:jc w:val="center"/>
              <w:rPr>
                <w:rFonts w:eastAsia="Times New Roman" w:cs="Times New Roman"/>
                <w:noProof/>
              </w:rPr>
            </w:pPr>
            <w:r>
              <w:rPr>
                <w:noProof/>
              </w:rPr>
              <w:t>Număr secvențial</w:t>
            </w:r>
          </w:p>
        </w:tc>
        <w:tc>
          <w:tcPr>
            <w:tcW w:w="1231" w:type="dxa"/>
            <w:vMerge w:val="restart"/>
            <w:shd w:val="clear" w:color="auto" w:fill="BDD6EE"/>
            <w:vAlign w:val="center"/>
            <w:hideMark/>
          </w:tcPr>
          <w:p w14:paraId="740B018E" w14:textId="77777777" w:rsidR="00A15990" w:rsidRDefault="00686A62">
            <w:pPr>
              <w:pStyle w:val="P68B1DB1-Normal6"/>
              <w:keepNext/>
              <w:spacing w:before="40" w:after="0" w:line="240" w:lineRule="auto"/>
              <w:jc w:val="center"/>
              <w:rPr>
                <w:rFonts w:eastAsia="Times New Roman" w:cs="Times New Roman"/>
                <w:noProof/>
              </w:rPr>
            </w:pPr>
            <w:r>
              <w:rPr>
                <w:noProof/>
              </w:rPr>
              <w:t>Măsură (reformă sau investiții)</w:t>
            </w:r>
          </w:p>
        </w:tc>
        <w:tc>
          <w:tcPr>
            <w:tcW w:w="1096" w:type="dxa"/>
            <w:vMerge w:val="restart"/>
            <w:shd w:val="clear" w:color="auto" w:fill="BDD6EE"/>
            <w:vAlign w:val="center"/>
            <w:hideMark/>
          </w:tcPr>
          <w:p w14:paraId="654788B0" w14:textId="3399CA94" w:rsidR="00A15990" w:rsidRDefault="004976DE">
            <w:pPr>
              <w:pStyle w:val="P68B1DB1-Normal6"/>
              <w:keepNext/>
              <w:spacing w:before="40" w:after="0" w:line="240" w:lineRule="auto"/>
              <w:jc w:val="center"/>
              <w:rPr>
                <w:rFonts w:eastAsia="Times New Roman" w:cs="Times New Roman"/>
                <w:noProof/>
                <w:sz w:val="14"/>
              </w:rPr>
            </w:pPr>
            <w:r>
              <w:rPr>
                <w:noProof/>
              </w:rPr>
              <w:t>Jalon</w:t>
            </w:r>
            <w:r w:rsidR="00686A62">
              <w:rPr>
                <w:noProof/>
              </w:rPr>
              <w:t>/</w:t>
            </w:r>
            <w:r>
              <w:rPr>
                <w:noProof/>
              </w:rPr>
              <w:br/>
              <w:t>Țintă</w:t>
            </w:r>
          </w:p>
        </w:tc>
        <w:tc>
          <w:tcPr>
            <w:tcW w:w="1640" w:type="dxa"/>
            <w:vMerge w:val="restart"/>
            <w:shd w:val="clear" w:color="auto" w:fill="BDD6EE"/>
            <w:vAlign w:val="center"/>
            <w:hideMark/>
          </w:tcPr>
          <w:p w14:paraId="0453BB8E" w14:textId="77777777" w:rsidR="00A15990" w:rsidRDefault="00686A62">
            <w:pPr>
              <w:pStyle w:val="P68B1DB1-Normal6"/>
              <w:keepNext/>
              <w:spacing w:before="40" w:after="0" w:line="240" w:lineRule="auto"/>
              <w:jc w:val="center"/>
              <w:rPr>
                <w:rFonts w:eastAsia="Times New Roman" w:cs="Times New Roman"/>
                <w:noProof/>
              </w:rPr>
            </w:pPr>
            <w:r>
              <w:rPr>
                <w:noProof/>
              </w:rPr>
              <w:t>Nume</w:t>
            </w:r>
          </w:p>
        </w:tc>
        <w:tc>
          <w:tcPr>
            <w:tcW w:w="1231" w:type="dxa"/>
            <w:vMerge w:val="restart"/>
            <w:shd w:val="clear" w:color="auto" w:fill="BDD6EE"/>
            <w:vAlign w:val="center"/>
            <w:hideMark/>
          </w:tcPr>
          <w:p w14:paraId="1B4EF47B" w14:textId="77777777" w:rsidR="00A15990" w:rsidRDefault="00686A62">
            <w:pPr>
              <w:pStyle w:val="P68B1DB1-Normal6"/>
              <w:keepNext/>
              <w:spacing w:before="40" w:after="0" w:line="240" w:lineRule="auto"/>
              <w:jc w:val="center"/>
              <w:rPr>
                <w:rFonts w:eastAsia="Times New Roman" w:cs="Times New Roman"/>
                <w:noProof/>
              </w:rPr>
            </w:pPr>
            <w:r>
              <w:rPr>
                <w:noProof/>
              </w:rPr>
              <w:t>Indicatori calitativi (pentru obiectivele de etapă)</w:t>
            </w:r>
          </w:p>
        </w:tc>
        <w:tc>
          <w:tcPr>
            <w:tcW w:w="2613" w:type="dxa"/>
            <w:gridSpan w:val="3"/>
            <w:shd w:val="clear" w:color="auto" w:fill="BDD6EE"/>
            <w:vAlign w:val="center"/>
            <w:hideMark/>
          </w:tcPr>
          <w:p w14:paraId="3F05C782" w14:textId="77777777" w:rsidR="00A15990" w:rsidRDefault="00686A62">
            <w:pPr>
              <w:pStyle w:val="P68B1DB1-Normal6"/>
              <w:keepNext/>
              <w:spacing w:before="40" w:after="0" w:line="240" w:lineRule="auto"/>
              <w:jc w:val="center"/>
              <w:rPr>
                <w:rFonts w:eastAsia="Times New Roman" w:cs="Times New Roman"/>
                <w:noProof/>
              </w:rPr>
            </w:pPr>
            <w:r>
              <w:rPr>
                <w:noProof/>
              </w:rPr>
              <w:t>Indicatori cantitativi (pentru obiective)</w:t>
            </w:r>
          </w:p>
        </w:tc>
        <w:tc>
          <w:tcPr>
            <w:tcW w:w="1238" w:type="dxa"/>
            <w:gridSpan w:val="2"/>
            <w:shd w:val="clear" w:color="auto" w:fill="BDD6EE"/>
            <w:vAlign w:val="center"/>
            <w:hideMark/>
          </w:tcPr>
          <w:p w14:paraId="5BC3A23D" w14:textId="77777777" w:rsidR="00A15990" w:rsidRDefault="00686A62">
            <w:pPr>
              <w:pStyle w:val="P68B1DB1-Normal6"/>
              <w:keepNext/>
              <w:spacing w:before="40" w:after="0" w:line="240" w:lineRule="auto"/>
              <w:jc w:val="center"/>
              <w:rPr>
                <w:rFonts w:eastAsia="Times New Roman" w:cs="Times New Roman"/>
                <w:noProof/>
              </w:rPr>
            </w:pPr>
            <w:r>
              <w:rPr>
                <w:noProof/>
              </w:rPr>
              <w:t>Calendar orientativ pentru finalizare</w:t>
            </w:r>
          </w:p>
        </w:tc>
        <w:tc>
          <w:tcPr>
            <w:tcW w:w="5223" w:type="dxa"/>
            <w:vMerge w:val="restart"/>
            <w:shd w:val="clear" w:color="auto" w:fill="BDD6EE"/>
            <w:vAlign w:val="center"/>
            <w:hideMark/>
          </w:tcPr>
          <w:p w14:paraId="7B33DA18" w14:textId="77777777" w:rsidR="00A15990" w:rsidRDefault="00686A62">
            <w:pPr>
              <w:pStyle w:val="P68B1DB1-Normal6"/>
              <w:keepNext/>
              <w:spacing w:before="40" w:after="0" w:line="240" w:lineRule="auto"/>
              <w:jc w:val="center"/>
              <w:rPr>
                <w:rFonts w:eastAsia="Times New Roman" w:cs="Times New Roman"/>
                <w:noProof/>
              </w:rPr>
            </w:pPr>
            <w:r>
              <w:rPr>
                <w:noProof/>
              </w:rPr>
              <w:t>Descrierea și definiția clară a fiecărui obiectiv de etapă și a fiecărei ținte</w:t>
            </w:r>
          </w:p>
        </w:tc>
      </w:tr>
      <w:tr w:rsidR="00A15990" w14:paraId="13FCEFA1" w14:textId="77777777">
        <w:trPr>
          <w:trHeight w:val="470"/>
          <w:tblHeader/>
          <w:jc w:val="center"/>
        </w:trPr>
        <w:tc>
          <w:tcPr>
            <w:tcW w:w="1101" w:type="dxa"/>
            <w:vMerge/>
            <w:vAlign w:val="center"/>
            <w:hideMark/>
          </w:tcPr>
          <w:p w14:paraId="0FB4B9F7"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234EF905"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27B408D0" w14:textId="11212B07" w:rsidR="00A15990" w:rsidRDefault="00A15990">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40C2DECA"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0EE9D350"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3B5C5511" w14:textId="77777777" w:rsidR="00A15990" w:rsidRDefault="00686A62">
            <w:pPr>
              <w:pStyle w:val="P68B1DB1-Normal6"/>
              <w:keepNext/>
              <w:spacing w:before="40" w:after="0" w:line="240" w:lineRule="auto"/>
              <w:jc w:val="center"/>
              <w:rPr>
                <w:rFonts w:eastAsia="Times New Roman" w:cs="Times New Roman"/>
                <w:noProof/>
              </w:rPr>
            </w:pPr>
            <w:r>
              <w:rPr>
                <w:noProof/>
              </w:rPr>
              <w:t>Unitate de măsură</w:t>
            </w:r>
          </w:p>
        </w:tc>
        <w:tc>
          <w:tcPr>
            <w:tcW w:w="961" w:type="dxa"/>
            <w:shd w:val="clear" w:color="auto" w:fill="BDD6EE"/>
            <w:vAlign w:val="center"/>
            <w:hideMark/>
          </w:tcPr>
          <w:p w14:paraId="60383F12" w14:textId="77777777" w:rsidR="00A15990" w:rsidRDefault="00686A62">
            <w:pPr>
              <w:pStyle w:val="P68B1DB1-Normal6"/>
              <w:keepNext/>
              <w:spacing w:before="40" w:after="0" w:line="240" w:lineRule="auto"/>
              <w:jc w:val="center"/>
              <w:rPr>
                <w:rFonts w:eastAsia="Times New Roman" w:cs="Times New Roman"/>
                <w:noProof/>
              </w:rPr>
            </w:pPr>
            <w:r>
              <w:rPr>
                <w:noProof/>
              </w:rPr>
              <w:t>Situația de referință</w:t>
            </w:r>
          </w:p>
        </w:tc>
        <w:tc>
          <w:tcPr>
            <w:tcW w:w="690" w:type="dxa"/>
            <w:shd w:val="clear" w:color="auto" w:fill="BDD6EE"/>
            <w:vAlign w:val="center"/>
            <w:hideMark/>
          </w:tcPr>
          <w:p w14:paraId="68D883D5" w14:textId="77777777" w:rsidR="00A15990" w:rsidRDefault="00686A62">
            <w:pPr>
              <w:pStyle w:val="P68B1DB1-Normal6"/>
              <w:keepNext/>
              <w:spacing w:before="40" w:after="0" w:line="240" w:lineRule="auto"/>
              <w:jc w:val="center"/>
              <w:rPr>
                <w:rFonts w:eastAsia="Times New Roman" w:cs="Times New Roman"/>
                <w:noProof/>
              </w:rPr>
            </w:pPr>
            <w:r>
              <w:rPr>
                <w:noProof/>
              </w:rPr>
              <w:t>Obiectiv</w:t>
            </w:r>
          </w:p>
        </w:tc>
        <w:tc>
          <w:tcPr>
            <w:tcW w:w="554" w:type="dxa"/>
            <w:shd w:val="clear" w:color="auto" w:fill="BDD6EE"/>
            <w:vAlign w:val="center"/>
            <w:hideMark/>
          </w:tcPr>
          <w:p w14:paraId="55466A9A" w14:textId="77777777" w:rsidR="00A15990" w:rsidRDefault="00686A62">
            <w:pPr>
              <w:pStyle w:val="P68B1DB1-Normal6"/>
              <w:keepNext/>
              <w:spacing w:before="40" w:after="0" w:line="240" w:lineRule="auto"/>
              <w:jc w:val="center"/>
              <w:rPr>
                <w:rFonts w:eastAsia="Times New Roman" w:cs="Times New Roman"/>
                <w:noProof/>
              </w:rPr>
            </w:pPr>
            <w:r>
              <w:rPr>
                <w:noProof/>
              </w:rPr>
              <w:t>Q</w:t>
            </w:r>
          </w:p>
        </w:tc>
        <w:tc>
          <w:tcPr>
            <w:tcW w:w="684" w:type="dxa"/>
            <w:shd w:val="clear" w:color="auto" w:fill="BDD6EE"/>
            <w:vAlign w:val="center"/>
            <w:hideMark/>
          </w:tcPr>
          <w:p w14:paraId="09748930" w14:textId="77777777" w:rsidR="00A15990" w:rsidRDefault="00686A62">
            <w:pPr>
              <w:pStyle w:val="P68B1DB1-Normal6"/>
              <w:keepNext/>
              <w:spacing w:before="40" w:after="0" w:line="240" w:lineRule="auto"/>
              <w:jc w:val="center"/>
              <w:rPr>
                <w:rFonts w:eastAsia="Times New Roman" w:cs="Times New Roman"/>
                <w:noProof/>
              </w:rPr>
            </w:pPr>
            <w:r>
              <w:rPr>
                <w:noProof/>
              </w:rPr>
              <w:t>Anul</w:t>
            </w:r>
          </w:p>
        </w:tc>
        <w:tc>
          <w:tcPr>
            <w:tcW w:w="5223" w:type="dxa"/>
            <w:vMerge/>
            <w:vAlign w:val="center"/>
            <w:hideMark/>
          </w:tcPr>
          <w:p w14:paraId="56BFB7D9" w14:textId="77777777" w:rsidR="00A15990" w:rsidRDefault="00A15990">
            <w:pPr>
              <w:keepNext/>
              <w:spacing w:before="40" w:after="0" w:line="240" w:lineRule="auto"/>
              <w:jc w:val="both"/>
              <w:rPr>
                <w:rFonts w:ascii="Times New Roman" w:eastAsia="Times New Roman" w:hAnsi="Times New Roman" w:cs="Times New Roman"/>
                <w:b/>
                <w:noProof/>
                <w:sz w:val="18"/>
              </w:rPr>
            </w:pPr>
          </w:p>
        </w:tc>
      </w:tr>
      <w:tr w:rsidR="00A15990" w14:paraId="2FD34264" w14:textId="77777777">
        <w:trPr>
          <w:trHeight w:val="290"/>
          <w:jc w:val="center"/>
        </w:trPr>
        <w:tc>
          <w:tcPr>
            <w:tcW w:w="1101" w:type="dxa"/>
            <w:shd w:val="clear" w:color="auto" w:fill="C4EFCE"/>
            <w:vAlign w:val="center"/>
            <w:hideMark/>
          </w:tcPr>
          <w:p w14:paraId="6981A743" w14:textId="77777777" w:rsidR="00A15990" w:rsidRDefault="00686A62">
            <w:pPr>
              <w:pStyle w:val="P68B1DB1-Normal7"/>
              <w:keepNext/>
              <w:spacing w:before="40" w:after="0" w:line="240" w:lineRule="auto"/>
              <w:jc w:val="center"/>
              <w:rPr>
                <w:rFonts w:eastAsia="Times New Roman" w:cs="Calibri"/>
                <w:noProof/>
              </w:rPr>
            </w:pPr>
            <w:r>
              <w:rPr>
                <w:noProof/>
              </w:rPr>
              <w:t>10.1</w:t>
            </w:r>
          </w:p>
        </w:tc>
        <w:tc>
          <w:tcPr>
            <w:tcW w:w="1231" w:type="dxa"/>
            <w:shd w:val="clear" w:color="auto" w:fill="C4EFCE"/>
            <w:noWrap/>
            <w:vAlign w:val="center"/>
            <w:hideMark/>
          </w:tcPr>
          <w:p w14:paraId="2DFAA2E3" w14:textId="77777777" w:rsidR="00A15990" w:rsidRDefault="00686A62">
            <w:pPr>
              <w:pStyle w:val="P68B1DB1-Normal8"/>
              <w:keepNext/>
              <w:spacing w:before="40" w:after="0" w:line="240" w:lineRule="auto"/>
              <w:jc w:val="center"/>
              <w:rPr>
                <w:rFonts w:eastAsia="Times New Roman" w:cs="Calibri"/>
                <w:noProof/>
              </w:rPr>
            </w:pPr>
            <w:r>
              <w:rPr>
                <w:noProof/>
              </w:rPr>
              <w:t>TC-C10-r23</w:t>
            </w:r>
          </w:p>
        </w:tc>
        <w:tc>
          <w:tcPr>
            <w:tcW w:w="1096" w:type="dxa"/>
            <w:shd w:val="clear" w:color="auto" w:fill="C4EFCE"/>
            <w:noWrap/>
            <w:vAlign w:val="center"/>
            <w:hideMark/>
          </w:tcPr>
          <w:p w14:paraId="0347A760" w14:textId="77777777" w:rsidR="00A15990" w:rsidRDefault="00686A62">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6EECB73C" w14:textId="77777777" w:rsidR="00A15990" w:rsidRDefault="00686A62">
            <w:pPr>
              <w:pStyle w:val="P68B1DB1-Normal8"/>
              <w:keepNext/>
              <w:spacing w:before="40" w:after="0" w:line="240" w:lineRule="auto"/>
              <w:jc w:val="center"/>
              <w:rPr>
                <w:rFonts w:eastAsia="Times New Roman" w:cs="Calibri"/>
                <w:noProof/>
              </w:rPr>
            </w:pPr>
            <w:r>
              <w:rPr>
                <w:noProof/>
              </w:rPr>
              <w:t>Intrarea în vigoare a revizuirii actelor Ministerului Mării referitoare la consolidarea capacității de finanțare a economiei maritime și a inovării prin intermediul Fondului albastru</w:t>
            </w:r>
          </w:p>
        </w:tc>
        <w:tc>
          <w:tcPr>
            <w:tcW w:w="1231" w:type="dxa"/>
            <w:shd w:val="clear" w:color="auto" w:fill="C4EFCE"/>
            <w:noWrap/>
            <w:vAlign w:val="center"/>
            <w:hideMark/>
          </w:tcPr>
          <w:p w14:paraId="0A3E5CD5" w14:textId="77777777" w:rsidR="00A15990" w:rsidRDefault="00686A62">
            <w:pPr>
              <w:pStyle w:val="P68B1DB1-Normal8"/>
              <w:keepNext/>
              <w:spacing w:before="40" w:after="0" w:line="240" w:lineRule="auto"/>
              <w:jc w:val="center"/>
              <w:rPr>
                <w:rFonts w:eastAsia="Times New Roman" w:cs="Calibri"/>
                <w:noProof/>
              </w:rPr>
            </w:pPr>
            <w:r>
              <w:rPr>
                <w:noProof/>
              </w:rPr>
              <w:t>Intrarea în vigoare a actelor revizuite ale Ministerului Mării referitoare la consolidarea capacității de finanțare a economiei maritime și a inovării prin intermediul Fondului albastru</w:t>
            </w:r>
          </w:p>
        </w:tc>
        <w:tc>
          <w:tcPr>
            <w:tcW w:w="962" w:type="dxa"/>
            <w:shd w:val="clear" w:color="auto" w:fill="C4EFCE"/>
            <w:noWrap/>
            <w:vAlign w:val="center"/>
            <w:hideMark/>
          </w:tcPr>
          <w:p w14:paraId="157C0E4E"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533D7F48"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7948C8CA"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84BF334" w14:textId="77777777"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684" w:type="dxa"/>
            <w:shd w:val="clear" w:color="auto" w:fill="C4EFCE"/>
            <w:noWrap/>
            <w:vAlign w:val="center"/>
            <w:hideMark/>
          </w:tcPr>
          <w:p w14:paraId="14BDFB9E" w14:textId="77777777" w:rsidR="00A15990" w:rsidRDefault="00686A62">
            <w:pPr>
              <w:pStyle w:val="P68B1DB1-Normal8"/>
              <w:keepNext/>
              <w:spacing w:before="40" w:after="0" w:line="240" w:lineRule="auto"/>
              <w:jc w:val="center"/>
              <w:rPr>
                <w:rFonts w:eastAsia="Times New Roman" w:cs="Calibri"/>
                <w:noProof/>
              </w:rPr>
            </w:pPr>
            <w:r>
              <w:rPr>
                <w:noProof/>
              </w:rPr>
              <w:t>2021</w:t>
            </w:r>
          </w:p>
        </w:tc>
        <w:tc>
          <w:tcPr>
            <w:tcW w:w="5223" w:type="dxa"/>
            <w:shd w:val="clear" w:color="auto" w:fill="C4EFCE"/>
            <w:vAlign w:val="center"/>
            <w:hideMark/>
          </w:tcPr>
          <w:p w14:paraId="5690DF78" w14:textId="77777777" w:rsidR="00A15990" w:rsidRDefault="00686A62">
            <w:pPr>
              <w:pStyle w:val="P68B1DB1-Normal8"/>
              <w:keepNext/>
              <w:spacing w:before="40" w:after="0" w:line="240" w:lineRule="auto"/>
              <w:jc w:val="both"/>
              <w:rPr>
                <w:rFonts w:eastAsia="Times New Roman" w:cs="Calibri"/>
                <w:noProof/>
              </w:rPr>
            </w:pPr>
            <w:r>
              <w:rPr>
                <w:noProof/>
              </w:rPr>
              <w:t xml:space="preserve">Se revizuiesc următoarele acte: </w:t>
            </w:r>
          </w:p>
          <w:p w14:paraId="0D6FC64A" w14:textId="77777777" w:rsidR="00A15990" w:rsidRDefault="00686A62">
            <w:pPr>
              <w:pStyle w:val="P68B1DB1-Normal8"/>
              <w:keepNext/>
              <w:spacing w:before="40" w:after="0" w:line="240" w:lineRule="auto"/>
              <w:jc w:val="both"/>
              <w:rPr>
                <w:rFonts w:eastAsia="Times New Roman" w:cs="Calibri"/>
                <w:noProof/>
              </w:rPr>
            </w:pPr>
            <w:r>
              <w:rPr>
                <w:noProof/>
              </w:rPr>
              <w:t xml:space="preserve">Decretul-lege nr. 16/2016 din 9 martie. </w:t>
            </w:r>
          </w:p>
          <w:p w14:paraId="08A7B94D" w14:textId="77777777" w:rsidR="00A15990" w:rsidRDefault="00686A62">
            <w:pPr>
              <w:pStyle w:val="P68B1DB1-Normal8"/>
              <w:keepNext/>
              <w:spacing w:before="40" w:after="0" w:line="240" w:lineRule="auto"/>
              <w:jc w:val="both"/>
              <w:rPr>
                <w:rFonts w:eastAsia="Times New Roman" w:cs="Calibri"/>
                <w:noProof/>
              </w:rPr>
            </w:pPr>
            <w:r>
              <w:rPr>
                <w:noProof/>
              </w:rPr>
              <w:t xml:space="preserve">Ordinul nr. 343/2016 din 30 decembrie; </w:t>
            </w:r>
          </w:p>
          <w:p w14:paraId="3F2377ED" w14:textId="77777777" w:rsidR="00A15990" w:rsidRDefault="00686A62">
            <w:pPr>
              <w:pStyle w:val="P68B1DB1-Normal8"/>
              <w:keepNext/>
              <w:spacing w:before="40" w:after="0" w:line="240" w:lineRule="auto"/>
              <w:jc w:val="both"/>
              <w:rPr>
                <w:rFonts w:eastAsia="Times New Roman" w:cs="Calibri"/>
                <w:noProof/>
              </w:rPr>
            </w:pPr>
            <w:r>
              <w:rPr>
                <w:noProof/>
              </w:rPr>
              <w:t xml:space="preserve">Rezoluția nr. 175/2017 a Consiliului de Miniștri. </w:t>
            </w:r>
          </w:p>
          <w:p w14:paraId="576A9B43" w14:textId="344466AB" w:rsidR="00A15990" w:rsidRDefault="00686A62">
            <w:pPr>
              <w:pStyle w:val="P68B1DB1-Normal8"/>
              <w:keepNext/>
              <w:spacing w:before="40" w:after="0" w:line="240" w:lineRule="auto"/>
              <w:jc w:val="both"/>
              <w:rPr>
                <w:rFonts w:eastAsia="Times New Roman" w:cs="Calibri"/>
                <w:noProof/>
              </w:rPr>
            </w:pPr>
            <w:r>
              <w:rPr>
                <w:noProof/>
              </w:rPr>
              <w:t xml:space="preserve">Revizuirea acestor acte constă într-o actualizare a strategiei „Rețeaua clusterelor tehnologice portuare”, extinzându-i domeniul de aplicare la decarbonizarea economiei maritime; revizuirea și adaptarea modului ecologic și de funcționare al Fondului albastru pentru a-l adapta în vederea gestionării investițiilor în componentă; crearea modelului de guvernanță al centrului.  </w:t>
            </w:r>
          </w:p>
        </w:tc>
      </w:tr>
      <w:tr w:rsidR="00A15990" w14:paraId="1C9ED07F" w14:textId="77777777">
        <w:trPr>
          <w:trHeight w:val="630"/>
          <w:jc w:val="center"/>
        </w:trPr>
        <w:tc>
          <w:tcPr>
            <w:tcW w:w="1101" w:type="dxa"/>
            <w:shd w:val="clear" w:color="auto" w:fill="C4EFCE"/>
            <w:vAlign w:val="center"/>
            <w:hideMark/>
          </w:tcPr>
          <w:p w14:paraId="20846F99" w14:textId="77777777" w:rsidR="00A15990" w:rsidRDefault="00686A62">
            <w:pPr>
              <w:pStyle w:val="P68B1DB1-Normal7"/>
              <w:keepNext/>
              <w:spacing w:before="40" w:after="0" w:line="240" w:lineRule="auto"/>
              <w:jc w:val="center"/>
              <w:rPr>
                <w:rFonts w:eastAsia="Times New Roman" w:cs="Calibri"/>
                <w:noProof/>
              </w:rPr>
            </w:pPr>
            <w:r>
              <w:rPr>
                <w:noProof/>
              </w:rPr>
              <w:t>10.2</w:t>
            </w:r>
          </w:p>
        </w:tc>
        <w:tc>
          <w:tcPr>
            <w:tcW w:w="1231" w:type="dxa"/>
            <w:shd w:val="clear" w:color="auto" w:fill="C4EFCE"/>
            <w:noWrap/>
            <w:vAlign w:val="center"/>
            <w:hideMark/>
          </w:tcPr>
          <w:p w14:paraId="13BA066B" w14:textId="77777777" w:rsidR="00A15990" w:rsidRDefault="00686A62">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6294F56F" w14:textId="77777777" w:rsidR="00A15990" w:rsidRDefault="00686A62">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079896DE" w14:textId="77777777" w:rsidR="00A15990" w:rsidRDefault="00686A62">
            <w:pPr>
              <w:pStyle w:val="P68B1DB1-Normal8"/>
              <w:keepNext/>
              <w:spacing w:before="40" w:after="0" w:line="240" w:lineRule="auto"/>
              <w:jc w:val="center"/>
              <w:rPr>
                <w:rFonts w:eastAsia="Times New Roman" w:cs="Calibri"/>
                <w:noProof/>
              </w:rPr>
            </w:pPr>
            <w:r>
              <w:rPr>
                <w:noProof/>
              </w:rPr>
              <w:t>Finalizarea modernizării școlii Blue Hub și consolidarea aprovizionării și a echipamentelor</w:t>
            </w:r>
          </w:p>
        </w:tc>
        <w:tc>
          <w:tcPr>
            <w:tcW w:w="1231" w:type="dxa"/>
            <w:shd w:val="clear" w:color="auto" w:fill="C4EFCE"/>
            <w:noWrap/>
            <w:vAlign w:val="center"/>
            <w:hideMark/>
          </w:tcPr>
          <w:p w14:paraId="03E07993"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55A4B559" w14:textId="77777777" w:rsidR="00A15990" w:rsidRDefault="00686A62">
            <w:pPr>
              <w:pStyle w:val="P68B1DB1-Normal8"/>
              <w:keepNext/>
              <w:spacing w:before="40" w:after="0" w:line="240" w:lineRule="auto"/>
              <w:jc w:val="center"/>
              <w:rPr>
                <w:rFonts w:eastAsia="Times New Roman" w:cs="Calibri"/>
                <w:noProof/>
              </w:rPr>
            </w:pPr>
            <w:r>
              <w:rPr>
                <w:noProof/>
              </w:rPr>
              <w:t xml:space="preserve">% </w:t>
            </w:r>
          </w:p>
        </w:tc>
        <w:tc>
          <w:tcPr>
            <w:tcW w:w="961" w:type="dxa"/>
            <w:shd w:val="clear" w:color="auto" w:fill="C4EFCE"/>
            <w:noWrap/>
            <w:vAlign w:val="center"/>
            <w:hideMark/>
          </w:tcPr>
          <w:p w14:paraId="2ACDF2F9" w14:textId="77777777" w:rsidR="00A15990" w:rsidRDefault="00686A62">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9EEF38E" w14:textId="77777777" w:rsidR="00A15990" w:rsidRDefault="00686A62">
            <w:pPr>
              <w:pStyle w:val="P68B1DB1-Normal8"/>
              <w:keepNext/>
              <w:spacing w:before="40" w:after="0" w:line="240" w:lineRule="auto"/>
              <w:jc w:val="center"/>
              <w:rPr>
                <w:rFonts w:eastAsia="Times New Roman" w:cs="Calibri"/>
                <w:noProof/>
              </w:rPr>
            </w:pPr>
            <w:r>
              <w:rPr>
                <w:noProof/>
              </w:rPr>
              <w:t>100</w:t>
            </w:r>
          </w:p>
        </w:tc>
        <w:tc>
          <w:tcPr>
            <w:tcW w:w="554" w:type="dxa"/>
            <w:shd w:val="clear" w:color="auto" w:fill="C4EFCE"/>
            <w:noWrap/>
            <w:vAlign w:val="center"/>
            <w:hideMark/>
          </w:tcPr>
          <w:p w14:paraId="1F0251CD" w14:textId="77777777"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684" w:type="dxa"/>
            <w:shd w:val="clear" w:color="auto" w:fill="C4EFCE"/>
            <w:noWrap/>
            <w:vAlign w:val="center"/>
            <w:hideMark/>
          </w:tcPr>
          <w:p w14:paraId="3708D654" w14:textId="77777777" w:rsidR="00A15990" w:rsidRDefault="00686A62">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6734A981" w14:textId="77777777" w:rsidR="00A15990" w:rsidRDefault="00686A62">
            <w:pPr>
              <w:pStyle w:val="P68B1DB1-Normal8"/>
              <w:keepNext/>
              <w:spacing w:before="40" w:after="0" w:line="240" w:lineRule="auto"/>
              <w:jc w:val="both"/>
              <w:rPr>
                <w:rFonts w:eastAsia="Times New Roman" w:cs="Calibri"/>
                <w:noProof/>
              </w:rPr>
            </w:pPr>
            <w:r>
              <w:rPr>
                <w:noProof/>
              </w:rPr>
              <w:t xml:space="preserve">Finalizarea lucrărilor de modernizare, consolidarea ofertei de formare și renovarea cu echipamente a Blue Hub School. Finalizarea celor de mai sus urmează confirmării respectării specificațiilor tehnice și a obligațiilor contractuale. Ea cuprinde: </w:t>
            </w:r>
          </w:p>
          <w:p w14:paraId="3A3F2EF4" w14:textId="2F250900"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 xml:space="preserve">investiții în infrastructura și sistemele </w:t>
            </w:r>
            <w:r>
              <w:rPr>
                <w:rFonts w:ascii="Calibri" w:hAnsi="Calibri"/>
                <w:i/>
                <w:noProof/>
                <w:sz w:val="16"/>
              </w:rPr>
              <w:t>Escola Superior Náutica Infante D. Henrique</w:t>
            </w:r>
            <w:r>
              <w:rPr>
                <w:rFonts w:ascii="Calibri" w:hAnsi="Calibri"/>
                <w:noProof/>
                <w:sz w:val="16"/>
              </w:rPr>
              <w:t xml:space="preserve"> (ENIDH), inclusiv modernizarea a 16 laboratoare și achiziționarea de simulatoare (pentru poziționarea navelor, serviciul de trafic maritim, precum și logistică și operațiuni portuare)</w:t>
            </w:r>
          </w:p>
          <w:p w14:paraId="37CC213B" w14:textId="3AD70643"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Modernizarea For-MAR: modernizarea a 6 de centre de formare, echipamente de sprijin pentru formarea profesională, modernizarea sistemelor informatice și de comunicații, digitalizarea proceselor de formare și conceperea e-învățării.</w:t>
            </w:r>
          </w:p>
          <w:p w14:paraId="69131879" w14:textId="2D239F23" w:rsidR="00A15990" w:rsidRDefault="00686A62">
            <w:pPr>
              <w:pStyle w:val="P68B1DB1-Normal8"/>
              <w:keepNext/>
              <w:spacing w:before="40" w:after="0" w:line="240" w:lineRule="auto"/>
              <w:jc w:val="both"/>
              <w:rPr>
                <w:rFonts w:eastAsia="Times New Roman" w:cs="Calibri"/>
                <w:noProof/>
              </w:rPr>
            </w:pPr>
            <w:r>
              <w:rPr>
                <w:noProof/>
              </w:rPr>
              <w:t>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3B18127E" w14:textId="77777777">
        <w:trPr>
          <w:trHeight w:val="290"/>
          <w:jc w:val="center"/>
        </w:trPr>
        <w:tc>
          <w:tcPr>
            <w:tcW w:w="1101" w:type="dxa"/>
            <w:shd w:val="clear" w:color="auto" w:fill="C4EFCE"/>
            <w:vAlign w:val="center"/>
            <w:hideMark/>
          </w:tcPr>
          <w:p w14:paraId="1A210116" w14:textId="77777777" w:rsidR="00A15990" w:rsidRDefault="00686A62">
            <w:pPr>
              <w:pStyle w:val="P68B1DB1-Normal7"/>
              <w:keepNext/>
              <w:spacing w:before="40" w:after="0" w:line="240" w:lineRule="auto"/>
              <w:jc w:val="center"/>
              <w:rPr>
                <w:rFonts w:eastAsia="Times New Roman" w:cs="Calibri"/>
                <w:noProof/>
              </w:rPr>
            </w:pPr>
            <w:r>
              <w:rPr>
                <w:noProof/>
              </w:rPr>
              <w:t>10.3</w:t>
            </w:r>
          </w:p>
        </w:tc>
        <w:tc>
          <w:tcPr>
            <w:tcW w:w="1231" w:type="dxa"/>
            <w:shd w:val="clear" w:color="auto" w:fill="C4EFCE"/>
            <w:noWrap/>
            <w:vAlign w:val="center"/>
            <w:hideMark/>
          </w:tcPr>
          <w:p w14:paraId="7F3373D8" w14:textId="77777777" w:rsidR="00A15990" w:rsidRDefault="00686A62">
            <w:pPr>
              <w:pStyle w:val="P68B1DB1-Normal8"/>
              <w:keepNext/>
              <w:spacing w:before="40" w:after="0" w:line="240" w:lineRule="auto"/>
              <w:jc w:val="center"/>
              <w:rPr>
                <w:rFonts w:eastAsia="Times New Roman" w:cs="Calibri"/>
                <w:noProof/>
              </w:rPr>
            </w:pPr>
            <w:r>
              <w:rPr>
                <w:noProof/>
              </w:rPr>
              <w:t>TC-C10-I01</w:t>
            </w:r>
          </w:p>
        </w:tc>
        <w:tc>
          <w:tcPr>
            <w:tcW w:w="1096" w:type="dxa"/>
            <w:shd w:val="clear" w:color="auto" w:fill="C4EFCE"/>
            <w:noWrap/>
            <w:vAlign w:val="center"/>
            <w:hideMark/>
          </w:tcPr>
          <w:p w14:paraId="73F010EA" w14:textId="77777777" w:rsidR="00A15990" w:rsidRDefault="00686A62">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5BC5CD21" w14:textId="77777777" w:rsidR="00A15990" w:rsidRDefault="00686A62">
            <w:pPr>
              <w:pStyle w:val="P68B1DB1-Normal8"/>
              <w:keepNext/>
              <w:spacing w:before="40" w:after="0" w:line="240" w:lineRule="auto"/>
              <w:jc w:val="center"/>
              <w:rPr>
                <w:rFonts w:eastAsia="Times New Roman" w:cs="Calibri"/>
                <w:noProof/>
              </w:rPr>
            </w:pPr>
            <w:r>
              <w:rPr>
                <w:noProof/>
              </w:rPr>
              <w:t>Finalizarea instalării și/sau modernizării centrelor Blue Hub</w:t>
            </w:r>
          </w:p>
        </w:tc>
        <w:tc>
          <w:tcPr>
            <w:tcW w:w="1231" w:type="dxa"/>
            <w:shd w:val="clear" w:color="auto" w:fill="C4EFCE"/>
            <w:noWrap/>
            <w:vAlign w:val="center"/>
            <w:hideMark/>
          </w:tcPr>
          <w:p w14:paraId="4E5B4906"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1F0D4373" w14:textId="77777777" w:rsidR="00A15990" w:rsidRDefault="00686A62">
            <w:pPr>
              <w:pStyle w:val="P68B1DB1-Normal8"/>
              <w:keepNext/>
              <w:spacing w:before="40" w:after="0" w:line="240" w:lineRule="auto"/>
              <w:jc w:val="center"/>
              <w:rPr>
                <w:rFonts w:eastAsia="Times New Roman" w:cs="Calibri"/>
                <w:noProof/>
              </w:rPr>
            </w:pPr>
            <w:r>
              <w:rPr>
                <w:noProof/>
              </w:rPr>
              <w:t xml:space="preserve">Numărul </w:t>
            </w:r>
          </w:p>
        </w:tc>
        <w:tc>
          <w:tcPr>
            <w:tcW w:w="961" w:type="dxa"/>
            <w:shd w:val="clear" w:color="auto" w:fill="C4EFCE"/>
            <w:noWrap/>
            <w:vAlign w:val="center"/>
            <w:hideMark/>
          </w:tcPr>
          <w:p w14:paraId="5AE14534" w14:textId="77777777" w:rsidR="00A15990" w:rsidRDefault="00686A62">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0F28BF19" w14:textId="77777777" w:rsidR="00A15990" w:rsidRDefault="00686A62">
            <w:pPr>
              <w:pStyle w:val="P68B1DB1-Normal8"/>
              <w:keepNext/>
              <w:spacing w:before="40" w:after="0" w:line="240" w:lineRule="auto"/>
              <w:jc w:val="center"/>
              <w:rPr>
                <w:rFonts w:eastAsia="Times New Roman" w:cs="Calibri"/>
                <w:noProof/>
              </w:rPr>
            </w:pPr>
            <w:r>
              <w:rPr>
                <w:noProof/>
              </w:rPr>
              <w:t>7</w:t>
            </w:r>
          </w:p>
        </w:tc>
        <w:tc>
          <w:tcPr>
            <w:tcW w:w="554" w:type="dxa"/>
            <w:shd w:val="clear" w:color="auto" w:fill="C4EFCE"/>
            <w:noWrap/>
            <w:vAlign w:val="center"/>
            <w:hideMark/>
          </w:tcPr>
          <w:p w14:paraId="2937E871" w14:textId="77777777"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684" w:type="dxa"/>
            <w:shd w:val="clear" w:color="auto" w:fill="C4EFCE"/>
            <w:noWrap/>
            <w:vAlign w:val="center"/>
            <w:hideMark/>
          </w:tcPr>
          <w:p w14:paraId="60DD0007" w14:textId="77777777" w:rsidR="00A15990" w:rsidRDefault="00686A62">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4CB843FB" w14:textId="77777777" w:rsidR="00A15990" w:rsidRDefault="00686A62">
            <w:pPr>
              <w:pStyle w:val="P68B1DB1-Normal8"/>
              <w:keepNext/>
              <w:spacing w:before="40" w:after="0" w:line="240" w:lineRule="auto"/>
              <w:jc w:val="both"/>
              <w:rPr>
                <w:rFonts w:eastAsia="Times New Roman" w:cs="Calibri"/>
                <w:noProof/>
              </w:rPr>
            </w:pPr>
            <w:r>
              <w:rPr>
                <w:noProof/>
              </w:rPr>
              <w:t xml:space="preserve">Finalizarea lucrărilor (construcții, renovare și echipamente) pentru 7 de centre albastre. Nodurile albastre noi sau modernizate includ: </w:t>
            </w:r>
          </w:p>
          <w:p w14:paraId="23E9EE6A" w14:textId="45B1D28B"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1.</w:t>
            </w:r>
            <w:r>
              <w:rPr>
                <w:rFonts w:ascii="Times New Roman" w:hAnsi="Times New Roman"/>
                <w:noProof/>
                <w:sz w:val="14"/>
              </w:rPr>
              <w:t xml:space="preserve"> </w:t>
            </w:r>
            <w:r>
              <w:rPr>
                <w:rFonts w:ascii="Calibri" w:hAnsi="Calibri"/>
                <w:noProof/>
                <w:sz w:val="16"/>
              </w:rPr>
              <w:t xml:space="preserve">Centrul întreprinderilor și laboratorul oceanic comun din Lisabona: renovarea unei clădiri pentru laboratorul oceanic cu, printre altele, spații de infrastructură de laborator, biorafinării, spațiu pentru biomobanul național al resurselor marine și spațiu de birouri pentru întreprinderile tehnice. </w:t>
            </w:r>
          </w:p>
          <w:p w14:paraId="43ED232C" w14:textId="51E70B4B" w:rsidR="00A15990" w:rsidRDefault="00686A62">
            <w:pPr>
              <w:keepNext/>
              <w:spacing w:before="40" w:after="0" w:line="240" w:lineRule="auto"/>
              <w:jc w:val="both"/>
              <w:rPr>
                <w:rFonts w:ascii="Calibri" w:eastAsia="Times New Roman" w:hAnsi="Calibri"/>
                <w:noProof/>
                <w:sz w:val="16"/>
              </w:rPr>
            </w:pPr>
            <w:r>
              <w:rPr>
                <w:rFonts w:ascii="Calibri" w:hAnsi="Calibri"/>
                <w:noProof/>
                <w:sz w:val="16"/>
              </w:rPr>
              <w:t>2.</w:t>
            </w:r>
            <w:r>
              <w:rPr>
                <w:rFonts w:ascii="Times New Roman" w:hAnsi="Times New Roman"/>
                <w:noProof/>
                <w:sz w:val="14"/>
              </w:rPr>
              <w:t xml:space="preserve"> </w:t>
            </w:r>
            <w:r>
              <w:rPr>
                <w:rFonts w:ascii="Calibri" w:hAnsi="Calibri"/>
                <w:noProof/>
                <w:sz w:val="16"/>
              </w:rPr>
              <w:t xml:space="preserve">Centrul IPMA/Sea Oeiras pentru îmbunătățirea capacităților de monitorizare a oceanelor: inclusiv construirea unui hangar pentru unitatea de inginerie oceanică, inclusiv podul de rulare, spațiile atelierelor, o clădire de arhivă cu rafturi rotative pentru eșantioane care trebuie conservate într-un mediu lichid, echipamente pentru cercetarea în domeniul pescuitului. Acesta include, de asemenea, echipamente radar pentru monitorizarea în timp real. </w:t>
            </w:r>
          </w:p>
          <w:p w14:paraId="1D5FC4FC" w14:textId="27A90C32"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3.</w:t>
            </w:r>
            <w:r>
              <w:rPr>
                <w:rFonts w:ascii="Times New Roman" w:hAnsi="Times New Roman"/>
                <w:noProof/>
                <w:sz w:val="14"/>
              </w:rPr>
              <w:t xml:space="preserve"> Centrul Peniche</w:t>
            </w:r>
            <w:r>
              <w:rPr>
                <w:rFonts w:ascii="Calibri" w:hAnsi="Calibri"/>
                <w:noProof/>
                <w:sz w:val="16"/>
              </w:rPr>
              <w:t>pentru oceane inteligente: inclusiv construirea infrastructurii, a unui parc științific și tehnologic situat în zona portului de pescuit Peniche, construirea și implementarea unui sistem de colectare și tratare a apelor sărate, spațiu deschis pentru diseminarea cunoștințelor maritime.</w:t>
            </w:r>
          </w:p>
          <w:p w14:paraId="65B36634" w14:textId="1B45ACBD"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4.</w:t>
            </w:r>
            <w:r>
              <w:rPr>
                <w:rFonts w:ascii="Times New Roman" w:hAnsi="Times New Roman"/>
                <w:noProof/>
                <w:sz w:val="14"/>
              </w:rPr>
              <w:t xml:space="preserve"> </w:t>
            </w:r>
            <w:r>
              <w:rPr>
                <w:rFonts w:ascii="Calibri" w:hAnsi="Calibri"/>
                <w:noProof/>
                <w:sz w:val="16"/>
              </w:rPr>
              <w:t>Hubul Aveiro: inclusiv reînnoirea vechiului sistem de captare, tratare și distribuție a apei de mare, un laborator național pentru dezvoltarea și testarea produselor pescărești și de acvacultură, producția 5.0 laborator pentru alge și crustacee.</w:t>
            </w:r>
          </w:p>
          <w:p w14:paraId="62DA030E" w14:textId="5B008894"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5.</w:t>
            </w:r>
            <w:r>
              <w:rPr>
                <w:rFonts w:ascii="Times New Roman" w:hAnsi="Times New Roman"/>
                <w:noProof/>
                <w:sz w:val="14"/>
              </w:rPr>
              <w:t xml:space="preserve"> </w:t>
            </w:r>
            <w:r>
              <w:rPr>
                <w:rFonts w:ascii="Calibri" w:hAnsi="Calibri"/>
                <w:noProof/>
                <w:sz w:val="16"/>
              </w:rPr>
              <w:t>Centrul Ocean.Plus din Porto, Leixões I: includerea unui set de infrastructuri comune pentru comunitatea științifică pentru a sprijini cercetătorii în toate etapele dezvoltării științei și tehnologiei, de la proiectare la dezvoltarea de prototipuri, implementarea testelor pe teren, validarea tehnologiei și transferul de cunoștințe, inclusiv platforme logistice și oceanice, cu acces facil pentru comunitatea științifică și inovatoare.</w:t>
            </w:r>
          </w:p>
          <w:p w14:paraId="191EC3E9" w14:textId="3E847F44"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6.</w:t>
            </w:r>
            <w:r>
              <w:rPr>
                <w:rFonts w:ascii="Times New Roman" w:hAnsi="Times New Roman"/>
                <w:noProof/>
                <w:sz w:val="14"/>
              </w:rPr>
              <w:t xml:space="preserve"> </w:t>
            </w:r>
            <w:r>
              <w:rPr>
                <w:rFonts w:ascii="Calibri" w:hAnsi="Calibri"/>
                <w:noProof/>
                <w:sz w:val="16"/>
              </w:rPr>
              <w:t>Porto Hub/Leixões II: Centrul de comandă și control al vehiculelor fără pilot la bord în sprijinul mării: inclusiv vehicule multifuncționale fără pilot (de suprafață, de suprafață și de lungă durată) echipate cu senzori pentru măsurarea variabilelor esențiale ale oceanelor (VE), un centru de comandă și control și sisteme de calcul și comunicații.</w:t>
            </w:r>
          </w:p>
          <w:p w14:paraId="77BDFD13" w14:textId="7C1323F3" w:rsidR="00A15990" w:rsidRDefault="00686A62">
            <w:pPr>
              <w:keepNext/>
              <w:spacing w:before="40" w:after="0" w:line="240" w:lineRule="auto"/>
              <w:jc w:val="both"/>
              <w:rPr>
                <w:rFonts w:ascii="Calibri" w:eastAsia="Times New Roman" w:hAnsi="Calibri" w:cs="Calibri"/>
                <w:noProof/>
                <w:sz w:val="16"/>
              </w:rPr>
            </w:pPr>
            <w:r>
              <w:rPr>
                <w:rFonts w:ascii="Calibri" w:hAnsi="Calibri"/>
                <w:noProof/>
                <w:sz w:val="16"/>
              </w:rPr>
              <w:t>7.</w:t>
            </w:r>
            <w:r>
              <w:rPr>
                <w:rFonts w:ascii="Times New Roman" w:hAnsi="Times New Roman"/>
                <w:noProof/>
                <w:sz w:val="14"/>
              </w:rPr>
              <w:t xml:space="preserve"> </w:t>
            </w:r>
            <w:r>
              <w:rPr>
                <w:rFonts w:ascii="Calibri" w:hAnsi="Calibri"/>
                <w:noProof/>
                <w:sz w:val="16"/>
              </w:rPr>
              <w:t>Centrul Algarve: printre acestea se numără crearea de noi infrastructuri și echipamente, laboratoare și birouri, spații pentru noi întreprinderi (capacitate de aproximativ 15 de întreprinderi și 90 de locuri de muncă), cu accent pe biotehnologia albastră, acvacultură, produse alimentare și hrană pentru animale și bioresurse marine, valorizarea dezvoltării de produse și crearea de cunoștințe.</w:t>
            </w:r>
          </w:p>
          <w:p w14:paraId="7AE1994E" w14:textId="77777777" w:rsidR="00A15990" w:rsidRDefault="00686A62">
            <w:pPr>
              <w:pStyle w:val="P68B1DB1-Normal8"/>
              <w:keepNext/>
              <w:spacing w:before="40" w:after="0" w:line="240" w:lineRule="auto"/>
              <w:jc w:val="both"/>
              <w:rPr>
                <w:rFonts w:eastAsia="Times New Roman" w:cs="Calibri"/>
                <w:noProof/>
              </w:rPr>
            </w:pPr>
            <w:r>
              <w:rPr>
                <w:noProof/>
              </w:rPr>
              <w:t>Modelul de afaceri și o echipă profesională interimară de gestionare a afacerilor pentru centrul albastru sunt recreate și recrutate (acoperind, de asemenea, Școala Blue Hub).</w:t>
            </w:r>
          </w:p>
          <w:p w14:paraId="30FFCC06" w14:textId="77777777" w:rsidR="00A15990" w:rsidRDefault="00686A62">
            <w:pPr>
              <w:pStyle w:val="P68B1DB1-Normal8"/>
              <w:keepNext/>
              <w:spacing w:before="40" w:after="0" w:line="240" w:lineRule="auto"/>
              <w:jc w:val="both"/>
              <w:rPr>
                <w:rFonts w:eastAsia="Times New Roman" w:cs="Calibri"/>
                <w:noProof/>
              </w:rPr>
            </w:pPr>
            <w:r>
              <w:rPr>
                <w:noProof/>
              </w:rPr>
              <w:t xml:space="preserve">Această inițiativă face parte din punerea în aplicare a Strategiei naționale privind oceanele 2021-30, și anume în cadrul obiectivelor strategice 1, 2, 3, 6, 7 și 9. </w:t>
            </w:r>
          </w:p>
          <w:p w14:paraId="1957099A" w14:textId="05570FBA" w:rsidR="00A15990" w:rsidRDefault="00686A62">
            <w:pPr>
              <w:pStyle w:val="P68B1DB1-Normal8"/>
              <w:keepNext/>
              <w:spacing w:before="40" w:after="0" w:line="240" w:lineRule="auto"/>
              <w:jc w:val="both"/>
              <w:rPr>
                <w:rFonts w:eastAsia="Times New Roman" w:cs="Calibri"/>
                <w:noProof/>
              </w:rPr>
            </w:pPr>
            <w:r>
              <w:rPr>
                <w:noProof/>
              </w:rPr>
              <w:t>Finalizarea celor de mai sus urmează confirmării respectării specificațiilor tehnice și a obligațiilor contractuale. 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476877EB" w14:textId="77777777">
        <w:trPr>
          <w:trHeight w:val="2116"/>
          <w:jc w:val="center"/>
        </w:trPr>
        <w:tc>
          <w:tcPr>
            <w:tcW w:w="1101" w:type="dxa"/>
            <w:shd w:val="clear" w:color="auto" w:fill="C4EFCE"/>
            <w:vAlign w:val="center"/>
            <w:hideMark/>
          </w:tcPr>
          <w:p w14:paraId="789549CF" w14:textId="77777777" w:rsidR="00A15990" w:rsidRDefault="00686A62">
            <w:pPr>
              <w:pStyle w:val="P68B1DB1-Normal7"/>
              <w:keepNext/>
              <w:spacing w:before="40" w:after="0" w:line="240" w:lineRule="auto"/>
              <w:jc w:val="center"/>
              <w:rPr>
                <w:rFonts w:eastAsia="Times New Roman" w:cs="Calibri"/>
                <w:noProof/>
              </w:rPr>
            </w:pPr>
            <w:r>
              <w:rPr>
                <w:noProof/>
              </w:rPr>
              <w:t>10.4</w:t>
            </w:r>
          </w:p>
        </w:tc>
        <w:tc>
          <w:tcPr>
            <w:tcW w:w="1231" w:type="dxa"/>
            <w:shd w:val="clear" w:color="auto" w:fill="C4EFCE"/>
            <w:noWrap/>
            <w:vAlign w:val="center"/>
            <w:hideMark/>
          </w:tcPr>
          <w:p w14:paraId="123D829D" w14:textId="77777777" w:rsidR="00A15990" w:rsidRDefault="00686A62">
            <w:pPr>
              <w:pStyle w:val="P68B1DB1-Normal8"/>
              <w:keepNext/>
              <w:spacing w:before="40" w:after="0" w:line="240" w:lineRule="auto"/>
              <w:jc w:val="center"/>
              <w:rPr>
                <w:rFonts w:eastAsia="Times New Roman" w:cs="Calibri"/>
                <w:noProof/>
              </w:rPr>
            </w:pPr>
            <w:r>
              <w:rPr>
                <w:noProof/>
              </w:rPr>
              <w:t>TC-C10-I02</w:t>
            </w:r>
          </w:p>
        </w:tc>
        <w:tc>
          <w:tcPr>
            <w:tcW w:w="1096" w:type="dxa"/>
            <w:shd w:val="clear" w:color="auto" w:fill="C4EFCE"/>
            <w:noWrap/>
            <w:vAlign w:val="center"/>
            <w:hideMark/>
          </w:tcPr>
          <w:p w14:paraId="5CC8709D" w14:textId="77777777" w:rsidR="00A15990" w:rsidRDefault="00686A62">
            <w:pPr>
              <w:pStyle w:val="P68B1DB1-Normal8"/>
              <w:keepNext/>
              <w:spacing w:before="40" w:after="0" w:line="240" w:lineRule="auto"/>
              <w:jc w:val="center"/>
              <w:rPr>
                <w:rFonts w:eastAsia="Times New Roman" w:cs="Calibri"/>
                <w:noProof/>
              </w:rPr>
            </w:pPr>
            <w:r>
              <w:rPr>
                <w:noProof/>
              </w:rPr>
              <w:t>T</w:t>
            </w:r>
          </w:p>
        </w:tc>
        <w:tc>
          <w:tcPr>
            <w:tcW w:w="1640" w:type="dxa"/>
            <w:shd w:val="clear" w:color="auto" w:fill="C4EFCE"/>
            <w:noWrap/>
            <w:vAlign w:val="center"/>
            <w:hideMark/>
          </w:tcPr>
          <w:p w14:paraId="10951DFD" w14:textId="77777777" w:rsidR="00A15990" w:rsidRDefault="00686A62">
            <w:pPr>
              <w:pStyle w:val="P68B1DB1-Normal8"/>
              <w:keepNext/>
              <w:spacing w:before="40" w:after="0" w:line="240" w:lineRule="auto"/>
              <w:jc w:val="center"/>
              <w:rPr>
                <w:rFonts w:eastAsia="Times New Roman" w:cs="Calibri"/>
                <w:noProof/>
              </w:rPr>
            </w:pPr>
            <w:r>
              <w:rPr>
                <w:noProof/>
              </w:rPr>
              <w:t>Aprobarea rapoartelor finale pentru 70 proiecte în sprijinul inovării, al tranziției energetice și al reducerii impactului asupra mediului pentru entitățile din sectorul pescuitului</w:t>
            </w:r>
          </w:p>
        </w:tc>
        <w:tc>
          <w:tcPr>
            <w:tcW w:w="1231" w:type="dxa"/>
            <w:shd w:val="clear" w:color="auto" w:fill="C4EFCE"/>
            <w:noWrap/>
            <w:vAlign w:val="center"/>
            <w:hideMark/>
          </w:tcPr>
          <w:p w14:paraId="43AC3C6A"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62" w:type="dxa"/>
            <w:shd w:val="clear" w:color="auto" w:fill="C4EFCE"/>
            <w:noWrap/>
            <w:vAlign w:val="center"/>
            <w:hideMark/>
          </w:tcPr>
          <w:p w14:paraId="41968F9D" w14:textId="77777777" w:rsidR="00A15990" w:rsidRDefault="00686A62">
            <w:pPr>
              <w:pStyle w:val="P68B1DB1-Normal8"/>
              <w:keepNext/>
              <w:spacing w:before="40" w:after="0" w:line="240" w:lineRule="auto"/>
              <w:jc w:val="center"/>
              <w:rPr>
                <w:rFonts w:eastAsia="Times New Roman" w:cs="Calibri"/>
                <w:noProof/>
              </w:rPr>
            </w:pPr>
            <w:r>
              <w:rPr>
                <w:noProof/>
              </w:rPr>
              <w:t xml:space="preserve">Numărul </w:t>
            </w:r>
          </w:p>
        </w:tc>
        <w:tc>
          <w:tcPr>
            <w:tcW w:w="961" w:type="dxa"/>
            <w:shd w:val="clear" w:color="auto" w:fill="C4EFCE"/>
            <w:noWrap/>
            <w:vAlign w:val="center"/>
            <w:hideMark/>
          </w:tcPr>
          <w:p w14:paraId="48106376" w14:textId="77777777" w:rsidR="00A15990" w:rsidRDefault="00686A62">
            <w:pPr>
              <w:pStyle w:val="P68B1DB1-Normal8"/>
              <w:keepNext/>
              <w:spacing w:before="40" w:after="0" w:line="240" w:lineRule="auto"/>
              <w:jc w:val="center"/>
              <w:rPr>
                <w:rFonts w:eastAsia="Times New Roman" w:cs="Calibri"/>
                <w:noProof/>
              </w:rPr>
            </w:pPr>
            <w:r>
              <w:rPr>
                <w:noProof/>
              </w:rPr>
              <w:t>0</w:t>
            </w:r>
          </w:p>
        </w:tc>
        <w:tc>
          <w:tcPr>
            <w:tcW w:w="690" w:type="dxa"/>
            <w:shd w:val="clear" w:color="auto" w:fill="C4EFCE"/>
            <w:noWrap/>
            <w:vAlign w:val="center"/>
            <w:hideMark/>
          </w:tcPr>
          <w:p w14:paraId="37C46F26" w14:textId="77777777" w:rsidR="00A15990" w:rsidRDefault="00686A62">
            <w:pPr>
              <w:pStyle w:val="P68B1DB1-Normal8"/>
              <w:keepNext/>
              <w:spacing w:before="40" w:after="0" w:line="240" w:lineRule="auto"/>
              <w:jc w:val="center"/>
              <w:rPr>
                <w:rFonts w:eastAsia="Times New Roman" w:cs="Calibri"/>
                <w:noProof/>
              </w:rPr>
            </w:pPr>
            <w:r>
              <w:rPr>
                <w:noProof/>
              </w:rPr>
              <w:t>70</w:t>
            </w:r>
          </w:p>
        </w:tc>
        <w:tc>
          <w:tcPr>
            <w:tcW w:w="554" w:type="dxa"/>
            <w:shd w:val="clear" w:color="auto" w:fill="C4EFCE"/>
            <w:noWrap/>
            <w:vAlign w:val="center"/>
            <w:hideMark/>
          </w:tcPr>
          <w:p w14:paraId="05E8D103" w14:textId="77777777"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684" w:type="dxa"/>
            <w:shd w:val="clear" w:color="auto" w:fill="C4EFCE"/>
            <w:noWrap/>
            <w:vAlign w:val="center"/>
            <w:hideMark/>
          </w:tcPr>
          <w:p w14:paraId="4FA70926" w14:textId="77777777" w:rsidR="00A15990" w:rsidRDefault="00686A62">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5616E553" w14:textId="7802FC27" w:rsidR="00A15990" w:rsidRDefault="00686A62">
            <w:pPr>
              <w:pStyle w:val="P68B1DB1-Normal8"/>
              <w:keepNext/>
              <w:spacing w:before="40" w:after="0" w:line="240" w:lineRule="auto"/>
              <w:jc w:val="both"/>
              <w:rPr>
                <w:rFonts w:eastAsia="Times New Roman" w:cs="Calibri"/>
                <w:noProof/>
              </w:rPr>
            </w:pPr>
            <w:r>
              <w:rPr>
                <w:noProof/>
              </w:rPr>
              <w:t>Aprobarea de către DGRM-IFAP (Direcția Generală Resurse Naturale, Siguranță și Servicii Maritime) a rapoartelor finale privind punerea în aplicare a 70 proiecte de sprijinire a inovării, a tranziției energetice și a reducerii impactului asupra mediului pentru entitățile din sectorul pescuitului. DGRM-IFAP măsoară progresele cantitative în raport cu obiectivele specifice convenite atunci când finanțarea de bază a fost alocată în urma a două proceduri de ofertare organizate de DGRM-IFAP și prevăzute a fi lansate în 2021 și 2022</w:t>
            </w:r>
            <w:r>
              <w:rPr>
                <w:noProof/>
                <w:shd w:val="clear" w:color="auto" w:fill="E6E6E6"/>
              </w:rPr>
              <w:t>.</w:t>
            </w:r>
          </w:p>
        </w:tc>
      </w:tr>
      <w:tr w:rsidR="00A15990" w14:paraId="7741B9D8" w14:textId="77777777">
        <w:trPr>
          <w:trHeight w:val="630"/>
          <w:jc w:val="center"/>
        </w:trPr>
        <w:tc>
          <w:tcPr>
            <w:tcW w:w="1101" w:type="dxa"/>
            <w:shd w:val="clear" w:color="auto" w:fill="C4EFCE"/>
            <w:vAlign w:val="center"/>
            <w:hideMark/>
          </w:tcPr>
          <w:p w14:paraId="39E27BD5" w14:textId="77777777" w:rsidR="00A15990" w:rsidRDefault="00686A62">
            <w:pPr>
              <w:pStyle w:val="P68B1DB1-Normal7"/>
              <w:keepNext/>
              <w:spacing w:before="40" w:after="0" w:line="240" w:lineRule="auto"/>
              <w:jc w:val="center"/>
              <w:rPr>
                <w:rFonts w:eastAsia="Times New Roman" w:cs="Calibri"/>
                <w:noProof/>
              </w:rPr>
            </w:pPr>
            <w:r>
              <w:rPr>
                <w:noProof/>
              </w:rPr>
              <w:t>10.8</w:t>
            </w:r>
          </w:p>
        </w:tc>
        <w:tc>
          <w:tcPr>
            <w:tcW w:w="1231" w:type="dxa"/>
            <w:shd w:val="clear" w:color="auto" w:fill="C4EFCE"/>
            <w:noWrap/>
            <w:vAlign w:val="center"/>
            <w:hideMark/>
          </w:tcPr>
          <w:p w14:paraId="40B57651" w14:textId="77777777" w:rsidR="00A15990" w:rsidRDefault="00686A62">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C88D666" w14:textId="77777777" w:rsidR="00A15990" w:rsidRDefault="00686A62">
            <w:pPr>
              <w:pStyle w:val="P68B1DB1-Normal8"/>
              <w:keepNext/>
              <w:spacing w:before="40" w:after="0" w:line="240" w:lineRule="auto"/>
              <w:jc w:val="center"/>
              <w:rPr>
                <w:rFonts w:eastAsia="Times New Roman" w:cs="Calibri"/>
                <w:noProof/>
              </w:rPr>
            </w:pPr>
            <w:r>
              <w:rPr>
                <w:noProof/>
              </w:rPr>
              <w:t>M</w:t>
            </w:r>
          </w:p>
        </w:tc>
        <w:tc>
          <w:tcPr>
            <w:tcW w:w="1640" w:type="dxa"/>
            <w:shd w:val="clear" w:color="auto" w:fill="C4EFCE"/>
            <w:noWrap/>
            <w:vAlign w:val="center"/>
            <w:hideMark/>
          </w:tcPr>
          <w:p w14:paraId="7895B9C7" w14:textId="2C5299C6" w:rsidR="00A15990" w:rsidRDefault="00686A62">
            <w:pPr>
              <w:pStyle w:val="P68B1DB1-Normal8"/>
              <w:keepNext/>
              <w:spacing w:before="40" w:after="0" w:line="240" w:lineRule="auto"/>
              <w:jc w:val="center"/>
              <w:rPr>
                <w:rFonts w:eastAsia="Times New Roman" w:cs="Calibri"/>
                <w:noProof/>
              </w:rPr>
            </w:pPr>
            <w:r>
              <w:rPr>
                <w:noProof/>
              </w:rPr>
              <w:t>Începerea contractului de lucrări publice pentru centrul tehnic MARTEC</w:t>
            </w:r>
          </w:p>
        </w:tc>
        <w:tc>
          <w:tcPr>
            <w:tcW w:w="1231" w:type="dxa"/>
            <w:shd w:val="clear" w:color="auto" w:fill="C4EFCE"/>
            <w:noWrap/>
            <w:vAlign w:val="center"/>
            <w:hideMark/>
          </w:tcPr>
          <w:p w14:paraId="23050660" w14:textId="1D88FF3D" w:rsidR="00A15990" w:rsidRDefault="00686A62">
            <w:pPr>
              <w:pStyle w:val="P68B1DB1-Normal8"/>
              <w:keepNext/>
              <w:spacing w:before="40" w:after="0" w:line="240" w:lineRule="auto"/>
              <w:jc w:val="center"/>
              <w:rPr>
                <w:rFonts w:eastAsia="Times New Roman" w:cs="Calibri"/>
                <w:noProof/>
              </w:rPr>
            </w:pPr>
            <w:r>
              <w:rPr>
                <w:noProof/>
              </w:rPr>
              <w:t>Începerea lucrărilor de construcție pentru centrul tehnic MARTEC</w:t>
            </w:r>
          </w:p>
        </w:tc>
        <w:tc>
          <w:tcPr>
            <w:tcW w:w="962" w:type="dxa"/>
            <w:shd w:val="clear" w:color="auto" w:fill="C4EFCE"/>
            <w:noWrap/>
            <w:vAlign w:val="center"/>
            <w:hideMark/>
          </w:tcPr>
          <w:p w14:paraId="12D246C0"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27F0FE3B"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355E60A"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7166E7D8" w14:textId="77777777"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684" w:type="dxa"/>
            <w:shd w:val="clear" w:color="auto" w:fill="C4EFCE"/>
            <w:noWrap/>
            <w:vAlign w:val="center"/>
            <w:hideMark/>
          </w:tcPr>
          <w:p w14:paraId="13D93DFC" w14:textId="0E0F7803" w:rsidR="00A15990" w:rsidRDefault="00686A62">
            <w:pPr>
              <w:pStyle w:val="P68B1DB1-Normal8"/>
              <w:keepNext/>
              <w:spacing w:before="40" w:after="0" w:line="240" w:lineRule="auto"/>
              <w:jc w:val="center"/>
              <w:rPr>
                <w:rFonts w:eastAsia="Times New Roman" w:cs="Calibri"/>
                <w:noProof/>
              </w:rPr>
            </w:pPr>
            <w:r>
              <w:rPr>
                <w:noProof/>
              </w:rPr>
              <w:t>2023</w:t>
            </w:r>
          </w:p>
        </w:tc>
        <w:tc>
          <w:tcPr>
            <w:tcW w:w="5223" w:type="dxa"/>
            <w:shd w:val="clear" w:color="auto" w:fill="C4EFCE"/>
            <w:vAlign w:val="center"/>
            <w:hideMark/>
          </w:tcPr>
          <w:p w14:paraId="7652F711" w14:textId="77777777" w:rsidR="00A15990" w:rsidRDefault="00686A62">
            <w:pPr>
              <w:pStyle w:val="P68B1DB1-Normal8"/>
              <w:keepNext/>
              <w:spacing w:before="40" w:after="0" w:line="240" w:lineRule="auto"/>
              <w:jc w:val="both"/>
              <w:rPr>
                <w:rFonts w:eastAsia="Times New Roman" w:cs="Calibri"/>
                <w:noProof/>
              </w:rPr>
            </w:pPr>
            <w:r>
              <w:rPr>
                <w:noProof/>
              </w:rPr>
              <w:t xml:space="preserve">Începerea lucrărilor de construcție a infrastructurii pentru Technopolo MARTEC (inclusiv achiziționarea de terenuri și demolarea infrastructurii existente) pe insula Faial, care va fi finalizată în 2025 ca parte a centrului experimental și de dezvoltare legat de Marea Azore. </w:t>
            </w:r>
          </w:p>
          <w:p w14:paraId="6E6AE8E6" w14:textId="77777777" w:rsidR="00A15990" w:rsidRDefault="00686A62">
            <w:pPr>
              <w:pStyle w:val="P68B1DB1-Normal8"/>
              <w:keepNext/>
              <w:spacing w:before="40" w:after="0" w:line="240" w:lineRule="auto"/>
              <w:jc w:val="both"/>
              <w:rPr>
                <w:rFonts w:eastAsia="Times New Roman" w:cs="Calibri"/>
                <w:noProof/>
              </w:rPr>
            </w:pPr>
            <w:r>
              <w:rPr>
                <w:noProof/>
              </w:rPr>
              <w:t>Acesta include un incubator albastru (cu cel puțin 6 500 m²), un centru de acvacultură (cel puțin 2 000 m²) și echipamentul necesar (echipament general, plus instalarea unui centru experimental și a unei stații pentru cercetarea în domeniul acvaculturii, printre altele).</w:t>
            </w:r>
          </w:p>
          <w:p w14:paraId="102BB169" w14:textId="1675BC9D" w:rsidR="00A15990" w:rsidRDefault="00686A62">
            <w:pPr>
              <w:pStyle w:val="P68B1DB1-Normal8"/>
              <w:keepNext/>
              <w:spacing w:before="40" w:after="0" w:line="240" w:lineRule="auto"/>
              <w:jc w:val="both"/>
              <w:rPr>
                <w:rFonts w:eastAsia="Times New Roman" w:cs="Calibri"/>
                <w:noProof/>
              </w:rPr>
            </w:pPr>
            <w:r>
              <w:rPr>
                <w:noProof/>
              </w:rPr>
              <w:t>Clădirile noi trebuie să aibă o cerere de energie primară cu cel puțin 20 % sub cerințele clădirilor al căror consum de energie este aproape egal cu zero.</w:t>
            </w:r>
          </w:p>
        </w:tc>
      </w:tr>
      <w:tr w:rsidR="00A15990" w14:paraId="5F9977DC" w14:textId="77777777">
        <w:trPr>
          <w:trHeight w:val="1060"/>
          <w:jc w:val="center"/>
        </w:trPr>
        <w:tc>
          <w:tcPr>
            <w:tcW w:w="1101" w:type="dxa"/>
            <w:shd w:val="clear" w:color="auto" w:fill="C4EFCE"/>
            <w:vAlign w:val="center"/>
            <w:hideMark/>
          </w:tcPr>
          <w:p w14:paraId="5F48BC21" w14:textId="77777777" w:rsidR="00A15990" w:rsidRDefault="00686A62">
            <w:pPr>
              <w:pStyle w:val="P68B1DB1-Normal7"/>
              <w:keepNext/>
              <w:spacing w:before="40" w:after="0" w:line="240" w:lineRule="auto"/>
              <w:jc w:val="center"/>
              <w:rPr>
                <w:rFonts w:eastAsia="Times New Roman" w:cs="Calibri"/>
                <w:noProof/>
              </w:rPr>
            </w:pPr>
            <w:r>
              <w:rPr>
                <w:noProof/>
              </w:rPr>
              <w:t>10.9</w:t>
            </w:r>
          </w:p>
        </w:tc>
        <w:tc>
          <w:tcPr>
            <w:tcW w:w="1231" w:type="dxa"/>
            <w:shd w:val="clear" w:color="auto" w:fill="C4EFCE"/>
            <w:noWrap/>
            <w:vAlign w:val="center"/>
            <w:hideMark/>
          </w:tcPr>
          <w:p w14:paraId="04663115" w14:textId="77777777" w:rsidR="00A15990" w:rsidRDefault="00686A62">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5F75A61A" w14:textId="77777777" w:rsidR="00A15990" w:rsidRDefault="00686A62">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3F722B7B" w14:textId="77777777" w:rsidR="00A15990" w:rsidRDefault="00686A62">
            <w:pPr>
              <w:pStyle w:val="P68B1DB1-Normal8"/>
              <w:keepNext/>
              <w:spacing w:before="40" w:after="0" w:line="240" w:lineRule="auto"/>
              <w:jc w:val="center"/>
              <w:rPr>
                <w:rFonts w:eastAsia="Times New Roman" w:cs="Calibri"/>
                <w:noProof/>
              </w:rPr>
            </w:pPr>
            <w:r>
              <w:rPr>
                <w:noProof/>
              </w:rPr>
              <w:t xml:space="preserve">Livrarea unei nave de cercetare </w:t>
            </w:r>
          </w:p>
        </w:tc>
        <w:tc>
          <w:tcPr>
            <w:tcW w:w="1231" w:type="dxa"/>
            <w:shd w:val="clear" w:color="auto" w:fill="C4EFCE"/>
            <w:noWrap/>
            <w:vAlign w:val="center"/>
            <w:hideMark/>
          </w:tcPr>
          <w:p w14:paraId="19FAE713" w14:textId="77777777" w:rsidR="00A15990" w:rsidRDefault="00686A62">
            <w:pPr>
              <w:pStyle w:val="P68B1DB1-Normal8"/>
              <w:keepNext/>
              <w:spacing w:before="40" w:after="0" w:line="240" w:lineRule="auto"/>
              <w:jc w:val="center"/>
              <w:rPr>
                <w:rFonts w:eastAsia="Times New Roman" w:cs="Calibri"/>
                <w:noProof/>
              </w:rPr>
            </w:pPr>
            <w:r>
              <w:rPr>
                <w:noProof/>
              </w:rPr>
              <w:t xml:space="preserve"> Livrarea navei de cercetare</w:t>
            </w:r>
          </w:p>
        </w:tc>
        <w:tc>
          <w:tcPr>
            <w:tcW w:w="962" w:type="dxa"/>
            <w:shd w:val="clear" w:color="auto" w:fill="C4EFCE"/>
            <w:noWrap/>
            <w:vAlign w:val="center"/>
            <w:hideMark/>
          </w:tcPr>
          <w:p w14:paraId="497F9221"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3E15C7BE"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49C9000"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654D30E1" w14:textId="027BD054"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684" w:type="dxa"/>
            <w:shd w:val="clear" w:color="auto" w:fill="C4EFCE"/>
            <w:noWrap/>
            <w:vAlign w:val="center"/>
            <w:hideMark/>
          </w:tcPr>
          <w:p w14:paraId="5D59229F" w14:textId="1FE12986" w:rsidR="00A15990" w:rsidRDefault="00686A62">
            <w:pPr>
              <w:pStyle w:val="P68B1DB1-Normal8"/>
              <w:keepNext/>
              <w:spacing w:before="40" w:after="0" w:line="240" w:lineRule="auto"/>
              <w:jc w:val="center"/>
              <w:rPr>
                <w:rFonts w:eastAsia="Times New Roman" w:cs="Calibri"/>
                <w:noProof/>
              </w:rPr>
            </w:pPr>
            <w:r>
              <w:rPr>
                <w:noProof/>
              </w:rPr>
              <w:t>2025</w:t>
            </w:r>
          </w:p>
        </w:tc>
        <w:tc>
          <w:tcPr>
            <w:tcW w:w="5223" w:type="dxa"/>
            <w:shd w:val="clear" w:color="auto" w:fill="C4EFCE"/>
            <w:vAlign w:val="center"/>
            <w:hideMark/>
          </w:tcPr>
          <w:p w14:paraId="3F920368" w14:textId="7AA2937D" w:rsidR="00A15990" w:rsidRDefault="00686A62">
            <w:pPr>
              <w:pStyle w:val="P68B1DB1-Normal8"/>
              <w:keepNext/>
              <w:spacing w:before="40" w:after="0" w:line="240" w:lineRule="auto"/>
              <w:jc w:val="both"/>
              <w:rPr>
                <w:rFonts w:eastAsia="Times New Roman" w:cs="Calibri"/>
                <w:noProof/>
              </w:rPr>
            </w:pPr>
            <w:r>
              <w:rPr>
                <w:noProof/>
              </w:rPr>
              <w:t>Livrarea unei nave moderne de cercetare. Acesta trebuie să poată funcționa la adâncimi mari, să includă echipamente moderne de cercetare și comunicare a datelor, poziționare dinamică, capabile să opereze vehicule de control la distanță, rețele pelagice, drage, aparate de cutie, cu standarde tehnologice înalte în ceea ce privește capacitățile și echipamentele cu performanțe energetice ridicate, pentru a răspunde nevoilor actuale în domeniul cercetării marine și al monitorizării sau al promovării utilizării durabile a oceanelor.</w:t>
            </w:r>
          </w:p>
        </w:tc>
      </w:tr>
      <w:tr w:rsidR="00A15990" w14:paraId="622F6723" w14:textId="77777777">
        <w:trPr>
          <w:trHeight w:val="1060"/>
          <w:jc w:val="center"/>
        </w:trPr>
        <w:tc>
          <w:tcPr>
            <w:tcW w:w="1101" w:type="dxa"/>
            <w:shd w:val="clear" w:color="auto" w:fill="C4EFCE"/>
            <w:vAlign w:val="center"/>
          </w:tcPr>
          <w:p w14:paraId="42689895" w14:textId="717581FE" w:rsidR="00A15990" w:rsidRDefault="00686A62">
            <w:pPr>
              <w:pStyle w:val="P68B1DB1-Normal11"/>
              <w:keepNext/>
              <w:spacing w:before="40" w:after="0" w:line="240" w:lineRule="auto"/>
              <w:jc w:val="center"/>
              <w:rPr>
                <w:rFonts w:eastAsia="Times New Roman"/>
                <w:noProof/>
              </w:rPr>
            </w:pPr>
            <w:r>
              <w:rPr>
                <w:noProof/>
              </w:rPr>
              <w:t>10.11</w:t>
            </w:r>
          </w:p>
        </w:tc>
        <w:tc>
          <w:tcPr>
            <w:tcW w:w="1231" w:type="dxa"/>
            <w:shd w:val="clear" w:color="auto" w:fill="C4EFCE"/>
            <w:noWrap/>
            <w:vAlign w:val="center"/>
          </w:tcPr>
          <w:p w14:paraId="41B255A2" w14:textId="2496DE23" w:rsidR="00A15990" w:rsidRDefault="00686A62">
            <w:pPr>
              <w:pStyle w:val="P68B1DB1-Normal12"/>
              <w:keepNext/>
              <w:spacing w:before="40" w:after="0" w:line="240" w:lineRule="auto"/>
              <w:jc w:val="center"/>
              <w:rPr>
                <w:rFonts w:eastAsia="Times New Roman" w:cstheme="minorHAnsi"/>
                <w:noProof/>
              </w:rPr>
            </w:pPr>
            <w:r>
              <w:rPr>
                <w:noProof/>
              </w:rPr>
              <w:t xml:space="preserve"> TC-C10-i04-RAA</w:t>
            </w:r>
          </w:p>
        </w:tc>
        <w:tc>
          <w:tcPr>
            <w:tcW w:w="1096" w:type="dxa"/>
            <w:shd w:val="clear" w:color="auto" w:fill="C4EFCE"/>
            <w:noWrap/>
            <w:vAlign w:val="center"/>
          </w:tcPr>
          <w:p w14:paraId="718C08F5" w14:textId="0ECD9053" w:rsidR="00A15990" w:rsidRDefault="00686A62">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440886E" w14:textId="5BA56187" w:rsidR="00A15990" w:rsidRDefault="00686A62">
            <w:pPr>
              <w:pStyle w:val="P68B1DB1-Normal12"/>
              <w:keepNext/>
              <w:spacing w:before="40" w:after="0" w:line="240" w:lineRule="auto"/>
              <w:jc w:val="center"/>
              <w:rPr>
                <w:rFonts w:eastAsia="Arial" w:cstheme="minorHAnsi"/>
                <w:noProof/>
              </w:rPr>
            </w:pPr>
            <w:r>
              <w:rPr>
                <w:noProof/>
              </w:rPr>
              <w:t xml:space="preserve">Livrarea a 2 module pentru noua navă de cercetare </w:t>
            </w:r>
          </w:p>
        </w:tc>
        <w:tc>
          <w:tcPr>
            <w:tcW w:w="1231" w:type="dxa"/>
            <w:shd w:val="clear" w:color="auto" w:fill="C4EFCE"/>
            <w:noWrap/>
            <w:vAlign w:val="center"/>
          </w:tcPr>
          <w:p w14:paraId="5ABEAD50" w14:textId="3E3B82CC" w:rsidR="00A15990" w:rsidRDefault="00686A62">
            <w:pPr>
              <w:pStyle w:val="P68B1DB1-Normal12"/>
              <w:keepNext/>
              <w:spacing w:before="40" w:after="0" w:line="240" w:lineRule="auto"/>
              <w:jc w:val="center"/>
              <w:rPr>
                <w:rFonts w:eastAsia="Times New Roman" w:cstheme="minorHAnsi"/>
                <w:noProof/>
              </w:rPr>
            </w:pPr>
            <w:r>
              <w:rPr>
                <w:noProof/>
              </w:rPr>
              <w:t>Livrarea a 2 module pentru noua navă de cercetare</w:t>
            </w:r>
          </w:p>
        </w:tc>
        <w:tc>
          <w:tcPr>
            <w:tcW w:w="962" w:type="dxa"/>
            <w:shd w:val="clear" w:color="auto" w:fill="C4EFCE"/>
            <w:noWrap/>
            <w:vAlign w:val="center"/>
          </w:tcPr>
          <w:p w14:paraId="600BCF98" w14:textId="77777777" w:rsidR="00A15990" w:rsidRDefault="00A15990">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4027EBE3" w14:textId="1E059CAD" w:rsidR="00A15990" w:rsidRDefault="00A15990">
            <w:pPr>
              <w:keepNext/>
              <w:spacing w:before="40" w:after="0" w:line="240" w:lineRule="auto"/>
              <w:jc w:val="center"/>
              <w:rPr>
                <w:rFonts w:cstheme="minorHAnsi"/>
                <w:noProof/>
                <w:sz w:val="16"/>
              </w:rPr>
            </w:pPr>
          </w:p>
        </w:tc>
        <w:tc>
          <w:tcPr>
            <w:tcW w:w="690" w:type="dxa"/>
            <w:shd w:val="clear" w:color="auto" w:fill="C4EFCE"/>
            <w:noWrap/>
            <w:vAlign w:val="center"/>
          </w:tcPr>
          <w:p w14:paraId="56912BFF" w14:textId="585868F2" w:rsidR="00A15990" w:rsidRDefault="00A15990">
            <w:pPr>
              <w:keepNext/>
              <w:spacing w:before="40" w:after="0" w:line="240" w:lineRule="auto"/>
              <w:jc w:val="center"/>
              <w:rPr>
                <w:rFonts w:cstheme="minorHAnsi"/>
                <w:noProof/>
                <w:sz w:val="16"/>
              </w:rPr>
            </w:pPr>
          </w:p>
        </w:tc>
        <w:tc>
          <w:tcPr>
            <w:tcW w:w="554" w:type="dxa"/>
            <w:shd w:val="clear" w:color="auto" w:fill="C4EFCE"/>
            <w:noWrap/>
            <w:vAlign w:val="center"/>
          </w:tcPr>
          <w:p w14:paraId="1A51A8E2" w14:textId="5CF011EB" w:rsidR="00A15990" w:rsidRDefault="00686A62">
            <w:pPr>
              <w:pStyle w:val="P68B1DB1-Normal12"/>
              <w:keepNext/>
              <w:spacing w:before="40" w:after="0" w:line="240" w:lineRule="auto"/>
              <w:jc w:val="center"/>
              <w:rPr>
                <w:rFonts w:eastAsia="Arial" w:cstheme="minorHAnsi"/>
                <w:noProof/>
              </w:rPr>
            </w:pPr>
            <w:r>
              <w:rPr>
                <w:noProof/>
              </w:rPr>
              <w:t>TRIMESTRUL 2</w:t>
            </w:r>
          </w:p>
        </w:tc>
        <w:tc>
          <w:tcPr>
            <w:tcW w:w="684" w:type="dxa"/>
            <w:shd w:val="clear" w:color="auto" w:fill="C4EFCE"/>
            <w:noWrap/>
            <w:vAlign w:val="center"/>
          </w:tcPr>
          <w:p w14:paraId="49C8B85F" w14:textId="00EC4422" w:rsidR="00A15990" w:rsidRDefault="00686A62">
            <w:pPr>
              <w:pStyle w:val="P68B1DB1-Normal12"/>
              <w:keepNext/>
              <w:spacing w:before="40" w:after="0" w:line="240" w:lineRule="auto"/>
              <w:jc w:val="center"/>
              <w:rPr>
                <w:rFonts w:eastAsia="Arial" w:cstheme="minorHAnsi"/>
                <w:noProof/>
              </w:rPr>
            </w:pPr>
            <w:r>
              <w:rPr>
                <w:noProof/>
              </w:rPr>
              <w:t>2026</w:t>
            </w:r>
          </w:p>
        </w:tc>
        <w:tc>
          <w:tcPr>
            <w:tcW w:w="5223" w:type="dxa"/>
            <w:shd w:val="clear" w:color="auto" w:fill="C4EFCE"/>
            <w:vAlign w:val="center"/>
          </w:tcPr>
          <w:p w14:paraId="3455FF49" w14:textId="02FE8514" w:rsidR="00A15990" w:rsidRDefault="00686A62">
            <w:pPr>
              <w:pStyle w:val="P68B1DB1-Normal12"/>
              <w:keepNext/>
              <w:spacing w:before="40" w:after="0" w:line="240" w:lineRule="auto"/>
              <w:jc w:val="both"/>
              <w:rPr>
                <w:rFonts w:eastAsia="Calibri" w:cstheme="minorHAnsi"/>
                <w:noProof/>
              </w:rPr>
            </w:pPr>
            <w:r>
              <w:rPr>
                <w:noProof/>
              </w:rPr>
              <w:t>Livrarea a 2 module pentru cercetarea navelor noi: 1 modulul ROV și 1 Modulul echipamentului de traulare</w:t>
            </w:r>
          </w:p>
        </w:tc>
      </w:tr>
      <w:tr w:rsidR="00A15990" w14:paraId="4ED5D0BF" w14:textId="77777777">
        <w:trPr>
          <w:trHeight w:val="61"/>
          <w:jc w:val="center"/>
        </w:trPr>
        <w:tc>
          <w:tcPr>
            <w:tcW w:w="1101" w:type="dxa"/>
            <w:shd w:val="clear" w:color="auto" w:fill="C4EFCE"/>
            <w:vAlign w:val="center"/>
            <w:hideMark/>
          </w:tcPr>
          <w:p w14:paraId="1D980CEA" w14:textId="4E2C1C4E" w:rsidR="00A15990" w:rsidRDefault="00686A62">
            <w:pPr>
              <w:pStyle w:val="P68B1DB1-Normal7"/>
              <w:keepNext/>
              <w:spacing w:before="40" w:after="0" w:line="240" w:lineRule="auto"/>
              <w:jc w:val="center"/>
              <w:rPr>
                <w:rFonts w:eastAsia="Times New Roman" w:cs="Calibri"/>
                <w:noProof/>
              </w:rPr>
            </w:pPr>
            <w:r>
              <w:rPr>
                <w:noProof/>
              </w:rPr>
              <w:t>10.10</w:t>
            </w:r>
          </w:p>
        </w:tc>
        <w:tc>
          <w:tcPr>
            <w:tcW w:w="1231" w:type="dxa"/>
            <w:shd w:val="clear" w:color="auto" w:fill="C4EFCE"/>
            <w:noWrap/>
            <w:vAlign w:val="center"/>
            <w:hideMark/>
          </w:tcPr>
          <w:p w14:paraId="6D342640" w14:textId="77777777" w:rsidR="00A15990" w:rsidRDefault="00686A62">
            <w:pPr>
              <w:pStyle w:val="P68B1DB1-Normal8"/>
              <w:keepNext/>
              <w:spacing w:before="40" w:after="0" w:line="240" w:lineRule="auto"/>
              <w:jc w:val="center"/>
              <w:rPr>
                <w:rFonts w:eastAsia="Times New Roman" w:cs="Calibri"/>
                <w:noProof/>
              </w:rPr>
            </w:pPr>
            <w:r>
              <w:rPr>
                <w:noProof/>
              </w:rPr>
              <w:t>TC-C10-i04-RAA</w:t>
            </w:r>
          </w:p>
        </w:tc>
        <w:tc>
          <w:tcPr>
            <w:tcW w:w="1096" w:type="dxa"/>
            <w:shd w:val="clear" w:color="auto" w:fill="C4EFCE"/>
            <w:noWrap/>
            <w:vAlign w:val="center"/>
            <w:hideMark/>
          </w:tcPr>
          <w:p w14:paraId="04AC5CC4" w14:textId="77777777" w:rsidR="00A15990" w:rsidRDefault="00686A62">
            <w:pPr>
              <w:pStyle w:val="P68B1DB1-Normal8"/>
              <w:keepNext/>
              <w:spacing w:before="40" w:after="0" w:line="240" w:lineRule="auto"/>
              <w:jc w:val="center"/>
              <w:rPr>
                <w:rFonts w:eastAsia="Times New Roman" w:cs="Calibri"/>
                <w:noProof/>
              </w:rPr>
            </w:pPr>
            <w:r>
              <w:rPr>
                <w:noProof/>
              </w:rPr>
              <w:t xml:space="preserve">M </w:t>
            </w:r>
          </w:p>
        </w:tc>
        <w:tc>
          <w:tcPr>
            <w:tcW w:w="1640" w:type="dxa"/>
            <w:shd w:val="clear" w:color="auto" w:fill="C4EFCE"/>
            <w:noWrap/>
            <w:vAlign w:val="center"/>
            <w:hideMark/>
          </w:tcPr>
          <w:p w14:paraId="636F73E3" w14:textId="16AB0CF0" w:rsidR="00A15990" w:rsidRDefault="00686A62">
            <w:pPr>
              <w:pStyle w:val="P68B1DB1-Normal8"/>
              <w:keepNext/>
              <w:spacing w:before="40" w:after="0" w:line="240" w:lineRule="auto"/>
              <w:jc w:val="center"/>
              <w:rPr>
                <w:rFonts w:eastAsia="Times New Roman" w:cs="Calibri"/>
                <w:noProof/>
              </w:rPr>
            </w:pPr>
            <w:r>
              <w:rPr>
                <w:noProof/>
              </w:rPr>
              <w:t>Operaționalizarea centrului experimental de cercetare și dezvoltare legat de Marea Azore (centrul MARTEC)</w:t>
            </w:r>
          </w:p>
        </w:tc>
        <w:tc>
          <w:tcPr>
            <w:tcW w:w="1231" w:type="dxa"/>
            <w:shd w:val="clear" w:color="auto" w:fill="C4EFCE"/>
            <w:noWrap/>
            <w:vAlign w:val="center"/>
            <w:hideMark/>
          </w:tcPr>
          <w:p w14:paraId="45BDBD81" w14:textId="41D58349" w:rsidR="00A15990" w:rsidRDefault="00686A62">
            <w:pPr>
              <w:pStyle w:val="P68B1DB1-Normal8"/>
              <w:keepNext/>
              <w:spacing w:before="40" w:after="0" w:line="240" w:lineRule="auto"/>
              <w:jc w:val="center"/>
              <w:rPr>
                <w:rFonts w:eastAsia="Times New Roman" w:cs="Calibri"/>
                <w:noProof/>
              </w:rPr>
            </w:pPr>
            <w:r>
              <w:rPr>
                <w:noProof/>
              </w:rPr>
              <w:t>Operaționalizarea centrului experimental de cercetare și dezvoltare legat de Marea Azore (centrul MARTEC)</w:t>
            </w:r>
          </w:p>
        </w:tc>
        <w:tc>
          <w:tcPr>
            <w:tcW w:w="962" w:type="dxa"/>
            <w:shd w:val="clear" w:color="auto" w:fill="C4EFCE"/>
            <w:noWrap/>
            <w:vAlign w:val="center"/>
            <w:hideMark/>
          </w:tcPr>
          <w:p w14:paraId="1B1BE93D"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61" w:type="dxa"/>
            <w:shd w:val="clear" w:color="auto" w:fill="C4EFCE"/>
            <w:noWrap/>
            <w:vAlign w:val="center"/>
            <w:hideMark/>
          </w:tcPr>
          <w:p w14:paraId="18CF87CE"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690" w:type="dxa"/>
            <w:shd w:val="clear" w:color="auto" w:fill="C4EFCE"/>
            <w:noWrap/>
            <w:vAlign w:val="center"/>
            <w:hideMark/>
          </w:tcPr>
          <w:p w14:paraId="6C99979D"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54" w:type="dxa"/>
            <w:shd w:val="clear" w:color="auto" w:fill="C4EFCE"/>
            <w:noWrap/>
            <w:vAlign w:val="center"/>
            <w:hideMark/>
          </w:tcPr>
          <w:p w14:paraId="5B5A6190" w14:textId="371A61A9" w:rsidR="00A15990" w:rsidRDefault="00686A62">
            <w:pPr>
              <w:pStyle w:val="P68B1DB1-Normal8"/>
              <w:keepNext/>
              <w:spacing w:before="40" w:after="0" w:line="240" w:lineRule="auto"/>
              <w:jc w:val="center"/>
              <w:rPr>
                <w:rFonts w:eastAsia="Times New Roman" w:cs="Calibri"/>
                <w:noProof/>
              </w:rPr>
            </w:pPr>
            <w:r>
              <w:rPr>
                <w:noProof/>
              </w:rPr>
              <w:t>TRIMESTRUL 2</w:t>
            </w:r>
          </w:p>
        </w:tc>
        <w:tc>
          <w:tcPr>
            <w:tcW w:w="684" w:type="dxa"/>
            <w:shd w:val="clear" w:color="auto" w:fill="C4EFCE"/>
            <w:noWrap/>
            <w:vAlign w:val="center"/>
            <w:hideMark/>
          </w:tcPr>
          <w:p w14:paraId="355DB126" w14:textId="0A215794" w:rsidR="00A15990" w:rsidRDefault="00686A62">
            <w:pPr>
              <w:pStyle w:val="P68B1DB1-Normal8"/>
              <w:keepNext/>
              <w:spacing w:before="40" w:after="0" w:line="240" w:lineRule="auto"/>
              <w:jc w:val="center"/>
              <w:rPr>
                <w:rFonts w:eastAsia="Times New Roman" w:cs="Calibri"/>
                <w:noProof/>
              </w:rPr>
            </w:pPr>
            <w:r>
              <w:rPr>
                <w:noProof/>
              </w:rPr>
              <w:t>2026</w:t>
            </w:r>
          </w:p>
        </w:tc>
        <w:tc>
          <w:tcPr>
            <w:tcW w:w="5223" w:type="dxa"/>
            <w:shd w:val="clear" w:color="auto" w:fill="C4EFCE"/>
            <w:vAlign w:val="center"/>
            <w:hideMark/>
          </w:tcPr>
          <w:p w14:paraId="3E083202" w14:textId="4E0D2C48" w:rsidR="00A15990" w:rsidRDefault="00686A62">
            <w:pPr>
              <w:pStyle w:val="P68B1DB1-Normal9"/>
              <w:keepNext/>
              <w:spacing w:before="40" w:after="0" w:line="240" w:lineRule="auto"/>
              <w:jc w:val="both"/>
              <w:rPr>
                <w:rFonts w:eastAsia="Times New Roman" w:cs="Calibri"/>
                <w:noProof/>
                <w:sz w:val="16"/>
              </w:rPr>
            </w:pPr>
            <w:r>
              <w:rPr>
                <w:noProof/>
                <w:sz w:val="4"/>
              </w:rPr>
              <w:t> </w:t>
            </w:r>
            <w:r>
              <w:rPr>
                <w:noProof/>
                <w:sz w:val="16"/>
              </w:rPr>
              <w:t xml:space="preserve">Crearea și operaționalizarea unui centru experimental de cercetare și dezvoltare legat de mare, care să poată fi partajat cu instituțiile sistemului științific și tehnologic din Azore și cu întreprinderile, care este responsabil de C &amp;Dîn zonele tradiționale și emergente, cum ar fi pescuitul și produsele obținute din pescuit, acvacultura, biotehnologia marină, biomaterialele sau tehnologiile și dispozitivele marine. Operaționalizarea centrului (centrul tehnic MARTEC), centrul va fi situat pe insula Faial. </w:t>
            </w:r>
          </w:p>
          <w:p w14:paraId="6661BE7E" w14:textId="06F54DE1" w:rsidR="00A15990" w:rsidRDefault="00686A62">
            <w:pPr>
              <w:pStyle w:val="P68B1DB1-Normal8"/>
              <w:keepNext/>
              <w:spacing w:before="40" w:after="0" w:line="240" w:lineRule="auto"/>
              <w:jc w:val="both"/>
              <w:rPr>
                <w:rFonts w:eastAsia="Times New Roman" w:cs="Calibri"/>
                <w:noProof/>
              </w:rPr>
            </w:pPr>
            <w:r>
              <w:rPr>
                <w:noProof/>
              </w:rPr>
              <w:t>Clădirile noi trebuie să aibă o cerere de energie primară cu cel puțin 20 % sub cerințele clădirilor al căror consum de energie este aproape egal cu zero.</w:t>
            </w:r>
          </w:p>
        </w:tc>
      </w:tr>
      <w:tr w:rsidR="00A15990" w14:paraId="3E3DE191" w14:textId="77777777">
        <w:trPr>
          <w:trHeight w:val="61"/>
          <w:jc w:val="center"/>
        </w:trPr>
        <w:tc>
          <w:tcPr>
            <w:tcW w:w="1101" w:type="dxa"/>
            <w:shd w:val="clear" w:color="auto" w:fill="C4EFCE"/>
            <w:vAlign w:val="center"/>
          </w:tcPr>
          <w:p w14:paraId="26903038" w14:textId="0E90B29C" w:rsidR="00A15990" w:rsidRDefault="00686A62">
            <w:pPr>
              <w:pStyle w:val="P68B1DB1-Normal11"/>
              <w:keepNext/>
              <w:spacing w:after="0" w:line="240" w:lineRule="auto"/>
              <w:jc w:val="center"/>
              <w:rPr>
                <w:noProof/>
              </w:rPr>
            </w:pPr>
            <w:r>
              <w:rPr>
                <w:noProof/>
              </w:rPr>
              <w:t>10.12</w:t>
            </w:r>
          </w:p>
        </w:tc>
        <w:tc>
          <w:tcPr>
            <w:tcW w:w="1231" w:type="dxa"/>
            <w:shd w:val="clear" w:color="auto" w:fill="C4EFCE"/>
            <w:noWrap/>
            <w:vAlign w:val="center"/>
          </w:tcPr>
          <w:p w14:paraId="0496A8A4" w14:textId="19D8C5CA" w:rsidR="00A15990" w:rsidRDefault="00686A62">
            <w:pPr>
              <w:pStyle w:val="P68B1DB1-Normal12"/>
              <w:keepNext/>
              <w:spacing w:after="0" w:line="240" w:lineRule="auto"/>
              <w:jc w:val="center"/>
              <w:rPr>
                <w:rFonts w:eastAsia="Times New Roman" w:cstheme="minorHAnsi"/>
                <w:noProof/>
              </w:rPr>
            </w:pPr>
            <w:r>
              <w:rPr>
                <w:noProof/>
              </w:rPr>
              <w:t>TC-C10-i05-RAA</w:t>
            </w:r>
          </w:p>
        </w:tc>
        <w:tc>
          <w:tcPr>
            <w:tcW w:w="1096" w:type="dxa"/>
            <w:shd w:val="clear" w:color="auto" w:fill="C4EFCE"/>
            <w:noWrap/>
            <w:vAlign w:val="center"/>
          </w:tcPr>
          <w:p w14:paraId="22D05C51" w14:textId="779F89BB" w:rsidR="00A15990" w:rsidRDefault="00686A62">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2E7266DE" w14:textId="3E73B555" w:rsidR="00A15990" w:rsidRDefault="00686A62">
            <w:pPr>
              <w:pStyle w:val="P68B1DB1-Normal12"/>
              <w:keepNext/>
              <w:spacing w:after="0" w:line="240" w:lineRule="auto"/>
              <w:jc w:val="center"/>
              <w:rPr>
                <w:rFonts w:eastAsia="Times New Roman" w:cstheme="minorHAnsi"/>
                <w:noProof/>
              </w:rPr>
            </w:pPr>
            <w:r>
              <w:rPr>
                <w:noProof/>
              </w:rPr>
              <w:t xml:space="preserve">Finalizarea proiectelor din sectorul pescuitului și acvaculturii </w:t>
            </w:r>
          </w:p>
        </w:tc>
        <w:tc>
          <w:tcPr>
            <w:tcW w:w="1231" w:type="dxa"/>
            <w:shd w:val="clear" w:color="auto" w:fill="C4EFCE"/>
            <w:noWrap/>
            <w:vAlign w:val="center"/>
          </w:tcPr>
          <w:p w14:paraId="75E12B83" w14:textId="77777777" w:rsidR="00A15990" w:rsidRDefault="00A15990">
            <w:pPr>
              <w:keepNext/>
              <w:spacing w:after="0" w:line="240" w:lineRule="auto"/>
              <w:jc w:val="center"/>
              <w:rPr>
                <w:rFonts w:eastAsia="Times New Roman" w:cstheme="minorHAnsi"/>
                <w:noProof/>
                <w:sz w:val="16"/>
              </w:rPr>
            </w:pPr>
          </w:p>
        </w:tc>
        <w:tc>
          <w:tcPr>
            <w:tcW w:w="962" w:type="dxa"/>
            <w:shd w:val="clear" w:color="auto" w:fill="C4EFCE"/>
            <w:noWrap/>
            <w:vAlign w:val="center"/>
          </w:tcPr>
          <w:p w14:paraId="5A4F2AC3" w14:textId="78005504" w:rsidR="00A15990" w:rsidRDefault="00686A62">
            <w:pPr>
              <w:pStyle w:val="P68B1DB1-Normal12"/>
              <w:keepNext/>
              <w:spacing w:after="0" w:line="240" w:lineRule="auto"/>
              <w:jc w:val="center"/>
              <w:rPr>
                <w:rFonts w:eastAsia="Times New Roman" w:cstheme="minorHAnsi"/>
                <w:noProof/>
              </w:rPr>
            </w:pPr>
            <w:r>
              <w:rPr>
                <w:noProof/>
              </w:rPr>
              <w:t>Numărul</w:t>
            </w:r>
          </w:p>
        </w:tc>
        <w:tc>
          <w:tcPr>
            <w:tcW w:w="961" w:type="dxa"/>
            <w:shd w:val="clear" w:color="auto" w:fill="C4EFCE"/>
            <w:noWrap/>
            <w:vAlign w:val="center"/>
          </w:tcPr>
          <w:p w14:paraId="2A286384" w14:textId="3FCA842C" w:rsidR="00A15990" w:rsidRDefault="00686A62">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6A7E8F46" w14:textId="573D606D" w:rsidR="00A15990" w:rsidRDefault="00686A62">
            <w:pPr>
              <w:pStyle w:val="P68B1DB1-Normal12"/>
              <w:keepNext/>
              <w:spacing w:after="0" w:line="240" w:lineRule="auto"/>
              <w:jc w:val="center"/>
              <w:rPr>
                <w:rFonts w:eastAsia="Times New Roman" w:cstheme="minorHAnsi"/>
                <w:noProof/>
              </w:rPr>
            </w:pPr>
            <w:r>
              <w:rPr>
                <w:noProof/>
              </w:rPr>
              <w:t>15</w:t>
            </w:r>
          </w:p>
        </w:tc>
        <w:tc>
          <w:tcPr>
            <w:tcW w:w="554" w:type="dxa"/>
            <w:shd w:val="clear" w:color="auto" w:fill="C4EFCE"/>
            <w:noWrap/>
            <w:vAlign w:val="center"/>
          </w:tcPr>
          <w:p w14:paraId="144B65D8" w14:textId="68A92AA2" w:rsidR="00A15990" w:rsidRDefault="00686A62">
            <w:pPr>
              <w:pStyle w:val="P68B1DB1-Normal12"/>
              <w:keepNext/>
              <w:spacing w:after="0" w:line="240" w:lineRule="auto"/>
              <w:jc w:val="center"/>
              <w:rPr>
                <w:rFonts w:eastAsia="Times New Roman" w:cstheme="minorHAnsi"/>
                <w:noProof/>
              </w:rPr>
            </w:pPr>
            <w:r>
              <w:rPr>
                <w:noProof/>
              </w:rPr>
              <w:t>TRIMESTRUL 1</w:t>
            </w:r>
          </w:p>
        </w:tc>
        <w:tc>
          <w:tcPr>
            <w:tcW w:w="684" w:type="dxa"/>
            <w:shd w:val="clear" w:color="auto" w:fill="C4EFCE"/>
            <w:noWrap/>
            <w:vAlign w:val="center"/>
          </w:tcPr>
          <w:p w14:paraId="2B8EDB26" w14:textId="3CD57E6A" w:rsidR="00A15990" w:rsidRDefault="00686A62">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2BBD1A35" w14:textId="6A68B2CD" w:rsidR="00A15990" w:rsidRDefault="00686A62">
            <w:pPr>
              <w:pStyle w:val="P68B1DB1-Normal12"/>
              <w:keepNext/>
              <w:spacing w:after="0" w:line="240" w:lineRule="auto"/>
              <w:jc w:val="both"/>
              <w:rPr>
                <w:noProof/>
              </w:rPr>
            </w:pPr>
            <w:r>
              <w:rPr>
                <w:noProof/>
              </w:rPr>
              <w:t xml:space="preserve">Finalizarea a 15 proiecte privind modernizarea și reînnoirea flotei de pescuit, inovarea în domeniul pescuitului și acvaculturii în vederea îmbunătățirii performanței energetice, modernizarea proceselor, reducerea producției de deșeuri pe mare și promovarea economiei circulare în toate sectoarele pescuitului și acvaculturii, precum și diversificarea activității de pescuit. </w:t>
            </w:r>
          </w:p>
          <w:p w14:paraId="227A05D1" w14:textId="3F225BEF" w:rsidR="00A15990" w:rsidRDefault="00686A62">
            <w:pPr>
              <w:pStyle w:val="P68B1DB1-Normal12"/>
              <w:keepNext/>
              <w:spacing w:after="0" w:line="240" w:lineRule="auto"/>
              <w:jc w:val="both"/>
              <w:rPr>
                <w:rFonts w:eastAsia="Times New Roman" w:cstheme="minorHAnsi"/>
                <w:noProof/>
              </w:rPr>
            </w:pPr>
            <w:r>
              <w:rPr>
                <w:noProof/>
              </w:rPr>
              <w:t>Criteriile de selecție asigură conformitatea cu Orientările tehnice de „a nu prejudicia în mod semnificativ” (2021/C58/01) ale tranzacțiilor sprijinite în cadrul acestei măsuri prin utilizarea unei liste de excludere (astfel cum se prevede în descrierea măsurii) și a cerinței de conformitate cu legislația UE și națională relevantă în materie de mediu.</w:t>
            </w:r>
          </w:p>
        </w:tc>
      </w:tr>
      <w:tr w:rsidR="00A15990" w14:paraId="7AA31F3F" w14:textId="77777777">
        <w:trPr>
          <w:trHeight w:val="61"/>
          <w:jc w:val="center"/>
        </w:trPr>
        <w:tc>
          <w:tcPr>
            <w:tcW w:w="1101" w:type="dxa"/>
            <w:shd w:val="clear" w:color="auto" w:fill="C4EFCE"/>
            <w:vAlign w:val="center"/>
          </w:tcPr>
          <w:p w14:paraId="2FDBE218" w14:textId="6636866D" w:rsidR="00A15990" w:rsidRDefault="00686A62">
            <w:pPr>
              <w:pStyle w:val="P68B1DB1-Normal11"/>
              <w:keepNext/>
              <w:spacing w:before="40" w:after="0" w:line="240" w:lineRule="auto"/>
              <w:jc w:val="center"/>
              <w:rPr>
                <w:noProof/>
              </w:rPr>
            </w:pPr>
            <w:r>
              <w:rPr>
                <w:noProof/>
              </w:rPr>
              <w:t>10.13</w:t>
            </w:r>
          </w:p>
        </w:tc>
        <w:tc>
          <w:tcPr>
            <w:tcW w:w="1231" w:type="dxa"/>
            <w:shd w:val="clear" w:color="auto" w:fill="C4EFCE"/>
            <w:noWrap/>
            <w:vAlign w:val="center"/>
          </w:tcPr>
          <w:p w14:paraId="217D89A3" w14:textId="2D6DE9DE" w:rsidR="00A15990" w:rsidRDefault="00686A62">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681600AA" w14:textId="32CC34AF" w:rsidR="00A15990" w:rsidRDefault="00686A62">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2F245A6B" w14:textId="015E3869" w:rsidR="00A15990" w:rsidRDefault="00686A62">
            <w:pPr>
              <w:pStyle w:val="P68B1DB1-Normal12"/>
              <w:keepNext/>
              <w:spacing w:before="40" w:after="0" w:line="240" w:lineRule="auto"/>
              <w:jc w:val="center"/>
              <w:rPr>
                <w:rFonts w:eastAsia="Times New Roman" w:cstheme="minorHAnsi"/>
                <w:noProof/>
              </w:rPr>
            </w:pPr>
            <w:r>
              <w:rPr>
                <w:noProof/>
              </w:rPr>
              <w:t>Semnarea contractului pentru o navă de cercetare multifuncțională</w:t>
            </w:r>
          </w:p>
        </w:tc>
        <w:tc>
          <w:tcPr>
            <w:tcW w:w="1231" w:type="dxa"/>
            <w:shd w:val="clear" w:color="auto" w:fill="C4EFCE"/>
            <w:noWrap/>
          </w:tcPr>
          <w:p w14:paraId="20AD7A7D" w14:textId="4BE3559E" w:rsidR="00A15990" w:rsidRDefault="00686A62">
            <w:pPr>
              <w:pStyle w:val="P68B1DB1-Normal12"/>
              <w:keepNext/>
              <w:spacing w:before="40" w:after="0" w:line="240" w:lineRule="auto"/>
              <w:jc w:val="center"/>
              <w:rPr>
                <w:rFonts w:eastAsia="Times New Roman" w:cstheme="minorHAnsi"/>
                <w:noProof/>
              </w:rPr>
            </w:pPr>
            <w:r>
              <w:rPr>
                <w:noProof/>
              </w:rPr>
              <w:t>Semnarea contractului pentru o navă de cercetare multifuncțională</w:t>
            </w:r>
          </w:p>
        </w:tc>
        <w:tc>
          <w:tcPr>
            <w:tcW w:w="962" w:type="dxa"/>
            <w:shd w:val="clear" w:color="auto" w:fill="C4EFCE"/>
            <w:noWrap/>
            <w:vAlign w:val="center"/>
          </w:tcPr>
          <w:p w14:paraId="3A40C90E" w14:textId="77777777" w:rsidR="00A15990" w:rsidRDefault="00A15990">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26DE80A" w14:textId="77777777" w:rsidR="00A15990" w:rsidRDefault="00A15990">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2D6BAC30" w14:textId="77777777" w:rsidR="00A15990" w:rsidRDefault="00A15990">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16B97E23" w14:textId="3AF81EB9" w:rsidR="00A15990" w:rsidRDefault="00686A62">
            <w:pPr>
              <w:pStyle w:val="P68B1DB1-Normal12"/>
              <w:keepNext/>
              <w:spacing w:before="40" w:after="0" w:line="240" w:lineRule="auto"/>
              <w:jc w:val="center"/>
              <w:rPr>
                <w:rFonts w:eastAsia="Times New Roman" w:cstheme="minorHAnsi"/>
                <w:noProof/>
              </w:rPr>
            </w:pPr>
            <w:r>
              <w:rPr>
                <w:noProof/>
              </w:rPr>
              <w:t>TRIMESTRUL 2</w:t>
            </w:r>
          </w:p>
        </w:tc>
        <w:tc>
          <w:tcPr>
            <w:tcW w:w="684" w:type="dxa"/>
            <w:shd w:val="clear" w:color="auto" w:fill="C4EFCE"/>
            <w:noWrap/>
            <w:vAlign w:val="center"/>
          </w:tcPr>
          <w:p w14:paraId="6528D03E" w14:textId="5BBF66E9" w:rsidR="00A15990" w:rsidRDefault="00686A62">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8DBF254" w14:textId="4B711299" w:rsidR="00A15990" w:rsidRDefault="00686A62">
            <w:pPr>
              <w:pStyle w:val="P68B1DB1-Bodytext1013"/>
              <w:spacing w:after="0" w:line="240" w:lineRule="auto"/>
              <w:jc w:val="both"/>
              <w:rPr>
                <w:rFonts w:cstheme="minorHAnsi"/>
                <w:noProof/>
              </w:rPr>
            </w:pPr>
            <w:r>
              <w:rPr>
                <w:noProof/>
              </w:rPr>
              <w:t>Semnarea contractului pentru construirea unei nave de cercetare multifuncționale.</w:t>
            </w:r>
          </w:p>
          <w:p w14:paraId="69C9B7F5" w14:textId="2745F682" w:rsidR="00A15990" w:rsidRDefault="00686A62">
            <w:pPr>
              <w:pStyle w:val="P68B1DB1-Bodytext1013"/>
              <w:spacing w:after="0" w:line="240" w:lineRule="auto"/>
              <w:jc w:val="both"/>
              <w:rPr>
                <w:rFonts w:cstheme="minorHAnsi"/>
                <w:noProof/>
              </w:rPr>
            </w:pPr>
            <w:r>
              <w:rPr>
                <w:noProof/>
              </w:rPr>
              <w:t>Mandatul necesită aplicarea condiției aferente principiului DNSH prevăzută în descrierea măsurii.</w:t>
            </w:r>
          </w:p>
        </w:tc>
      </w:tr>
      <w:tr w:rsidR="00A15990" w14:paraId="2A3E48E3" w14:textId="77777777">
        <w:trPr>
          <w:trHeight w:val="61"/>
          <w:jc w:val="center"/>
        </w:trPr>
        <w:tc>
          <w:tcPr>
            <w:tcW w:w="1101" w:type="dxa"/>
            <w:shd w:val="clear" w:color="auto" w:fill="C4EFCE"/>
            <w:vAlign w:val="center"/>
          </w:tcPr>
          <w:p w14:paraId="5F10CBE7" w14:textId="4A79894B" w:rsidR="00A15990" w:rsidRDefault="00686A62">
            <w:pPr>
              <w:pStyle w:val="P68B1DB1-Normal11"/>
              <w:keepNext/>
              <w:spacing w:before="40" w:after="0" w:line="240" w:lineRule="auto"/>
              <w:jc w:val="center"/>
              <w:rPr>
                <w:noProof/>
              </w:rPr>
            </w:pPr>
            <w:r>
              <w:rPr>
                <w:noProof/>
              </w:rPr>
              <w:t>10.14</w:t>
            </w:r>
          </w:p>
        </w:tc>
        <w:tc>
          <w:tcPr>
            <w:tcW w:w="1231" w:type="dxa"/>
            <w:shd w:val="clear" w:color="auto" w:fill="C4EFCE"/>
            <w:noWrap/>
            <w:vAlign w:val="center"/>
          </w:tcPr>
          <w:p w14:paraId="226B4B24" w14:textId="77A8C67B" w:rsidR="00A15990" w:rsidRDefault="00686A62">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92E5EFA" w14:textId="343F1A1A" w:rsidR="00A15990" w:rsidRDefault="00686A62">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52FE4774" w14:textId="73D91BDA" w:rsidR="00A15990" w:rsidRDefault="00686A62">
            <w:pPr>
              <w:pStyle w:val="P68B1DB1-Normal12"/>
              <w:keepNext/>
              <w:spacing w:before="40" w:after="0" w:line="240" w:lineRule="auto"/>
              <w:jc w:val="center"/>
              <w:rPr>
                <w:rFonts w:eastAsia="Times New Roman" w:cstheme="minorHAnsi"/>
                <w:noProof/>
              </w:rPr>
            </w:pPr>
            <w:r>
              <w:rPr>
                <w:noProof/>
              </w:rPr>
              <w:t>Livrarea unei nave de cercetare polivalente eficiente din punct de vedere energetic</w:t>
            </w:r>
          </w:p>
        </w:tc>
        <w:tc>
          <w:tcPr>
            <w:tcW w:w="1231" w:type="dxa"/>
            <w:shd w:val="clear" w:color="auto" w:fill="C4EFCE"/>
            <w:noWrap/>
            <w:vAlign w:val="center"/>
          </w:tcPr>
          <w:p w14:paraId="0008148C" w14:textId="6B0E742D" w:rsidR="00A15990" w:rsidRDefault="00686A62">
            <w:pPr>
              <w:pStyle w:val="P68B1DB1-Normal12"/>
              <w:keepNext/>
              <w:spacing w:before="40" w:after="0" w:line="240" w:lineRule="auto"/>
              <w:jc w:val="center"/>
              <w:rPr>
                <w:rFonts w:eastAsia="Times New Roman" w:cstheme="minorHAnsi"/>
                <w:noProof/>
              </w:rPr>
            </w:pPr>
            <w:r>
              <w:rPr>
                <w:noProof/>
              </w:rPr>
              <w:t>Livrarea navei de cercetare polivalente</w:t>
            </w:r>
          </w:p>
        </w:tc>
        <w:tc>
          <w:tcPr>
            <w:tcW w:w="962" w:type="dxa"/>
            <w:shd w:val="clear" w:color="auto" w:fill="C4EFCE"/>
            <w:noWrap/>
            <w:vAlign w:val="center"/>
          </w:tcPr>
          <w:p w14:paraId="5108E572" w14:textId="77777777" w:rsidR="00A15990" w:rsidRDefault="00A15990">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5D573528" w14:textId="77777777" w:rsidR="00A15990" w:rsidRDefault="00A15990">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59F38D6" w14:textId="77777777" w:rsidR="00A15990" w:rsidRDefault="00A15990">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78546CDD" w14:textId="248BD776" w:rsidR="00A15990" w:rsidRDefault="00686A62">
            <w:pPr>
              <w:pStyle w:val="P68B1DB1-Normal12"/>
              <w:keepNext/>
              <w:spacing w:before="40" w:after="0" w:line="240" w:lineRule="auto"/>
              <w:jc w:val="center"/>
              <w:rPr>
                <w:rFonts w:eastAsia="Times New Roman" w:cstheme="minorHAnsi"/>
                <w:noProof/>
              </w:rPr>
            </w:pPr>
            <w:r>
              <w:rPr>
                <w:noProof/>
              </w:rPr>
              <w:t>TRIMESTRUL 2</w:t>
            </w:r>
          </w:p>
        </w:tc>
        <w:tc>
          <w:tcPr>
            <w:tcW w:w="684" w:type="dxa"/>
            <w:shd w:val="clear" w:color="auto" w:fill="C4EFCE"/>
            <w:noWrap/>
            <w:vAlign w:val="center"/>
          </w:tcPr>
          <w:p w14:paraId="59E155B1" w14:textId="23D5A01D" w:rsidR="00A15990" w:rsidRDefault="00686A62">
            <w:pPr>
              <w:pStyle w:val="P68B1DB1-Normal12"/>
              <w:keepNext/>
              <w:spacing w:before="40" w:after="0" w:line="240" w:lineRule="auto"/>
              <w:jc w:val="center"/>
              <w:rPr>
                <w:rFonts w:eastAsia="Times New Roman" w:cstheme="minorHAnsi"/>
                <w:noProof/>
              </w:rPr>
            </w:pPr>
            <w:r>
              <w:rPr>
                <w:noProof/>
              </w:rPr>
              <w:t>2026</w:t>
            </w:r>
          </w:p>
        </w:tc>
        <w:tc>
          <w:tcPr>
            <w:tcW w:w="5223" w:type="dxa"/>
            <w:shd w:val="clear" w:color="auto" w:fill="C4EFCE"/>
            <w:vAlign w:val="center"/>
          </w:tcPr>
          <w:p w14:paraId="34A1476F" w14:textId="225C975F" w:rsidR="00A15990" w:rsidRDefault="00686A62">
            <w:pPr>
              <w:pStyle w:val="P68B1DB1-Normal12"/>
              <w:keepNext/>
              <w:spacing w:before="40" w:after="0" w:line="240" w:lineRule="auto"/>
              <w:jc w:val="both"/>
              <w:rPr>
                <w:rFonts w:eastAsia="Times New Roman" w:cstheme="minorHAnsi"/>
                <w:noProof/>
              </w:rPr>
            </w:pPr>
            <w:r>
              <w:rPr>
                <w:noProof/>
              </w:rPr>
              <w:t xml:space="preserve">Livrarea unei nave de cercetare polivalente eficiente din punct de vedere energetic. Aceasta trebuie să poată opera în apele de mică adâncime ale Regiunii Autonome Madeira din jurul insulelor arhipelagului, precum și în largul mării. </w:t>
            </w:r>
          </w:p>
        </w:tc>
      </w:tr>
      <w:tr w:rsidR="00A15990" w14:paraId="091A1A6A" w14:textId="77777777">
        <w:trPr>
          <w:trHeight w:val="61"/>
          <w:jc w:val="center"/>
        </w:trPr>
        <w:tc>
          <w:tcPr>
            <w:tcW w:w="1101" w:type="dxa"/>
            <w:shd w:val="clear" w:color="auto" w:fill="C4EFCE"/>
            <w:vAlign w:val="center"/>
          </w:tcPr>
          <w:p w14:paraId="411A72EE" w14:textId="6F64B9D4" w:rsidR="00A15990" w:rsidRDefault="00686A62">
            <w:pPr>
              <w:pStyle w:val="P68B1DB1-Normal11"/>
              <w:keepNext/>
              <w:spacing w:before="40" w:after="0" w:line="240" w:lineRule="auto"/>
              <w:jc w:val="center"/>
              <w:rPr>
                <w:noProof/>
              </w:rPr>
            </w:pPr>
            <w:r>
              <w:rPr>
                <w:noProof/>
              </w:rPr>
              <w:t>10.15</w:t>
            </w:r>
          </w:p>
        </w:tc>
        <w:tc>
          <w:tcPr>
            <w:tcW w:w="1231" w:type="dxa"/>
            <w:shd w:val="clear" w:color="auto" w:fill="C4EFCE"/>
            <w:noWrap/>
            <w:vAlign w:val="center"/>
          </w:tcPr>
          <w:p w14:paraId="2EB7E203" w14:textId="651B5F2E" w:rsidR="00A15990" w:rsidRDefault="00686A62">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5F6666DA" w14:textId="7D095AF5" w:rsidR="00A15990" w:rsidRDefault="00686A62">
            <w:pPr>
              <w:pStyle w:val="P68B1DB1-Normal12"/>
              <w:keepNext/>
              <w:spacing w:before="40" w:after="0" w:line="240" w:lineRule="auto"/>
              <w:jc w:val="center"/>
              <w:rPr>
                <w:rFonts w:eastAsia="Times New Roman" w:cstheme="minorHAnsi"/>
                <w:noProof/>
              </w:rPr>
            </w:pPr>
            <w:r>
              <w:rPr>
                <w:noProof/>
              </w:rPr>
              <w:t>T</w:t>
            </w:r>
          </w:p>
        </w:tc>
        <w:tc>
          <w:tcPr>
            <w:tcW w:w="1640" w:type="dxa"/>
            <w:shd w:val="clear" w:color="auto" w:fill="C4EFCE"/>
            <w:noWrap/>
            <w:vAlign w:val="center"/>
          </w:tcPr>
          <w:p w14:paraId="7684AA42" w14:textId="6AF3654F" w:rsidR="00A15990" w:rsidRDefault="00686A62">
            <w:pPr>
              <w:pStyle w:val="P68B1DB1-Normal12"/>
              <w:keepNext/>
              <w:spacing w:before="40" w:after="0" w:line="240" w:lineRule="auto"/>
              <w:jc w:val="center"/>
              <w:rPr>
                <w:rFonts w:eastAsia="Times New Roman" w:cstheme="minorHAnsi"/>
                <w:noProof/>
              </w:rPr>
            </w:pPr>
            <w:r>
              <w:rPr>
                <w:noProof/>
              </w:rPr>
              <w:t>Livrarea a două vehicule autonome fără pilot</w:t>
            </w:r>
          </w:p>
        </w:tc>
        <w:tc>
          <w:tcPr>
            <w:tcW w:w="1231" w:type="dxa"/>
            <w:shd w:val="clear" w:color="auto" w:fill="C4EFCE"/>
            <w:noWrap/>
            <w:vAlign w:val="center"/>
          </w:tcPr>
          <w:p w14:paraId="5A84A9D9" w14:textId="16826EBA" w:rsidR="00A15990" w:rsidRDefault="00686A62">
            <w:pPr>
              <w:pStyle w:val="P68B1DB1-Normal12"/>
              <w:keepNext/>
              <w:spacing w:before="40" w:after="0" w:line="240" w:lineRule="auto"/>
              <w:jc w:val="center"/>
              <w:rPr>
                <w:rFonts w:eastAsia="Times New Roman" w:cstheme="minorHAnsi"/>
                <w:noProof/>
              </w:rPr>
            </w:pPr>
            <w:r>
              <w:rPr>
                <w:noProof/>
              </w:rPr>
              <w:t xml:space="preserve">Livrarea a două vehicule autonome </w:t>
            </w:r>
          </w:p>
        </w:tc>
        <w:tc>
          <w:tcPr>
            <w:tcW w:w="962" w:type="dxa"/>
            <w:shd w:val="clear" w:color="auto" w:fill="C4EFCE"/>
            <w:noWrap/>
            <w:vAlign w:val="center"/>
          </w:tcPr>
          <w:p w14:paraId="2E74DE0C" w14:textId="24DEA61F" w:rsidR="00A15990" w:rsidRDefault="00686A62">
            <w:pPr>
              <w:pStyle w:val="P68B1DB1-Normal12"/>
              <w:keepNext/>
              <w:spacing w:before="40" w:after="0" w:line="240" w:lineRule="auto"/>
              <w:jc w:val="center"/>
              <w:rPr>
                <w:rFonts w:eastAsia="Times New Roman" w:cstheme="minorHAnsi"/>
                <w:noProof/>
              </w:rPr>
            </w:pPr>
            <w:r>
              <w:rPr>
                <w:noProof/>
              </w:rPr>
              <w:t>Numărul</w:t>
            </w:r>
          </w:p>
        </w:tc>
        <w:tc>
          <w:tcPr>
            <w:tcW w:w="961" w:type="dxa"/>
            <w:shd w:val="clear" w:color="auto" w:fill="C4EFCE"/>
            <w:noWrap/>
            <w:vAlign w:val="center"/>
          </w:tcPr>
          <w:p w14:paraId="547741A2" w14:textId="0C97B0DB" w:rsidR="00A15990" w:rsidRDefault="00686A62">
            <w:pPr>
              <w:pStyle w:val="P68B1DB1-Normal12"/>
              <w:keepNext/>
              <w:spacing w:before="40" w:after="0" w:line="240" w:lineRule="auto"/>
              <w:jc w:val="center"/>
              <w:rPr>
                <w:rFonts w:eastAsia="Times New Roman" w:cstheme="minorHAnsi"/>
                <w:noProof/>
              </w:rPr>
            </w:pPr>
            <w:r>
              <w:rPr>
                <w:noProof/>
              </w:rPr>
              <w:t>0</w:t>
            </w:r>
          </w:p>
        </w:tc>
        <w:tc>
          <w:tcPr>
            <w:tcW w:w="690" w:type="dxa"/>
            <w:shd w:val="clear" w:color="auto" w:fill="C4EFCE"/>
            <w:noWrap/>
            <w:vAlign w:val="center"/>
          </w:tcPr>
          <w:p w14:paraId="7E1DC46E" w14:textId="326880E0" w:rsidR="00A15990" w:rsidRDefault="00686A62">
            <w:pPr>
              <w:pStyle w:val="P68B1DB1-Normal12"/>
              <w:keepNext/>
              <w:spacing w:before="40" w:after="0" w:line="240" w:lineRule="auto"/>
              <w:jc w:val="center"/>
              <w:rPr>
                <w:rFonts w:eastAsia="Times New Roman" w:cstheme="minorHAnsi"/>
                <w:noProof/>
              </w:rPr>
            </w:pPr>
            <w:r>
              <w:rPr>
                <w:noProof/>
              </w:rPr>
              <w:t>2</w:t>
            </w:r>
          </w:p>
        </w:tc>
        <w:tc>
          <w:tcPr>
            <w:tcW w:w="554" w:type="dxa"/>
            <w:shd w:val="clear" w:color="auto" w:fill="C4EFCE"/>
            <w:noWrap/>
            <w:vAlign w:val="center"/>
          </w:tcPr>
          <w:p w14:paraId="5705B555" w14:textId="6E24D781" w:rsidR="00A15990" w:rsidRDefault="00686A62">
            <w:pPr>
              <w:pStyle w:val="P68B1DB1-Normal12"/>
              <w:keepNext/>
              <w:spacing w:before="40" w:after="0" w:line="240" w:lineRule="auto"/>
              <w:jc w:val="center"/>
              <w:rPr>
                <w:rFonts w:eastAsia="Times New Roman" w:cstheme="minorHAnsi"/>
                <w:noProof/>
              </w:rPr>
            </w:pPr>
            <w:r>
              <w:rPr>
                <w:noProof/>
              </w:rPr>
              <w:t>TRIMESTRUL 3</w:t>
            </w:r>
          </w:p>
        </w:tc>
        <w:tc>
          <w:tcPr>
            <w:tcW w:w="684" w:type="dxa"/>
            <w:shd w:val="clear" w:color="auto" w:fill="C4EFCE"/>
            <w:noWrap/>
            <w:vAlign w:val="center"/>
          </w:tcPr>
          <w:p w14:paraId="110A6402" w14:textId="166C70AB" w:rsidR="00A15990" w:rsidRDefault="00686A62">
            <w:pPr>
              <w:pStyle w:val="P68B1DB1-Normal12"/>
              <w:keepNext/>
              <w:spacing w:before="40" w:after="0" w:line="240" w:lineRule="auto"/>
              <w:jc w:val="center"/>
              <w:rPr>
                <w:rFonts w:eastAsia="Times New Roman" w:cstheme="minorHAnsi"/>
                <w:noProof/>
              </w:rPr>
            </w:pPr>
            <w:r>
              <w:rPr>
                <w:noProof/>
              </w:rPr>
              <w:t>2024</w:t>
            </w:r>
          </w:p>
        </w:tc>
        <w:tc>
          <w:tcPr>
            <w:tcW w:w="5223" w:type="dxa"/>
            <w:shd w:val="clear" w:color="auto" w:fill="C4EFCE"/>
            <w:vAlign w:val="center"/>
          </w:tcPr>
          <w:p w14:paraId="592B0CE3" w14:textId="77777777" w:rsidR="00A15990" w:rsidRDefault="00686A62">
            <w:pPr>
              <w:pStyle w:val="P68B1DB1-Bodytext1013"/>
              <w:spacing w:after="0" w:line="240" w:lineRule="auto"/>
              <w:jc w:val="both"/>
              <w:rPr>
                <w:rFonts w:cstheme="minorHAnsi"/>
                <w:noProof/>
              </w:rPr>
            </w:pPr>
            <w:r>
              <w:rPr>
                <w:noProof/>
              </w:rPr>
              <w:t xml:space="preserve">Livrarea a două vehicule autonome fără pilot: </w:t>
            </w:r>
          </w:p>
          <w:p w14:paraId="639A4637" w14:textId="77777777" w:rsidR="00A15990" w:rsidRDefault="00686A62">
            <w:pPr>
              <w:pStyle w:val="P68B1DB1-Bodytext1013"/>
              <w:widowControl/>
              <w:numPr>
                <w:ilvl w:val="0"/>
                <w:numId w:val="79"/>
              </w:numPr>
              <w:spacing w:after="0" w:line="240" w:lineRule="auto"/>
              <w:jc w:val="both"/>
              <w:rPr>
                <w:rFonts w:cstheme="minorHAnsi"/>
                <w:noProof/>
              </w:rPr>
            </w:pPr>
            <w:r>
              <w:rPr>
                <w:noProof/>
              </w:rPr>
              <w:t xml:space="preserve">Vehicul autonom de suprafață (USV) </w:t>
            </w:r>
          </w:p>
          <w:p w14:paraId="56AB6A4E" w14:textId="2C32EDBC" w:rsidR="00A15990" w:rsidRDefault="00686A62">
            <w:pPr>
              <w:pStyle w:val="P68B1DB1-Bodytext1013"/>
              <w:widowControl/>
              <w:numPr>
                <w:ilvl w:val="0"/>
                <w:numId w:val="79"/>
              </w:numPr>
              <w:spacing w:after="0" w:line="240" w:lineRule="auto"/>
              <w:jc w:val="both"/>
              <w:rPr>
                <w:rFonts w:cstheme="minorHAnsi"/>
                <w:noProof/>
              </w:rPr>
            </w:pPr>
            <w:r>
              <w:rPr>
                <w:noProof/>
              </w:rPr>
              <w:t>Vehicul autonom subacvatic (AUV) 1000M</w:t>
            </w:r>
          </w:p>
        </w:tc>
      </w:tr>
      <w:tr w:rsidR="00A15990" w14:paraId="12E1396B" w14:textId="77777777">
        <w:trPr>
          <w:trHeight w:val="61"/>
          <w:jc w:val="center"/>
        </w:trPr>
        <w:tc>
          <w:tcPr>
            <w:tcW w:w="1101" w:type="dxa"/>
            <w:shd w:val="clear" w:color="auto" w:fill="C4EFCE"/>
            <w:vAlign w:val="center"/>
          </w:tcPr>
          <w:p w14:paraId="56FD233F" w14:textId="75E58EAE" w:rsidR="00A15990" w:rsidRDefault="00686A62">
            <w:pPr>
              <w:pStyle w:val="P68B1DB1-Normal11"/>
              <w:keepNext/>
              <w:spacing w:before="40" w:after="0" w:line="240" w:lineRule="auto"/>
              <w:jc w:val="center"/>
              <w:rPr>
                <w:noProof/>
              </w:rPr>
            </w:pPr>
            <w:r>
              <w:rPr>
                <w:noProof/>
              </w:rPr>
              <w:t>10.16</w:t>
            </w:r>
          </w:p>
        </w:tc>
        <w:tc>
          <w:tcPr>
            <w:tcW w:w="1231" w:type="dxa"/>
            <w:shd w:val="clear" w:color="auto" w:fill="C4EFCE"/>
            <w:noWrap/>
            <w:vAlign w:val="center"/>
          </w:tcPr>
          <w:p w14:paraId="483DF909" w14:textId="5978A081" w:rsidR="00A15990" w:rsidRDefault="00686A62">
            <w:pPr>
              <w:pStyle w:val="P68B1DB1-Normal12"/>
              <w:keepNext/>
              <w:spacing w:before="40" w:after="0" w:line="240" w:lineRule="auto"/>
              <w:jc w:val="center"/>
              <w:rPr>
                <w:rFonts w:eastAsia="Times New Roman" w:cstheme="minorHAnsi"/>
                <w:noProof/>
              </w:rPr>
            </w:pPr>
            <w:r>
              <w:rPr>
                <w:noProof/>
              </w:rPr>
              <w:t>TC-C10-i06-RAM</w:t>
            </w:r>
          </w:p>
        </w:tc>
        <w:tc>
          <w:tcPr>
            <w:tcW w:w="1096" w:type="dxa"/>
            <w:shd w:val="clear" w:color="auto" w:fill="C4EFCE"/>
            <w:noWrap/>
            <w:vAlign w:val="center"/>
          </w:tcPr>
          <w:p w14:paraId="0C879D3F" w14:textId="0AE81711" w:rsidR="00A15990" w:rsidRDefault="00686A62">
            <w:pPr>
              <w:pStyle w:val="P68B1DB1-Normal12"/>
              <w:keepNext/>
              <w:spacing w:before="40" w:after="0" w:line="240" w:lineRule="auto"/>
              <w:jc w:val="center"/>
              <w:rPr>
                <w:rFonts w:eastAsia="Times New Roman"/>
                <w:noProof/>
              </w:rPr>
            </w:pPr>
            <w:r>
              <w:rPr>
                <w:noProof/>
              </w:rPr>
              <w:t>M</w:t>
            </w:r>
          </w:p>
        </w:tc>
        <w:tc>
          <w:tcPr>
            <w:tcW w:w="1640" w:type="dxa"/>
            <w:shd w:val="clear" w:color="auto" w:fill="C4EFCE"/>
            <w:noWrap/>
            <w:vAlign w:val="center"/>
          </w:tcPr>
          <w:p w14:paraId="49A83E98" w14:textId="3C7FA536" w:rsidR="00A15990" w:rsidRDefault="00686A62">
            <w:pPr>
              <w:pStyle w:val="P68B1DB1-Normal12"/>
              <w:keepNext/>
              <w:spacing w:before="40" w:after="0" w:line="240" w:lineRule="auto"/>
              <w:jc w:val="center"/>
              <w:rPr>
                <w:rFonts w:eastAsia="Times New Roman" w:cstheme="minorHAnsi"/>
                <w:noProof/>
              </w:rPr>
            </w:pPr>
            <w:r>
              <w:rPr>
                <w:noProof/>
              </w:rPr>
              <w:t>Livrarea de vehicule autonome fără pilot</w:t>
            </w:r>
          </w:p>
        </w:tc>
        <w:tc>
          <w:tcPr>
            <w:tcW w:w="1231" w:type="dxa"/>
            <w:shd w:val="clear" w:color="auto" w:fill="C4EFCE"/>
            <w:noWrap/>
            <w:vAlign w:val="center"/>
          </w:tcPr>
          <w:p w14:paraId="56763CB6" w14:textId="04C99C4E" w:rsidR="00A15990" w:rsidRDefault="00686A62">
            <w:pPr>
              <w:pStyle w:val="P68B1DB1-Normal12"/>
              <w:keepNext/>
              <w:spacing w:before="40" w:after="0" w:line="240" w:lineRule="auto"/>
              <w:jc w:val="center"/>
              <w:rPr>
                <w:rFonts w:eastAsia="Times New Roman" w:cstheme="minorHAnsi"/>
                <w:noProof/>
              </w:rPr>
            </w:pPr>
            <w:r>
              <w:rPr>
                <w:noProof/>
              </w:rPr>
              <w:t>Livrarea de vehicule autonome fără pilot</w:t>
            </w:r>
          </w:p>
        </w:tc>
        <w:tc>
          <w:tcPr>
            <w:tcW w:w="962" w:type="dxa"/>
            <w:shd w:val="clear" w:color="auto" w:fill="C4EFCE"/>
            <w:noWrap/>
            <w:vAlign w:val="center"/>
          </w:tcPr>
          <w:p w14:paraId="1103F6C0" w14:textId="457E077F" w:rsidR="00A15990" w:rsidRDefault="00A15990">
            <w:pPr>
              <w:keepNext/>
              <w:spacing w:before="40" w:after="0" w:line="240" w:lineRule="auto"/>
              <w:jc w:val="center"/>
              <w:rPr>
                <w:rFonts w:eastAsia="Times New Roman" w:cstheme="minorHAnsi"/>
                <w:noProof/>
                <w:sz w:val="16"/>
              </w:rPr>
            </w:pPr>
          </w:p>
        </w:tc>
        <w:tc>
          <w:tcPr>
            <w:tcW w:w="961" w:type="dxa"/>
            <w:shd w:val="clear" w:color="auto" w:fill="C4EFCE"/>
            <w:noWrap/>
            <w:vAlign w:val="center"/>
          </w:tcPr>
          <w:p w14:paraId="601DD50D" w14:textId="0EF25E98" w:rsidR="00A15990" w:rsidRDefault="00A15990">
            <w:pPr>
              <w:keepNext/>
              <w:spacing w:before="40" w:after="0" w:line="240" w:lineRule="auto"/>
              <w:jc w:val="center"/>
              <w:rPr>
                <w:rFonts w:eastAsia="Times New Roman" w:cstheme="minorHAnsi"/>
                <w:noProof/>
                <w:sz w:val="16"/>
              </w:rPr>
            </w:pPr>
          </w:p>
        </w:tc>
        <w:tc>
          <w:tcPr>
            <w:tcW w:w="690" w:type="dxa"/>
            <w:shd w:val="clear" w:color="auto" w:fill="C4EFCE"/>
            <w:noWrap/>
            <w:vAlign w:val="center"/>
          </w:tcPr>
          <w:p w14:paraId="7383417D" w14:textId="03239D54" w:rsidR="00A15990" w:rsidRDefault="00A15990">
            <w:pPr>
              <w:keepNext/>
              <w:spacing w:before="40" w:after="0" w:line="240" w:lineRule="auto"/>
              <w:jc w:val="center"/>
              <w:rPr>
                <w:rFonts w:eastAsia="Times New Roman" w:cstheme="minorHAnsi"/>
                <w:noProof/>
                <w:sz w:val="16"/>
              </w:rPr>
            </w:pPr>
          </w:p>
        </w:tc>
        <w:tc>
          <w:tcPr>
            <w:tcW w:w="554" w:type="dxa"/>
            <w:shd w:val="clear" w:color="auto" w:fill="C4EFCE"/>
            <w:noWrap/>
            <w:vAlign w:val="center"/>
          </w:tcPr>
          <w:p w14:paraId="0D745C96" w14:textId="508646F6" w:rsidR="00A15990" w:rsidRDefault="00686A62">
            <w:pPr>
              <w:pStyle w:val="P68B1DB1-Normal12"/>
              <w:keepNext/>
              <w:spacing w:before="40" w:after="0" w:line="240" w:lineRule="auto"/>
              <w:jc w:val="center"/>
              <w:rPr>
                <w:rFonts w:eastAsia="Times New Roman" w:cstheme="minorHAnsi"/>
                <w:noProof/>
              </w:rPr>
            </w:pPr>
            <w:r>
              <w:rPr>
                <w:noProof/>
              </w:rPr>
              <w:t>TRIMESTRUL 4</w:t>
            </w:r>
          </w:p>
        </w:tc>
        <w:tc>
          <w:tcPr>
            <w:tcW w:w="684" w:type="dxa"/>
            <w:shd w:val="clear" w:color="auto" w:fill="C4EFCE"/>
            <w:noWrap/>
            <w:vAlign w:val="center"/>
          </w:tcPr>
          <w:p w14:paraId="4410A9DA" w14:textId="4A5D18FE" w:rsidR="00A15990" w:rsidRDefault="00686A62">
            <w:pPr>
              <w:pStyle w:val="P68B1DB1-Normal12"/>
              <w:keepNext/>
              <w:spacing w:before="40" w:after="0" w:line="240" w:lineRule="auto"/>
              <w:jc w:val="center"/>
              <w:rPr>
                <w:rFonts w:eastAsia="Times New Roman" w:cstheme="minorHAnsi"/>
                <w:noProof/>
              </w:rPr>
            </w:pPr>
            <w:r>
              <w:rPr>
                <w:noProof/>
              </w:rPr>
              <w:t>2025</w:t>
            </w:r>
          </w:p>
        </w:tc>
        <w:tc>
          <w:tcPr>
            <w:tcW w:w="5223" w:type="dxa"/>
            <w:shd w:val="clear" w:color="auto" w:fill="C4EFCE"/>
            <w:vAlign w:val="center"/>
          </w:tcPr>
          <w:p w14:paraId="4E50F559" w14:textId="7094A901" w:rsidR="00A15990" w:rsidRDefault="00686A62">
            <w:pPr>
              <w:pStyle w:val="P68B1DB1-Normal12"/>
              <w:keepNext/>
              <w:spacing w:before="40" w:after="0" w:line="240" w:lineRule="auto"/>
              <w:jc w:val="both"/>
              <w:rPr>
                <w:rFonts w:eastAsia="Times New Roman" w:cstheme="minorHAnsi"/>
                <w:noProof/>
              </w:rPr>
            </w:pPr>
            <w:r>
              <w:rPr>
                <w:noProof/>
              </w:rPr>
              <w:t xml:space="preserve">Livrarea de vehicule autonome subacvatice fără pilot 6000M. </w:t>
            </w:r>
          </w:p>
        </w:tc>
      </w:tr>
    </w:tbl>
    <w:p w14:paraId="2BA4F9E6" w14:textId="4FDF11B3" w:rsidR="00A15990" w:rsidRDefault="00A15990">
      <w:pPr>
        <w:rPr>
          <w:noProof/>
        </w:rPr>
      </w:pPr>
    </w:p>
    <w:p w14:paraId="57C9C0BA"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4CBC1AE8" w14:textId="378A82D4"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134" w:right="1134" w:bottom="1134" w:left="1134" w:header="567" w:footer="567" w:gutter="0"/>
          <w:cols w:space="720"/>
          <w:docGrid w:linePitch="360"/>
        </w:sectPr>
      </w:pPr>
    </w:p>
    <w:p w14:paraId="29ABB686" w14:textId="06439B4A" w:rsidR="00A15990" w:rsidRDefault="00686A62">
      <w:pPr>
        <w:pStyle w:val="P68B1DB1-Normal3"/>
        <w:spacing w:before="40" w:after="0" w:line="259" w:lineRule="auto"/>
        <w:ind w:left="130" w:firstLine="720"/>
        <w:jc w:val="both"/>
        <w:outlineLvl w:val="2"/>
        <w:rPr>
          <w:rFonts w:eastAsiaTheme="minorEastAsia" w:cs="Times New Roman"/>
          <w:noProof/>
        </w:rPr>
      </w:pPr>
      <w:r>
        <w:rPr>
          <w:noProof/>
        </w:rPr>
        <w:t>J.3. Descrierea reformelor și a investițiilor pentru împrumut</w:t>
      </w:r>
    </w:p>
    <w:p w14:paraId="6F09459D" w14:textId="77777777"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Investiții TC-C10-I03: Centrul de operațiuni de apărare atlantică și platforma navală</w:t>
      </w:r>
    </w:p>
    <w:p w14:paraId="51C079D1" w14:textId="77777777" w:rsidR="00A15990" w:rsidRDefault="00686A62">
      <w:pPr>
        <w:pStyle w:val="P68B1DB1-Normal4"/>
        <w:keepNext/>
        <w:spacing w:before="40" w:after="0" w:line="259" w:lineRule="auto"/>
        <w:jc w:val="both"/>
        <w:rPr>
          <w:rFonts w:eastAsia="Times New Roman"/>
          <w:noProof/>
        </w:rPr>
      </w:pPr>
      <w:r>
        <w:rPr>
          <w:noProof/>
        </w:rPr>
        <w:t xml:space="preserve">Obiectivul acestei investiții este de a contribui la abordarea unei serii de provocări, inclusiv monitorizarea dimensiunii biogeochimice a oceanelor și a atmosferei; cartografierea și evaluarea resurselor minerale și a tuturor celorlalte resurse neregenerabile de sol și subsol marin aflat sub jurisdicție portugheză; cartografierea continuă a resurselor vii (resurse regenerabile) și monitorizarea evoluției acestora; să combată neregulile și ilegalitățile cu privire la oceanele jurisdicției portugheze în ceea ce privește lanțurile valorice ale industriilor oceanice; răspunsul în caz de dezastre naturale și provocate de om; contribuția la atenuarea acțiunilor umane dăunătoare din oceane (combaterea efectelor poluării, cum ar fi macroplasticele); creșterea capacității de înregistrare a tuturor informațiilor produse pe mare; producerea de noi cunoștințe și generarea de cunoștințe prin fuzionarea informațiilor și dezvoltarea de modele predictive cu diferite scări temporale și spațiale. </w:t>
      </w:r>
    </w:p>
    <w:p w14:paraId="600E2269" w14:textId="72E35649" w:rsidR="00A15990" w:rsidRDefault="00686A62">
      <w:pPr>
        <w:pStyle w:val="P68B1DB1-Normal4"/>
        <w:keepNext/>
        <w:spacing w:before="40" w:after="0" w:line="259" w:lineRule="auto"/>
        <w:jc w:val="both"/>
        <w:rPr>
          <w:rFonts w:eastAsia="Times New Roman"/>
          <w:noProof/>
        </w:rPr>
      </w:pPr>
      <w:r>
        <w:rPr>
          <w:noProof/>
        </w:rPr>
        <w:t xml:space="preserve">Investiția constă în dezvoltarea unui sistem bazat pe trei piloni principali: Pilonul I – Platformă navală multifuncțională cu multiple puncte forte și care servește următoarelor scopuri: monitorizarea oceanelor, cercetarea oceanografică, monitorizarea ecologiei mării, integrarea noilor tehnologii pentru monitorizarea oceanelor și intervenția oceanelor – inclusiv sisteme de robotică aeriană și submarină); Pilonul II – Centrul de operațiuni, ancorat într-un sistem de sensibilizare bazat pe o bază de date privind mările naționale și pe un Twin digital și pe o rețea de centre de cercetare, dezvoltare, experimentare și inovare, cu scopul de a consolida mijloacele de observare a oceanelor, de a contribui la obiectivul de creare a unui ocean digital, de a promova cunoștințele și de a oferi soluții pentru intervențiile oceanice, cum ar fi colectarea de date aeriene, nautice și submarine, cunoașterea fenomenelor oceanice și cartografierea oceanelor în scopuri științifice; și pilonul III – Alfeite Arsenal Academy (Academia 4.0). Pilonul I constă în construirea unei platforme multifuncționale, integrarea tehnologiei de frontieră și extinderea funcționalităților unei nave de supraveghere oceanică și ale unei nave de cercetare oceanografică la alte scenarii, cum ar fi scenarii de urgență, cum ar fi deversări de petrol sau înfloriri de materiale plastice, alge sau micelide) sau activități de monitorizare a ecologiei marine și integrarea unor noi mijloace tehnologice de observare, monitorizare și intervenție a oceanelor, cum ar fi sistemele robotizate aeropurtate sau submarine. Platforma desfășoară mai multe acțiuni, cum ar fi: operațiuni de urgență, supraveghere, cercetare științifică și tehnologică și monitorizare de mediu și meteorologică. În cadrul pilonului II, Centrul de operațiuni urmărește să consolideze mijloacele de observare a oceanelor, contribuind la obiectivul creării unui „ocean digital” pentru a permite crearea de cunoștințe și, în plus, pentru a oferi soluții care să consolideze capacitatea națională și internațională de a interveni în oceane. Pilonul III își propune să fie un proiect inovator de formare a resurselor umane în sectorul maritim – atât prin calificarea și schimbul de experiență ale celor aflați deja în întreprinderi, cât și prin atragerea de profesioniști în domeniul ingineriei marine. Academia Arsenal își propune să se concentreze asupra formării în domenii disruptive precum robotica, telecomunicațiile, biotehnologia, nanotehnologia, conectivitatea, inteligența artificială, volumele mari de date și învățarea automată. </w:t>
      </w:r>
    </w:p>
    <w:p w14:paraId="194B0E08" w14:textId="4DA04AD9"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investiției se va finaliza până la 30 iunie 2026. </w:t>
      </w:r>
    </w:p>
    <w:p w14:paraId="6C40F50C" w14:textId="4BE4D193" w:rsidR="00A15990" w:rsidRDefault="00686A62">
      <w:pPr>
        <w:pStyle w:val="P68B1DB1-Normal5"/>
        <w:keepNext/>
        <w:spacing w:before="240" w:after="0" w:line="259" w:lineRule="auto"/>
        <w:ind w:left="851"/>
        <w:jc w:val="both"/>
        <w:outlineLvl w:val="3"/>
        <w:rPr>
          <w:rFonts w:eastAsiaTheme="minorEastAsia" w:cs="Times New Roman"/>
          <w:noProof/>
        </w:rPr>
      </w:pPr>
      <w:r>
        <w:rPr>
          <w:noProof/>
        </w:rPr>
        <w:t xml:space="preserve">Investiții TC-C10-I07: Transport maritim ecologic </w:t>
      </w:r>
    </w:p>
    <w:p w14:paraId="1305AFF8" w14:textId="77777777" w:rsidR="00A15990" w:rsidRDefault="00686A62">
      <w:pPr>
        <w:pStyle w:val="P68B1DB1-Normal4"/>
        <w:spacing w:before="40" w:after="0" w:line="259" w:lineRule="auto"/>
        <w:jc w:val="both"/>
        <w:rPr>
          <w:rFonts w:cs="Times New Roman"/>
          <w:noProof/>
        </w:rPr>
      </w:pPr>
      <w:r>
        <w:rPr>
          <w:noProof/>
        </w:rPr>
        <w:t xml:space="preserve">Obiectivul măsurii este de a accelera tranziția energetică a transportului maritim de mărfuri și de pasageri. </w:t>
      </w:r>
    </w:p>
    <w:p w14:paraId="5C3C7211" w14:textId="196441A6" w:rsidR="00A15990" w:rsidRDefault="00686A62">
      <w:pPr>
        <w:pStyle w:val="P68B1DB1-Normal4"/>
        <w:spacing w:before="40" w:after="0" w:line="259" w:lineRule="auto"/>
        <w:jc w:val="both"/>
        <w:rPr>
          <w:rFonts w:eastAsia="Yu Mincho Light" w:cs="Times New Roman"/>
          <w:noProof/>
        </w:rPr>
      </w:pPr>
      <w:r>
        <w:rPr>
          <w:noProof/>
        </w:rPr>
        <w:t xml:space="preserve">Investiția constă într-un program de sprijin pentru intervenții în materie de eficiență energetică pentru zece nave de transport de mărfuri și pasageri, dintre care cel puțin 70 % din nave depășesc tonajul brut (GT) 5000. Intervențiile se încadrează în cel puțin una dintre următoarele tipologii: (I) măsuri de înlocuire a combustibililor fosili (ii) măsuri de economisire a energiei și (iii) măsuri complementare de reducere a emisiilor. </w:t>
      </w:r>
    </w:p>
    <w:p w14:paraId="15F0E021" w14:textId="6C3C3C59" w:rsidR="00A15990" w:rsidRDefault="00686A62">
      <w:pPr>
        <w:pStyle w:val="P68B1DB1-Normal4"/>
        <w:spacing w:before="40" w:after="0" w:line="259" w:lineRule="auto"/>
        <w:jc w:val="both"/>
        <w:rPr>
          <w:rFonts w:cs="Times New Roman"/>
          <w:noProof/>
        </w:rPr>
      </w:pPr>
      <w:r>
        <w:rPr>
          <w:noProof/>
        </w:rPr>
        <w:t xml:space="preserve">Cererile fac obiectul unui punctaj pentru evaluarea nivelului de reducere a emisiilor de dioxid de carbon (CO2), calculat pe baza indicatorului de intensitate a carbonului (CII) și a indicației per unitate de transport desfășurată, ca procent, precum și pentru evaluarea nivelurilor de reducere a emisiilor de oxizi de sulf (SOx), oxizi de azot (NOx) și particule în suspensie ca procent. Indicele de eficiență energetică al navelor existente (EEXI) este, de asemenea, utilizat ca indicator al evaluării.  </w:t>
      </w:r>
    </w:p>
    <w:p w14:paraId="54D2FF52" w14:textId="77777777" w:rsidR="00A15990" w:rsidRDefault="00686A62">
      <w:pPr>
        <w:pStyle w:val="P68B1DB1-Normal4"/>
        <w:spacing w:before="40" w:after="0" w:line="259" w:lineRule="auto"/>
        <w:jc w:val="both"/>
        <w:rPr>
          <w:rFonts w:eastAsia="@MS Mincho" w:cs="Times New Roman"/>
          <w:noProof/>
        </w:rPr>
      </w:pPr>
      <w:r>
        <w:rPr>
          <w:noProof/>
        </w:rPr>
        <w:t xml:space="preserve">Pentru a se asigura că măsura respectă Orientările tehnice de „a nu prejudicia în mod semnificativ” (2021/C58/01), investiția contribuie cu cel puțin 10 % la reducerea consumului de combustibil al navei, exprimat în grame de combustibil per tonă deadweight pe milă marină. Calculul consumului trebuie demonstrat prin dinamica computațională a fluidelor (CFD-uri), încercări ale rezervorului sau calcule tehnice similare). În plus, navele nu sunt dedicate transportului de combustibili fosili. </w:t>
      </w:r>
    </w:p>
    <w:p w14:paraId="4981A449" w14:textId="09E215CA" w:rsidR="00A15990" w:rsidRDefault="00686A62">
      <w:pPr>
        <w:pStyle w:val="P68B1DB1-Normal4"/>
        <w:spacing w:before="40" w:after="0" w:line="259" w:lineRule="auto"/>
        <w:jc w:val="both"/>
        <w:rPr>
          <w:rFonts w:cs="Times New Roman"/>
          <w:noProof/>
        </w:rPr>
      </w:pPr>
      <w:r>
        <w:rPr>
          <w:noProof/>
        </w:rPr>
        <w:t>Punerea în aplicare a investiției se va finaliza până la 30 iunie 2026.</w:t>
      </w:r>
    </w:p>
    <w:p w14:paraId="1FA687FB"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222"/>
          <w:headerReference w:type="default" r:id="rId223"/>
          <w:footerReference w:type="even" r:id="rId224"/>
          <w:footerReference w:type="default" r:id="rId225"/>
          <w:headerReference w:type="first" r:id="rId226"/>
          <w:footerReference w:type="first" r:id="rId227"/>
          <w:pgSz w:w="11907" w:h="16839"/>
          <w:pgMar w:top="1134" w:right="1134" w:bottom="1134" w:left="1134" w:header="567" w:footer="567" w:gutter="0"/>
          <w:cols w:space="720"/>
          <w:docGrid w:linePitch="360"/>
        </w:sectPr>
      </w:pPr>
    </w:p>
    <w:p w14:paraId="21CBC0E4" w14:textId="0F96D272"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J.4. Jaloane, ținte, indicatori și calendarul de monitorizare și implementare aplicabile împrumutului</w:t>
      </w:r>
    </w:p>
    <w:p w14:paraId="2814265F" w14:textId="77777777" w:rsidR="00A15990" w:rsidRDefault="00A15990">
      <w:pPr>
        <w:keepNext/>
        <w:spacing w:before="40" w:after="0" w:line="259" w:lineRule="auto"/>
        <w:ind w:left="130" w:firstLine="720"/>
        <w:jc w:val="both"/>
        <w:outlineLvl w:val="2"/>
        <w:rPr>
          <w:rFonts w:ascii="Times New Roman" w:eastAsiaTheme="minorEastAsia" w:hAnsi="Times New Roman" w:cs="Times New Roman"/>
          <w:b/>
          <w:noProof/>
          <w:sz w:val="24"/>
          <w:u w:val="single"/>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31"/>
        <w:gridCol w:w="1096"/>
        <w:gridCol w:w="1640"/>
        <w:gridCol w:w="1231"/>
        <w:gridCol w:w="962"/>
        <w:gridCol w:w="961"/>
        <w:gridCol w:w="690"/>
        <w:gridCol w:w="554"/>
        <w:gridCol w:w="684"/>
        <w:gridCol w:w="5223"/>
      </w:tblGrid>
      <w:tr w:rsidR="00A15990" w14:paraId="7C352B17" w14:textId="77777777">
        <w:trPr>
          <w:trHeight w:val="910"/>
          <w:tblHeader/>
        </w:trPr>
        <w:tc>
          <w:tcPr>
            <w:tcW w:w="1101" w:type="dxa"/>
            <w:vMerge w:val="restart"/>
            <w:shd w:val="clear" w:color="auto" w:fill="BDD6EE"/>
            <w:vAlign w:val="center"/>
            <w:hideMark/>
          </w:tcPr>
          <w:p w14:paraId="293CE21B" w14:textId="77777777" w:rsidR="00A15990" w:rsidRDefault="00686A62">
            <w:pPr>
              <w:pStyle w:val="P68B1DB1-Normal6"/>
              <w:keepNext/>
              <w:spacing w:before="40" w:after="0" w:line="240" w:lineRule="auto"/>
              <w:jc w:val="center"/>
              <w:rPr>
                <w:rFonts w:eastAsia="Times New Roman" w:cs="Times New Roman"/>
                <w:noProof/>
              </w:rPr>
            </w:pPr>
            <w:r>
              <w:rPr>
                <w:noProof/>
              </w:rPr>
              <w:t>Număr secvențial</w:t>
            </w:r>
          </w:p>
        </w:tc>
        <w:tc>
          <w:tcPr>
            <w:tcW w:w="1231" w:type="dxa"/>
            <w:vMerge w:val="restart"/>
            <w:shd w:val="clear" w:color="auto" w:fill="BDD6EE"/>
            <w:vAlign w:val="center"/>
            <w:hideMark/>
          </w:tcPr>
          <w:p w14:paraId="1FBAE739" w14:textId="77777777" w:rsidR="00A15990" w:rsidRDefault="00686A62">
            <w:pPr>
              <w:pStyle w:val="P68B1DB1-Normal6"/>
              <w:keepNext/>
              <w:spacing w:before="40" w:after="0" w:line="240" w:lineRule="auto"/>
              <w:jc w:val="center"/>
              <w:rPr>
                <w:rFonts w:eastAsia="Times New Roman" w:cs="Times New Roman"/>
                <w:noProof/>
              </w:rPr>
            </w:pPr>
            <w:r>
              <w:rPr>
                <w:noProof/>
              </w:rPr>
              <w:t>Măsură (reformă sau investiții)</w:t>
            </w:r>
          </w:p>
        </w:tc>
        <w:tc>
          <w:tcPr>
            <w:tcW w:w="1096" w:type="dxa"/>
            <w:vMerge w:val="restart"/>
            <w:shd w:val="clear" w:color="auto" w:fill="BDD6EE"/>
            <w:vAlign w:val="center"/>
            <w:hideMark/>
          </w:tcPr>
          <w:p w14:paraId="60453F23" w14:textId="5466B7DF" w:rsidR="00A15990" w:rsidRDefault="004976DE">
            <w:pPr>
              <w:pStyle w:val="P68B1DB1-Normal6"/>
              <w:keepNext/>
              <w:spacing w:before="40" w:after="0" w:line="240" w:lineRule="auto"/>
              <w:jc w:val="center"/>
              <w:rPr>
                <w:rFonts w:eastAsia="Times New Roman" w:cs="Times New Roman"/>
                <w:noProof/>
                <w:sz w:val="14"/>
              </w:rPr>
            </w:pPr>
            <w:r>
              <w:rPr>
                <w:noProof/>
              </w:rPr>
              <w:t>Jalon</w:t>
            </w:r>
            <w:r w:rsidR="00686A62">
              <w:rPr>
                <w:noProof/>
              </w:rPr>
              <w:t>/</w:t>
            </w:r>
            <w:r>
              <w:rPr>
                <w:noProof/>
              </w:rPr>
              <w:br/>
              <w:t>Țintă</w:t>
            </w:r>
          </w:p>
        </w:tc>
        <w:tc>
          <w:tcPr>
            <w:tcW w:w="1640" w:type="dxa"/>
            <w:vMerge w:val="restart"/>
            <w:shd w:val="clear" w:color="auto" w:fill="BDD6EE"/>
            <w:vAlign w:val="center"/>
            <w:hideMark/>
          </w:tcPr>
          <w:p w14:paraId="5B93FBDA" w14:textId="77777777" w:rsidR="00A15990" w:rsidRDefault="00686A62">
            <w:pPr>
              <w:pStyle w:val="P68B1DB1-Normal6"/>
              <w:keepNext/>
              <w:spacing w:before="40" w:after="0" w:line="240" w:lineRule="auto"/>
              <w:jc w:val="center"/>
              <w:rPr>
                <w:rFonts w:eastAsia="Times New Roman" w:cs="Times New Roman"/>
                <w:noProof/>
              </w:rPr>
            </w:pPr>
            <w:r>
              <w:rPr>
                <w:noProof/>
              </w:rPr>
              <w:t>Nume</w:t>
            </w:r>
          </w:p>
        </w:tc>
        <w:tc>
          <w:tcPr>
            <w:tcW w:w="1231" w:type="dxa"/>
            <w:vMerge w:val="restart"/>
            <w:shd w:val="clear" w:color="auto" w:fill="BDD6EE"/>
            <w:vAlign w:val="center"/>
            <w:hideMark/>
          </w:tcPr>
          <w:p w14:paraId="5731C7BD" w14:textId="77777777" w:rsidR="00A15990" w:rsidRDefault="00686A62">
            <w:pPr>
              <w:pStyle w:val="P68B1DB1-Normal6"/>
              <w:keepNext/>
              <w:spacing w:before="40" w:after="0" w:line="240" w:lineRule="auto"/>
              <w:jc w:val="center"/>
              <w:rPr>
                <w:rFonts w:eastAsia="Times New Roman" w:cs="Times New Roman"/>
                <w:noProof/>
              </w:rPr>
            </w:pPr>
            <w:r>
              <w:rPr>
                <w:noProof/>
              </w:rPr>
              <w:t>Indicatori calitativi (pentru obiectivele de etapă)</w:t>
            </w:r>
          </w:p>
        </w:tc>
        <w:tc>
          <w:tcPr>
            <w:tcW w:w="2613" w:type="dxa"/>
            <w:gridSpan w:val="3"/>
            <w:shd w:val="clear" w:color="auto" w:fill="BDD6EE"/>
            <w:vAlign w:val="center"/>
            <w:hideMark/>
          </w:tcPr>
          <w:p w14:paraId="2BC88CEE" w14:textId="77777777" w:rsidR="00A15990" w:rsidRDefault="00686A62">
            <w:pPr>
              <w:pStyle w:val="P68B1DB1-Normal6"/>
              <w:keepNext/>
              <w:spacing w:before="40" w:after="0" w:line="240" w:lineRule="auto"/>
              <w:jc w:val="center"/>
              <w:rPr>
                <w:rFonts w:eastAsia="Times New Roman" w:cs="Times New Roman"/>
                <w:noProof/>
              </w:rPr>
            </w:pPr>
            <w:r>
              <w:rPr>
                <w:noProof/>
              </w:rPr>
              <w:t>Indicatori cantitativi (pentru obiective)</w:t>
            </w:r>
          </w:p>
        </w:tc>
        <w:tc>
          <w:tcPr>
            <w:tcW w:w="1238" w:type="dxa"/>
            <w:gridSpan w:val="2"/>
            <w:shd w:val="clear" w:color="auto" w:fill="BDD6EE"/>
            <w:vAlign w:val="center"/>
            <w:hideMark/>
          </w:tcPr>
          <w:p w14:paraId="47D3562F" w14:textId="77777777" w:rsidR="00A15990" w:rsidRDefault="00686A62">
            <w:pPr>
              <w:pStyle w:val="P68B1DB1-Normal6"/>
              <w:keepNext/>
              <w:spacing w:before="40" w:after="0" w:line="240" w:lineRule="auto"/>
              <w:jc w:val="center"/>
              <w:rPr>
                <w:rFonts w:eastAsia="Times New Roman" w:cs="Times New Roman"/>
                <w:noProof/>
              </w:rPr>
            </w:pPr>
            <w:r>
              <w:rPr>
                <w:noProof/>
              </w:rPr>
              <w:t>Calendar orientativ pentru finalizare</w:t>
            </w:r>
          </w:p>
        </w:tc>
        <w:tc>
          <w:tcPr>
            <w:tcW w:w="5223" w:type="dxa"/>
            <w:vMerge w:val="restart"/>
            <w:shd w:val="clear" w:color="auto" w:fill="BDD6EE"/>
            <w:vAlign w:val="center"/>
            <w:hideMark/>
          </w:tcPr>
          <w:p w14:paraId="119E2D1B" w14:textId="77777777" w:rsidR="00A15990" w:rsidRDefault="00686A62">
            <w:pPr>
              <w:pStyle w:val="P68B1DB1-Normal6"/>
              <w:keepNext/>
              <w:spacing w:before="40" w:after="0" w:line="240" w:lineRule="auto"/>
              <w:jc w:val="center"/>
              <w:rPr>
                <w:rFonts w:eastAsia="Times New Roman" w:cs="Times New Roman"/>
                <w:noProof/>
              </w:rPr>
            </w:pPr>
            <w:r>
              <w:rPr>
                <w:noProof/>
              </w:rPr>
              <w:t>Descrierea și definiția clară a fiecărui obiectiv de etapă și a fiecărei ținte</w:t>
            </w:r>
          </w:p>
        </w:tc>
      </w:tr>
      <w:tr w:rsidR="00A15990" w14:paraId="12D4B3EB" w14:textId="77777777">
        <w:trPr>
          <w:trHeight w:val="470"/>
          <w:tblHeader/>
        </w:trPr>
        <w:tc>
          <w:tcPr>
            <w:tcW w:w="1101" w:type="dxa"/>
            <w:vMerge/>
            <w:vAlign w:val="center"/>
            <w:hideMark/>
          </w:tcPr>
          <w:p w14:paraId="1EC2F9BC"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38F355D3"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096" w:type="dxa"/>
            <w:vMerge/>
            <w:vAlign w:val="center"/>
            <w:hideMark/>
          </w:tcPr>
          <w:p w14:paraId="6A303FCA" w14:textId="77777777" w:rsidR="00A15990" w:rsidRDefault="00A15990">
            <w:pPr>
              <w:keepNext/>
              <w:spacing w:before="40" w:after="0" w:line="240" w:lineRule="auto"/>
              <w:jc w:val="center"/>
              <w:rPr>
                <w:rFonts w:ascii="Times New Roman" w:eastAsia="Times New Roman" w:hAnsi="Times New Roman" w:cs="Times New Roman"/>
                <w:b/>
                <w:noProof/>
                <w:sz w:val="14"/>
              </w:rPr>
            </w:pPr>
          </w:p>
        </w:tc>
        <w:tc>
          <w:tcPr>
            <w:tcW w:w="1640" w:type="dxa"/>
            <w:vMerge/>
            <w:vAlign w:val="center"/>
            <w:hideMark/>
          </w:tcPr>
          <w:p w14:paraId="580C14CE"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231" w:type="dxa"/>
            <w:vMerge/>
            <w:vAlign w:val="center"/>
            <w:hideMark/>
          </w:tcPr>
          <w:p w14:paraId="6286F64E"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962" w:type="dxa"/>
            <w:shd w:val="clear" w:color="auto" w:fill="BDD6EE"/>
            <w:vAlign w:val="center"/>
            <w:hideMark/>
          </w:tcPr>
          <w:p w14:paraId="6EA3F582" w14:textId="77777777" w:rsidR="00A15990" w:rsidRDefault="00686A62">
            <w:pPr>
              <w:pStyle w:val="P68B1DB1-Normal6"/>
              <w:keepNext/>
              <w:spacing w:before="40" w:after="0" w:line="240" w:lineRule="auto"/>
              <w:jc w:val="center"/>
              <w:rPr>
                <w:rFonts w:eastAsia="Times New Roman" w:cs="Times New Roman"/>
                <w:noProof/>
              </w:rPr>
            </w:pPr>
            <w:r>
              <w:rPr>
                <w:noProof/>
              </w:rPr>
              <w:t>Unitate de măsură</w:t>
            </w:r>
          </w:p>
        </w:tc>
        <w:tc>
          <w:tcPr>
            <w:tcW w:w="961" w:type="dxa"/>
            <w:shd w:val="clear" w:color="auto" w:fill="BDD6EE"/>
            <w:vAlign w:val="center"/>
            <w:hideMark/>
          </w:tcPr>
          <w:p w14:paraId="230E8100" w14:textId="77777777" w:rsidR="00A15990" w:rsidRDefault="00686A62">
            <w:pPr>
              <w:pStyle w:val="P68B1DB1-Normal6"/>
              <w:keepNext/>
              <w:spacing w:before="40" w:after="0" w:line="240" w:lineRule="auto"/>
              <w:jc w:val="center"/>
              <w:rPr>
                <w:rFonts w:eastAsia="Times New Roman" w:cs="Times New Roman"/>
                <w:noProof/>
              </w:rPr>
            </w:pPr>
            <w:r>
              <w:rPr>
                <w:noProof/>
              </w:rPr>
              <w:t>Situația de referință</w:t>
            </w:r>
          </w:p>
        </w:tc>
        <w:tc>
          <w:tcPr>
            <w:tcW w:w="690" w:type="dxa"/>
            <w:shd w:val="clear" w:color="auto" w:fill="BDD6EE"/>
            <w:vAlign w:val="center"/>
            <w:hideMark/>
          </w:tcPr>
          <w:p w14:paraId="7E77B1BE" w14:textId="77777777" w:rsidR="00A15990" w:rsidRDefault="00686A62">
            <w:pPr>
              <w:pStyle w:val="P68B1DB1-Normal6"/>
              <w:keepNext/>
              <w:spacing w:before="40" w:after="0" w:line="240" w:lineRule="auto"/>
              <w:jc w:val="center"/>
              <w:rPr>
                <w:rFonts w:eastAsia="Times New Roman" w:cs="Times New Roman"/>
                <w:noProof/>
              </w:rPr>
            </w:pPr>
            <w:r>
              <w:rPr>
                <w:noProof/>
              </w:rPr>
              <w:t>Obiectiv</w:t>
            </w:r>
          </w:p>
        </w:tc>
        <w:tc>
          <w:tcPr>
            <w:tcW w:w="554" w:type="dxa"/>
            <w:shd w:val="clear" w:color="auto" w:fill="BDD6EE"/>
            <w:vAlign w:val="center"/>
            <w:hideMark/>
          </w:tcPr>
          <w:p w14:paraId="50EAB092" w14:textId="77777777" w:rsidR="00A15990" w:rsidRDefault="00686A62">
            <w:pPr>
              <w:pStyle w:val="P68B1DB1-Normal6"/>
              <w:keepNext/>
              <w:spacing w:before="40" w:after="0" w:line="240" w:lineRule="auto"/>
              <w:jc w:val="center"/>
              <w:rPr>
                <w:rFonts w:eastAsia="Times New Roman" w:cs="Times New Roman"/>
                <w:noProof/>
              </w:rPr>
            </w:pPr>
            <w:r>
              <w:rPr>
                <w:noProof/>
              </w:rPr>
              <w:t>Q</w:t>
            </w:r>
          </w:p>
        </w:tc>
        <w:tc>
          <w:tcPr>
            <w:tcW w:w="684" w:type="dxa"/>
            <w:shd w:val="clear" w:color="auto" w:fill="BDD6EE"/>
            <w:vAlign w:val="center"/>
            <w:hideMark/>
          </w:tcPr>
          <w:p w14:paraId="5684B644" w14:textId="77777777" w:rsidR="00A15990" w:rsidRDefault="00686A62">
            <w:pPr>
              <w:pStyle w:val="P68B1DB1-Normal6"/>
              <w:keepNext/>
              <w:spacing w:before="40" w:after="0" w:line="240" w:lineRule="auto"/>
              <w:jc w:val="center"/>
              <w:rPr>
                <w:rFonts w:eastAsia="Times New Roman" w:cs="Times New Roman"/>
                <w:noProof/>
              </w:rPr>
            </w:pPr>
            <w:r>
              <w:rPr>
                <w:noProof/>
              </w:rPr>
              <w:t>Anul</w:t>
            </w:r>
          </w:p>
        </w:tc>
        <w:tc>
          <w:tcPr>
            <w:tcW w:w="5223" w:type="dxa"/>
            <w:vMerge/>
            <w:vAlign w:val="center"/>
            <w:hideMark/>
          </w:tcPr>
          <w:p w14:paraId="3C5137C1" w14:textId="77777777" w:rsidR="00A15990" w:rsidRDefault="00A15990">
            <w:pPr>
              <w:keepNext/>
              <w:spacing w:before="40" w:after="0" w:line="240" w:lineRule="auto"/>
              <w:jc w:val="both"/>
              <w:rPr>
                <w:rFonts w:ascii="Times New Roman" w:eastAsia="Times New Roman" w:hAnsi="Times New Roman" w:cs="Times New Roman"/>
                <w:b/>
                <w:noProof/>
                <w:sz w:val="18"/>
              </w:rPr>
            </w:pPr>
          </w:p>
        </w:tc>
      </w:tr>
      <w:tr w:rsidR="00A15990" w14:paraId="52BD253E" w14:textId="77777777">
        <w:trPr>
          <w:trHeight w:val="61"/>
        </w:trPr>
        <w:tc>
          <w:tcPr>
            <w:tcW w:w="1101" w:type="dxa"/>
            <w:shd w:val="clear" w:color="auto" w:fill="C4EFCE"/>
            <w:vAlign w:val="center"/>
          </w:tcPr>
          <w:p w14:paraId="1F146FCF" w14:textId="4E6EEEBB" w:rsidR="00A15990" w:rsidRDefault="00686A62">
            <w:pPr>
              <w:pStyle w:val="P68B1DB1-Normal7"/>
              <w:keepNext/>
              <w:spacing w:before="40" w:after="0" w:line="240" w:lineRule="auto"/>
              <w:jc w:val="center"/>
              <w:rPr>
                <w:noProof/>
                <w:highlight w:val="magenta"/>
              </w:rPr>
            </w:pPr>
            <w:r>
              <w:rPr>
                <w:noProof/>
              </w:rPr>
              <w:t>10.5</w:t>
            </w:r>
          </w:p>
        </w:tc>
        <w:tc>
          <w:tcPr>
            <w:tcW w:w="1231" w:type="dxa"/>
            <w:shd w:val="clear" w:color="auto" w:fill="C4EFCE"/>
            <w:noWrap/>
            <w:vAlign w:val="center"/>
          </w:tcPr>
          <w:p w14:paraId="6E122812" w14:textId="10C964C3" w:rsidR="00A15990" w:rsidRDefault="00686A62">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49982C81" w14:textId="192B44BD" w:rsidR="00A15990" w:rsidRDefault="00686A62">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6DF03557" w14:textId="2BF8CD78" w:rsidR="00A15990" w:rsidRDefault="00686A62">
            <w:pPr>
              <w:pStyle w:val="P68B1DB1-Normal8"/>
              <w:keepNext/>
              <w:spacing w:before="40" w:after="0" w:line="240" w:lineRule="auto"/>
              <w:jc w:val="center"/>
              <w:rPr>
                <w:rFonts w:cstheme="minorHAnsi"/>
                <w:noProof/>
              </w:rPr>
            </w:pPr>
            <w:r>
              <w:rPr>
                <w:noProof/>
              </w:rPr>
              <w:t>Semnarea contractului pentru „Platforma navală multifuncțională” și „Centrul de operațiuni”</w:t>
            </w:r>
          </w:p>
        </w:tc>
        <w:tc>
          <w:tcPr>
            <w:tcW w:w="1231" w:type="dxa"/>
            <w:shd w:val="clear" w:color="auto" w:fill="C4EFCE"/>
            <w:noWrap/>
            <w:vAlign w:val="center"/>
          </w:tcPr>
          <w:p w14:paraId="333B3AB3" w14:textId="02EF4106" w:rsidR="00A15990" w:rsidRDefault="00686A62">
            <w:pPr>
              <w:pStyle w:val="P68B1DB1-Normal8"/>
              <w:keepNext/>
              <w:spacing w:before="40" w:after="0" w:line="240" w:lineRule="auto"/>
              <w:jc w:val="center"/>
              <w:rPr>
                <w:rFonts w:cstheme="minorHAnsi"/>
                <w:noProof/>
              </w:rPr>
            </w:pPr>
            <w:r>
              <w:rPr>
                <w:noProof/>
              </w:rPr>
              <w:t>Semnarea contractului pentru „Platforma navală multifuncțională” și „Centrul de operațiuni”</w:t>
            </w:r>
          </w:p>
        </w:tc>
        <w:tc>
          <w:tcPr>
            <w:tcW w:w="962" w:type="dxa"/>
            <w:shd w:val="clear" w:color="auto" w:fill="C4EFCE"/>
            <w:noWrap/>
            <w:vAlign w:val="center"/>
          </w:tcPr>
          <w:p w14:paraId="0247B4AE" w14:textId="2F9E4126" w:rsidR="00A15990" w:rsidRDefault="00686A62">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3EB2DE9" w14:textId="65360A99" w:rsidR="00A15990" w:rsidRDefault="00686A62">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404D0E0D" w14:textId="65417E79" w:rsidR="00A15990" w:rsidRDefault="00686A62">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6720E15C" w14:textId="1C9DE191" w:rsidR="00A15990" w:rsidRDefault="00686A62">
            <w:pPr>
              <w:pStyle w:val="P68B1DB1-Normal8"/>
              <w:keepNext/>
              <w:spacing w:before="40" w:after="0" w:line="240" w:lineRule="auto"/>
              <w:jc w:val="center"/>
              <w:rPr>
                <w:rFonts w:cstheme="minorHAnsi"/>
                <w:noProof/>
              </w:rPr>
            </w:pPr>
            <w:r>
              <w:rPr>
                <w:noProof/>
              </w:rPr>
              <w:t>TRIMESTRUL 3</w:t>
            </w:r>
          </w:p>
        </w:tc>
        <w:tc>
          <w:tcPr>
            <w:tcW w:w="684" w:type="dxa"/>
            <w:shd w:val="clear" w:color="auto" w:fill="C4EFCE"/>
            <w:noWrap/>
            <w:vAlign w:val="center"/>
          </w:tcPr>
          <w:p w14:paraId="7372820D" w14:textId="3637367A" w:rsidR="00A15990" w:rsidRDefault="00686A62">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30002EA5" w14:textId="77777777" w:rsidR="00A15990" w:rsidRDefault="00686A62">
            <w:pPr>
              <w:pStyle w:val="P68B1DB1-Normal8"/>
              <w:keepNext/>
              <w:spacing w:before="40" w:after="0" w:line="240" w:lineRule="auto"/>
              <w:jc w:val="both"/>
              <w:rPr>
                <w:rFonts w:eastAsia="Times New Roman" w:cs="Calibri"/>
                <w:noProof/>
              </w:rPr>
            </w:pPr>
            <w:r>
              <w:rPr>
                <w:noProof/>
              </w:rPr>
              <w:t xml:space="preserve">Semnarea contractului de construcție în urma lansării unei (unor) licitații publice – pilonii I și II: </w:t>
            </w:r>
          </w:p>
          <w:p w14:paraId="120A48F6" w14:textId="77777777" w:rsidR="00A15990" w:rsidRDefault="00686A62">
            <w:pPr>
              <w:pStyle w:val="P68B1DB1-Normal8"/>
              <w:keepNext/>
              <w:spacing w:before="40" w:after="0" w:line="240" w:lineRule="auto"/>
              <w:jc w:val="both"/>
              <w:rPr>
                <w:rFonts w:eastAsia="Times New Roman" w:cs="Calibri"/>
                <w:noProof/>
              </w:rPr>
            </w:pPr>
            <w:r>
              <w:rPr>
                <w:noProof/>
              </w:rPr>
              <w:t xml:space="preserve">Pilonul I – Platforma navală multifuncțională, </w:t>
            </w:r>
          </w:p>
          <w:p w14:paraId="2F9DB0C1" w14:textId="77777777" w:rsidR="00A15990" w:rsidRDefault="00686A62">
            <w:pPr>
              <w:pStyle w:val="P68B1DB1-Normal8"/>
              <w:keepNext/>
              <w:spacing w:before="40" w:after="0" w:line="240" w:lineRule="auto"/>
              <w:jc w:val="both"/>
              <w:rPr>
                <w:rFonts w:eastAsia="Times New Roman" w:cs="Calibri"/>
                <w:noProof/>
              </w:rPr>
            </w:pPr>
            <w:r>
              <w:rPr>
                <w:noProof/>
              </w:rPr>
              <w:t>Aceasta include construirea unei platforme navale multifuncționale de aproximativ 100 de metri cu poziționare automată dinamică la nivel, sistem integrat de gestionare a platformei, punte de comandă și centru de operațiuni, sistem de poziționare acustică subacvatică, cadru pentru lansarea submarinelor și/sau debarcarea sistemelor autonome, macarale, helipunte, printre altele);</w:t>
            </w:r>
          </w:p>
          <w:p w14:paraId="4F92961B" w14:textId="0FCD137D" w:rsidR="00A15990" w:rsidRDefault="00686A62">
            <w:pPr>
              <w:pStyle w:val="P68B1DB1-Normal8"/>
              <w:keepNext/>
              <w:spacing w:before="40" w:after="0" w:line="240" w:lineRule="auto"/>
              <w:jc w:val="both"/>
              <w:rPr>
                <w:rFonts w:eastAsia="Times New Roman" w:cs="Calibri"/>
                <w:noProof/>
              </w:rPr>
            </w:pPr>
            <w:r>
              <w:rPr>
                <w:noProof/>
              </w:rPr>
              <w:t>Include, de asemenea, capacitatea de a exploata vehicule cu o adâncime de până la 6 000 de metri, parcarea vehiculelor autonome de suprafață și a activelor navale suplimentare (inclusiv vehiculele autonome de suprafață oceanică, vehiculele subacvatice autonome, vehiculele aeriene autonome, dronele).</w:t>
            </w:r>
          </w:p>
          <w:p w14:paraId="45957A47" w14:textId="77777777" w:rsidR="00A15990" w:rsidRDefault="00686A62">
            <w:pPr>
              <w:pStyle w:val="P68B1DB1-Normal8"/>
              <w:keepNext/>
              <w:spacing w:before="40" w:after="0" w:line="240" w:lineRule="auto"/>
              <w:jc w:val="both"/>
              <w:rPr>
                <w:rFonts w:eastAsia="Times New Roman" w:cs="Calibri"/>
                <w:noProof/>
              </w:rPr>
            </w:pPr>
            <w:r>
              <w:rPr>
                <w:noProof/>
              </w:rPr>
              <w:t>Pilonul II – Centrul de operații</w:t>
            </w:r>
          </w:p>
          <w:p w14:paraId="0AF421B0" w14:textId="49716D7D" w:rsidR="00A15990" w:rsidRDefault="00686A62">
            <w:pPr>
              <w:pStyle w:val="P68B1DB1-Bodytext1018"/>
              <w:spacing w:before="40" w:after="0" w:line="240" w:lineRule="auto"/>
              <w:jc w:val="both"/>
              <w:rPr>
                <w:rFonts w:asciiTheme="minorHAnsi" w:hAnsiTheme="minorHAnsi" w:cstheme="minorHAnsi"/>
                <w:noProof/>
              </w:rPr>
            </w:pPr>
            <w:r>
              <w:rPr>
                <w:noProof/>
              </w:rPr>
              <w:t>Aceasta include renovarea clădirilor și structurilor existente, a instalațiilor informatice și a sistemelor de comunicații pentru centrul de operațiuni și rețeaua de laboratoare, a sistemelor de calcul de înaltă performanță și de stocare a informațiilor, a sistemelor de comunicații [inclusiv terminale de navigație de mici dimensiuni (VSAT) de tip televison Receily Systems (TVRO)] și a sistemelor de interoperabilitate cu alte sisteme navale, dezvoltarea de software și sistemele imersive.</w:t>
            </w:r>
          </w:p>
        </w:tc>
      </w:tr>
      <w:tr w:rsidR="00A15990" w14:paraId="2CE6D5E1" w14:textId="77777777">
        <w:trPr>
          <w:trHeight w:val="61"/>
        </w:trPr>
        <w:tc>
          <w:tcPr>
            <w:tcW w:w="1101" w:type="dxa"/>
            <w:shd w:val="clear" w:color="auto" w:fill="C4EFCE"/>
            <w:vAlign w:val="center"/>
          </w:tcPr>
          <w:p w14:paraId="49ADFB31" w14:textId="33E084CF" w:rsidR="00A15990" w:rsidRDefault="00686A62">
            <w:pPr>
              <w:pStyle w:val="P68B1DB1-Normal7"/>
              <w:keepNext/>
              <w:spacing w:before="40" w:after="0" w:line="240" w:lineRule="auto"/>
              <w:jc w:val="center"/>
              <w:rPr>
                <w:noProof/>
                <w:highlight w:val="magenta"/>
              </w:rPr>
            </w:pPr>
            <w:r>
              <w:rPr>
                <w:noProof/>
              </w:rPr>
              <w:t>10.6</w:t>
            </w:r>
          </w:p>
        </w:tc>
        <w:tc>
          <w:tcPr>
            <w:tcW w:w="1231" w:type="dxa"/>
            <w:shd w:val="clear" w:color="auto" w:fill="C4EFCE"/>
            <w:noWrap/>
            <w:vAlign w:val="center"/>
          </w:tcPr>
          <w:p w14:paraId="328A6835" w14:textId="4753CB2C" w:rsidR="00A15990" w:rsidRDefault="00686A62">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02CC9831" w14:textId="74A625E2" w:rsidR="00A15990" w:rsidRDefault="00686A62">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7DF74898" w14:textId="25083335" w:rsidR="00A15990" w:rsidRDefault="00686A62">
            <w:pPr>
              <w:pStyle w:val="P68B1DB1-Normal8"/>
              <w:keepNext/>
              <w:spacing w:before="40" w:after="0" w:line="240" w:lineRule="auto"/>
              <w:jc w:val="center"/>
              <w:rPr>
                <w:rFonts w:cstheme="minorHAnsi"/>
                <w:noProof/>
              </w:rPr>
            </w:pPr>
            <w:r>
              <w:rPr>
                <w:noProof/>
              </w:rPr>
              <w:t>Finalizarea Academiei Arsenale Alfeite</w:t>
            </w:r>
          </w:p>
        </w:tc>
        <w:tc>
          <w:tcPr>
            <w:tcW w:w="1231" w:type="dxa"/>
            <w:shd w:val="clear" w:color="auto" w:fill="C4EFCE"/>
            <w:noWrap/>
            <w:vAlign w:val="center"/>
          </w:tcPr>
          <w:p w14:paraId="12A8E34A" w14:textId="46A14581" w:rsidR="00A15990" w:rsidRDefault="00686A62">
            <w:pPr>
              <w:pStyle w:val="P68B1DB1-Normal8"/>
              <w:keepNext/>
              <w:spacing w:before="40" w:after="0" w:line="240" w:lineRule="auto"/>
              <w:jc w:val="center"/>
              <w:rPr>
                <w:rFonts w:cstheme="minorHAnsi"/>
                <w:noProof/>
              </w:rPr>
            </w:pPr>
            <w:r>
              <w:rPr>
                <w:noProof/>
              </w:rPr>
              <w:t>Finalizarea Academiei Arsenale Alfeite </w:t>
            </w:r>
          </w:p>
        </w:tc>
        <w:tc>
          <w:tcPr>
            <w:tcW w:w="962" w:type="dxa"/>
            <w:shd w:val="clear" w:color="auto" w:fill="C4EFCE"/>
            <w:noWrap/>
            <w:vAlign w:val="center"/>
          </w:tcPr>
          <w:p w14:paraId="74243FDB" w14:textId="33F44A1E" w:rsidR="00A15990" w:rsidRDefault="00686A62">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2DB2BAAF" w14:textId="3DCC3C16" w:rsidR="00A15990" w:rsidRDefault="00686A62">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3CB08472" w14:textId="5F29F401" w:rsidR="00A15990" w:rsidRDefault="00686A62">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5AD5DE15" w14:textId="6782A64C" w:rsidR="00A15990" w:rsidRDefault="00686A62">
            <w:pPr>
              <w:pStyle w:val="P68B1DB1-Normal8"/>
              <w:keepNext/>
              <w:spacing w:before="40" w:after="0" w:line="240" w:lineRule="auto"/>
              <w:jc w:val="center"/>
              <w:rPr>
                <w:rFonts w:cstheme="minorHAnsi"/>
                <w:noProof/>
              </w:rPr>
            </w:pPr>
            <w:r>
              <w:rPr>
                <w:noProof/>
              </w:rPr>
              <w:t>TRIMESTRUL 4</w:t>
            </w:r>
          </w:p>
        </w:tc>
        <w:tc>
          <w:tcPr>
            <w:tcW w:w="684" w:type="dxa"/>
            <w:shd w:val="clear" w:color="auto" w:fill="C4EFCE"/>
            <w:noWrap/>
            <w:vAlign w:val="center"/>
          </w:tcPr>
          <w:p w14:paraId="59B5AF35" w14:textId="1A32ACF2" w:rsidR="00A15990" w:rsidRDefault="00686A62">
            <w:pPr>
              <w:pStyle w:val="P68B1DB1-Normal8"/>
              <w:keepNext/>
              <w:spacing w:before="40" w:after="0" w:line="240" w:lineRule="auto"/>
              <w:jc w:val="center"/>
              <w:rPr>
                <w:rFonts w:cstheme="minorHAnsi"/>
                <w:noProof/>
              </w:rPr>
            </w:pPr>
            <w:r>
              <w:rPr>
                <w:noProof/>
              </w:rPr>
              <w:t>2023</w:t>
            </w:r>
          </w:p>
        </w:tc>
        <w:tc>
          <w:tcPr>
            <w:tcW w:w="5223" w:type="dxa"/>
            <w:shd w:val="clear" w:color="auto" w:fill="C4EFCE"/>
            <w:vAlign w:val="center"/>
          </w:tcPr>
          <w:p w14:paraId="252172A4" w14:textId="77777777" w:rsidR="00A15990" w:rsidRDefault="00686A62">
            <w:pPr>
              <w:pStyle w:val="P68B1DB1-Normal8"/>
              <w:keepNext/>
              <w:spacing w:before="40" w:after="0" w:line="240" w:lineRule="auto"/>
              <w:jc w:val="both"/>
              <w:rPr>
                <w:rFonts w:eastAsia="Times New Roman" w:cs="Calibri"/>
                <w:noProof/>
              </w:rPr>
            </w:pPr>
            <w:r>
              <w:rPr>
                <w:noProof/>
              </w:rPr>
              <w:t xml:space="preserve">Finalizarea școlii Academiei de Arsenal Alfeite </w:t>
            </w:r>
          </w:p>
          <w:p w14:paraId="2A0F6D74" w14:textId="0F37D64C" w:rsidR="00A15990" w:rsidRDefault="00686A62">
            <w:pPr>
              <w:pStyle w:val="P68B1DB1-Bodytext1018"/>
              <w:spacing w:before="40" w:after="0" w:line="240" w:lineRule="auto"/>
              <w:jc w:val="both"/>
              <w:rPr>
                <w:rFonts w:asciiTheme="minorHAnsi" w:hAnsiTheme="minorHAnsi" w:cstheme="minorHAnsi"/>
                <w:noProof/>
              </w:rPr>
            </w:pPr>
            <w:r>
              <w:rPr>
                <w:noProof/>
              </w:rPr>
              <w:t>(inclusiv modernizarea infrastructurii și achiziționarea de echipamente (calculatoare; echipamente de laborator, infrastructură tehnologică, echipamente pentru industrie 4.0 și tranziția digitală), diagnosticarea nevoilor de formare, dezvoltarea cursurilor de formare, furnizarea primelor cursuri de formare deja înainte de finalizarea școlii)</w:t>
            </w:r>
          </w:p>
        </w:tc>
      </w:tr>
      <w:tr w:rsidR="00A15990" w14:paraId="48A6F7E1" w14:textId="77777777">
        <w:trPr>
          <w:trHeight w:val="61"/>
        </w:trPr>
        <w:tc>
          <w:tcPr>
            <w:tcW w:w="1101" w:type="dxa"/>
            <w:shd w:val="clear" w:color="auto" w:fill="C4EFCE"/>
            <w:vAlign w:val="center"/>
          </w:tcPr>
          <w:p w14:paraId="6A6158B3" w14:textId="6C24D77B" w:rsidR="00A15990" w:rsidRDefault="00686A62">
            <w:pPr>
              <w:pStyle w:val="P68B1DB1-Normal7"/>
              <w:keepNext/>
              <w:spacing w:before="40" w:after="0" w:line="240" w:lineRule="auto"/>
              <w:jc w:val="center"/>
              <w:rPr>
                <w:noProof/>
                <w:highlight w:val="magenta"/>
              </w:rPr>
            </w:pPr>
            <w:r>
              <w:rPr>
                <w:noProof/>
              </w:rPr>
              <w:t>10.7</w:t>
            </w:r>
          </w:p>
        </w:tc>
        <w:tc>
          <w:tcPr>
            <w:tcW w:w="1231" w:type="dxa"/>
            <w:shd w:val="clear" w:color="auto" w:fill="C4EFCE"/>
            <w:noWrap/>
            <w:vAlign w:val="center"/>
          </w:tcPr>
          <w:p w14:paraId="3394B414" w14:textId="5C6B7A86" w:rsidR="00A15990" w:rsidRDefault="00686A62">
            <w:pPr>
              <w:pStyle w:val="P68B1DB1-Normal8"/>
              <w:keepNext/>
              <w:spacing w:before="40" w:after="0" w:line="240" w:lineRule="auto"/>
              <w:jc w:val="center"/>
              <w:rPr>
                <w:rFonts w:cstheme="minorHAnsi"/>
                <w:noProof/>
              </w:rPr>
            </w:pPr>
            <w:r>
              <w:rPr>
                <w:noProof/>
              </w:rPr>
              <w:t>TC-C10-I03</w:t>
            </w:r>
          </w:p>
        </w:tc>
        <w:tc>
          <w:tcPr>
            <w:tcW w:w="1096" w:type="dxa"/>
            <w:shd w:val="clear" w:color="auto" w:fill="C4EFCE"/>
            <w:noWrap/>
            <w:vAlign w:val="center"/>
          </w:tcPr>
          <w:p w14:paraId="6ACD3011" w14:textId="224855CD" w:rsidR="00A15990" w:rsidRDefault="00686A62">
            <w:pPr>
              <w:pStyle w:val="P68B1DB1-Normal8"/>
              <w:keepNext/>
              <w:spacing w:before="40" w:after="0" w:line="240" w:lineRule="auto"/>
              <w:jc w:val="center"/>
              <w:rPr>
                <w:rFonts w:cstheme="minorHAnsi"/>
                <w:noProof/>
              </w:rPr>
            </w:pPr>
            <w:r>
              <w:rPr>
                <w:noProof/>
              </w:rPr>
              <w:t>M</w:t>
            </w:r>
          </w:p>
        </w:tc>
        <w:tc>
          <w:tcPr>
            <w:tcW w:w="1640" w:type="dxa"/>
            <w:shd w:val="clear" w:color="auto" w:fill="C4EFCE"/>
            <w:noWrap/>
            <w:vAlign w:val="center"/>
          </w:tcPr>
          <w:p w14:paraId="5CB9DCFB" w14:textId="4C105B42" w:rsidR="00A15990" w:rsidRDefault="00686A62">
            <w:pPr>
              <w:pStyle w:val="P68B1DB1-Normal8"/>
              <w:keepNext/>
              <w:spacing w:before="40" w:after="0" w:line="240" w:lineRule="auto"/>
              <w:jc w:val="center"/>
              <w:rPr>
                <w:rFonts w:cstheme="minorHAnsi"/>
                <w:noProof/>
              </w:rPr>
            </w:pPr>
            <w:r>
              <w:rPr>
                <w:noProof/>
              </w:rPr>
              <w:t>Recepția și acceptarea „Platformei navale multifuncționale” și a „Centrului de operațiuni”</w:t>
            </w:r>
          </w:p>
        </w:tc>
        <w:tc>
          <w:tcPr>
            <w:tcW w:w="1231" w:type="dxa"/>
            <w:shd w:val="clear" w:color="auto" w:fill="C4EFCE"/>
            <w:noWrap/>
            <w:vAlign w:val="center"/>
          </w:tcPr>
          <w:p w14:paraId="615F7D19" w14:textId="2A89DF40" w:rsidR="00A15990" w:rsidRDefault="00686A62">
            <w:pPr>
              <w:pStyle w:val="P68B1DB1-Normal8"/>
              <w:keepNext/>
              <w:spacing w:before="40" w:after="0" w:line="240" w:lineRule="auto"/>
              <w:jc w:val="center"/>
              <w:rPr>
                <w:rFonts w:cstheme="minorHAnsi"/>
                <w:noProof/>
              </w:rPr>
            </w:pPr>
            <w:r>
              <w:rPr>
                <w:noProof/>
              </w:rPr>
              <w:t>Recepția și acceptarea „Platformei navale multifuncționale” și a „Centrului de operațiuni”</w:t>
            </w:r>
          </w:p>
        </w:tc>
        <w:tc>
          <w:tcPr>
            <w:tcW w:w="962" w:type="dxa"/>
            <w:shd w:val="clear" w:color="auto" w:fill="C4EFCE"/>
            <w:noWrap/>
            <w:vAlign w:val="center"/>
          </w:tcPr>
          <w:p w14:paraId="274F01D9" w14:textId="06465FCA" w:rsidR="00A15990" w:rsidRDefault="00686A62">
            <w:pPr>
              <w:pStyle w:val="P68B1DB1-Normal8"/>
              <w:keepNext/>
              <w:spacing w:before="40" w:after="0" w:line="240" w:lineRule="auto"/>
              <w:jc w:val="center"/>
              <w:rPr>
                <w:rFonts w:cstheme="minorHAnsi"/>
                <w:noProof/>
              </w:rPr>
            </w:pPr>
            <w:r>
              <w:rPr>
                <w:noProof/>
              </w:rPr>
              <w:t> </w:t>
            </w:r>
          </w:p>
        </w:tc>
        <w:tc>
          <w:tcPr>
            <w:tcW w:w="961" w:type="dxa"/>
            <w:shd w:val="clear" w:color="auto" w:fill="C4EFCE"/>
            <w:noWrap/>
            <w:vAlign w:val="center"/>
          </w:tcPr>
          <w:p w14:paraId="1D06AC8A" w14:textId="54D56B13" w:rsidR="00A15990" w:rsidRDefault="00686A62">
            <w:pPr>
              <w:pStyle w:val="P68B1DB1-Normal8"/>
              <w:keepNext/>
              <w:spacing w:before="40" w:after="0" w:line="240" w:lineRule="auto"/>
              <w:jc w:val="center"/>
              <w:rPr>
                <w:rFonts w:cstheme="minorHAnsi"/>
                <w:noProof/>
              </w:rPr>
            </w:pPr>
            <w:r>
              <w:rPr>
                <w:noProof/>
              </w:rPr>
              <w:t> </w:t>
            </w:r>
          </w:p>
        </w:tc>
        <w:tc>
          <w:tcPr>
            <w:tcW w:w="690" w:type="dxa"/>
            <w:shd w:val="clear" w:color="auto" w:fill="C4EFCE"/>
            <w:noWrap/>
            <w:vAlign w:val="center"/>
          </w:tcPr>
          <w:p w14:paraId="2415E148" w14:textId="1A799591" w:rsidR="00A15990" w:rsidRDefault="00686A62">
            <w:pPr>
              <w:pStyle w:val="P68B1DB1-Normal8"/>
              <w:keepNext/>
              <w:spacing w:before="40" w:after="0" w:line="240" w:lineRule="auto"/>
              <w:jc w:val="center"/>
              <w:rPr>
                <w:rFonts w:cstheme="minorHAnsi"/>
                <w:noProof/>
              </w:rPr>
            </w:pPr>
            <w:r>
              <w:rPr>
                <w:noProof/>
              </w:rPr>
              <w:t> </w:t>
            </w:r>
          </w:p>
        </w:tc>
        <w:tc>
          <w:tcPr>
            <w:tcW w:w="554" w:type="dxa"/>
            <w:shd w:val="clear" w:color="auto" w:fill="C4EFCE"/>
            <w:noWrap/>
            <w:vAlign w:val="center"/>
          </w:tcPr>
          <w:p w14:paraId="76705501" w14:textId="1F822E67" w:rsidR="00A15990" w:rsidRDefault="00686A62">
            <w:pPr>
              <w:pStyle w:val="P68B1DB1-Normal8"/>
              <w:keepNext/>
              <w:spacing w:before="40" w:after="0" w:line="240" w:lineRule="auto"/>
              <w:jc w:val="center"/>
              <w:rPr>
                <w:rFonts w:cstheme="minorHAnsi"/>
                <w:noProof/>
              </w:rPr>
            </w:pPr>
            <w:r>
              <w:rPr>
                <w:noProof/>
              </w:rPr>
              <w:t>TRIMESTRUL 2</w:t>
            </w:r>
          </w:p>
        </w:tc>
        <w:tc>
          <w:tcPr>
            <w:tcW w:w="684" w:type="dxa"/>
            <w:shd w:val="clear" w:color="auto" w:fill="C4EFCE"/>
            <w:noWrap/>
            <w:vAlign w:val="center"/>
          </w:tcPr>
          <w:p w14:paraId="4E79FD00" w14:textId="603ADEA9" w:rsidR="00A15990" w:rsidRDefault="00686A62">
            <w:pPr>
              <w:pStyle w:val="P68B1DB1-Normal8"/>
              <w:keepNext/>
              <w:spacing w:before="40" w:after="0" w:line="240" w:lineRule="auto"/>
              <w:jc w:val="center"/>
              <w:rPr>
                <w:rFonts w:cstheme="minorHAnsi"/>
                <w:noProof/>
              </w:rPr>
            </w:pPr>
            <w:r>
              <w:rPr>
                <w:noProof/>
              </w:rPr>
              <w:t>2026</w:t>
            </w:r>
          </w:p>
        </w:tc>
        <w:tc>
          <w:tcPr>
            <w:tcW w:w="5223" w:type="dxa"/>
            <w:shd w:val="clear" w:color="auto" w:fill="C4EFCE"/>
            <w:vAlign w:val="center"/>
          </w:tcPr>
          <w:p w14:paraId="38EBC9BC" w14:textId="6072BE21" w:rsidR="00A15990" w:rsidRDefault="00686A62">
            <w:pPr>
              <w:pStyle w:val="P68B1DB1-Bodytext1018"/>
              <w:spacing w:before="40" w:after="0" w:line="240" w:lineRule="auto"/>
              <w:jc w:val="both"/>
              <w:rPr>
                <w:rFonts w:asciiTheme="minorHAnsi" w:hAnsiTheme="minorHAnsi" w:cstheme="minorHAnsi"/>
                <w:noProof/>
              </w:rPr>
            </w:pPr>
            <w:r>
              <w:rPr>
                <w:noProof/>
              </w:rPr>
              <w:t>Recepția și acceptarea „Platformei navale multifuncționale” și a „Centrului de operațiuni”</w:t>
            </w:r>
          </w:p>
        </w:tc>
      </w:tr>
      <w:tr w:rsidR="00A15990" w14:paraId="027F039F" w14:textId="77777777">
        <w:trPr>
          <w:trHeight w:val="61"/>
        </w:trPr>
        <w:tc>
          <w:tcPr>
            <w:tcW w:w="1101" w:type="dxa"/>
            <w:shd w:val="clear" w:color="auto" w:fill="C4EFCE"/>
            <w:vAlign w:val="center"/>
          </w:tcPr>
          <w:p w14:paraId="34B47902" w14:textId="00559ADD" w:rsidR="00A15990" w:rsidRDefault="00686A62">
            <w:pPr>
              <w:pStyle w:val="P68B1DB1-Normal11"/>
              <w:keepNext/>
              <w:spacing w:before="40" w:after="0" w:line="240" w:lineRule="auto"/>
              <w:jc w:val="center"/>
              <w:rPr>
                <w:noProof/>
              </w:rPr>
            </w:pPr>
            <w:r>
              <w:rPr>
                <w:noProof/>
              </w:rPr>
              <w:t>10.17</w:t>
            </w:r>
          </w:p>
        </w:tc>
        <w:tc>
          <w:tcPr>
            <w:tcW w:w="1231" w:type="dxa"/>
            <w:shd w:val="clear" w:color="auto" w:fill="C4EFCE"/>
            <w:noWrap/>
            <w:vAlign w:val="center"/>
          </w:tcPr>
          <w:p w14:paraId="0A93137A" w14:textId="55F0B8D2" w:rsidR="00A15990" w:rsidRDefault="00686A62">
            <w:pPr>
              <w:pStyle w:val="P68B1DB1-Normal12"/>
              <w:keepNext/>
              <w:spacing w:before="40" w:after="0" w:line="240" w:lineRule="auto"/>
              <w:jc w:val="center"/>
              <w:rPr>
                <w:rFonts w:eastAsia="Times New Roman" w:cstheme="minorHAnsi"/>
                <w:noProof/>
              </w:rPr>
            </w:pPr>
            <w:r>
              <w:rPr>
                <w:noProof/>
              </w:rPr>
              <w:t>TC-C10-I07</w:t>
            </w:r>
          </w:p>
        </w:tc>
        <w:tc>
          <w:tcPr>
            <w:tcW w:w="1096" w:type="dxa"/>
            <w:shd w:val="clear" w:color="auto" w:fill="C4EFCE"/>
            <w:noWrap/>
            <w:vAlign w:val="center"/>
          </w:tcPr>
          <w:p w14:paraId="475EE951" w14:textId="77777777" w:rsidR="00A15990" w:rsidRDefault="00686A62">
            <w:pPr>
              <w:pStyle w:val="P68B1DB1-Normal12"/>
              <w:keepNext/>
              <w:spacing w:before="40" w:after="0" w:line="240" w:lineRule="auto"/>
              <w:jc w:val="center"/>
              <w:rPr>
                <w:rFonts w:eastAsia="Times New Roman" w:cstheme="minorHAnsi"/>
                <w:noProof/>
              </w:rPr>
            </w:pPr>
            <w:r>
              <w:rPr>
                <w:noProof/>
              </w:rPr>
              <w:t>M</w:t>
            </w:r>
          </w:p>
        </w:tc>
        <w:tc>
          <w:tcPr>
            <w:tcW w:w="1640" w:type="dxa"/>
            <w:shd w:val="clear" w:color="auto" w:fill="C4EFCE"/>
            <w:noWrap/>
            <w:vAlign w:val="center"/>
          </w:tcPr>
          <w:p w14:paraId="1F299288" w14:textId="77777777" w:rsidR="00A15990" w:rsidRDefault="00686A62">
            <w:pPr>
              <w:pStyle w:val="P68B1DB1-Normal12"/>
              <w:keepNext/>
              <w:spacing w:before="40" w:after="0" w:line="240" w:lineRule="auto"/>
              <w:jc w:val="center"/>
              <w:rPr>
                <w:rFonts w:eastAsia="Times New Roman" w:cstheme="minorHAnsi"/>
                <w:noProof/>
              </w:rPr>
            </w:pPr>
            <w:r>
              <w:rPr>
                <w:noProof/>
              </w:rPr>
              <w:t>Lansarea unei cereri de oferte pentru decarbonizarea navelor</w:t>
            </w:r>
          </w:p>
        </w:tc>
        <w:tc>
          <w:tcPr>
            <w:tcW w:w="1231" w:type="dxa"/>
            <w:shd w:val="clear" w:color="auto" w:fill="C4EFCE"/>
            <w:noWrap/>
            <w:vAlign w:val="center"/>
          </w:tcPr>
          <w:p w14:paraId="18E73789" w14:textId="77777777" w:rsidR="00A15990" w:rsidRDefault="00686A62">
            <w:pPr>
              <w:pStyle w:val="P68B1DB1-Normal12"/>
              <w:keepNext/>
              <w:spacing w:before="40" w:after="0" w:line="240" w:lineRule="auto"/>
              <w:jc w:val="center"/>
              <w:rPr>
                <w:rFonts w:eastAsia="Times New Roman" w:cstheme="minorHAnsi"/>
                <w:noProof/>
              </w:rPr>
            </w:pPr>
            <w:r>
              <w:rPr>
                <w:noProof/>
              </w:rPr>
              <w:t>Lansarea unei cereri de oferte pentru decarbonizarea navelor</w:t>
            </w:r>
          </w:p>
        </w:tc>
        <w:tc>
          <w:tcPr>
            <w:tcW w:w="962" w:type="dxa"/>
            <w:shd w:val="clear" w:color="auto" w:fill="C4EFCE"/>
            <w:noWrap/>
            <w:vAlign w:val="center"/>
          </w:tcPr>
          <w:p w14:paraId="794A4B39" w14:textId="77777777" w:rsidR="00A15990" w:rsidRDefault="00686A62">
            <w:pPr>
              <w:pStyle w:val="P68B1DB1-Normal12"/>
              <w:keepNext/>
              <w:spacing w:before="40" w:after="0" w:line="240" w:lineRule="auto"/>
              <w:jc w:val="center"/>
              <w:rPr>
                <w:rFonts w:eastAsia="Times New Roman" w:cstheme="minorHAnsi"/>
                <w:noProof/>
              </w:rPr>
            </w:pPr>
            <w:r>
              <w:rPr>
                <w:noProof/>
              </w:rPr>
              <w:t xml:space="preserve"> </w:t>
            </w:r>
          </w:p>
        </w:tc>
        <w:tc>
          <w:tcPr>
            <w:tcW w:w="961" w:type="dxa"/>
            <w:shd w:val="clear" w:color="auto" w:fill="C4EFCE"/>
            <w:noWrap/>
            <w:vAlign w:val="center"/>
          </w:tcPr>
          <w:p w14:paraId="3234BC59" w14:textId="77777777" w:rsidR="00A15990" w:rsidRDefault="00686A62">
            <w:pPr>
              <w:pStyle w:val="P68B1DB1-Normal12"/>
              <w:keepNext/>
              <w:spacing w:before="40" w:after="0" w:line="240" w:lineRule="auto"/>
              <w:jc w:val="center"/>
              <w:rPr>
                <w:rFonts w:eastAsia="Times New Roman" w:cstheme="minorHAnsi"/>
                <w:noProof/>
              </w:rPr>
            </w:pPr>
            <w:r>
              <w:rPr>
                <w:noProof/>
              </w:rPr>
              <w:t xml:space="preserve"> </w:t>
            </w:r>
          </w:p>
        </w:tc>
        <w:tc>
          <w:tcPr>
            <w:tcW w:w="690" w:type="dxa"/>
            <w:shd w:val="clear" w:color="auto" w:fill="C4EFCE"/>
            <w:noWrap/>
            <w:vAlign w:val="center"/>
          </w:tcPr>
          <w:p w14:paraId="2C2A78E0" w14:textId="77777777" w:rsidR="00A15990" w:rsidRDefault="00686A62">
            <w:pPr>
              <w:pStyle w:val="P68B1DB1-Normal12"/>
              <w:keepNext/>
              <w:spacing w:before="40" w:after="0" w:line="240" w:lineRule="auto"/>
              <w:jc w:val="center"/>
              <w:rPr>
                <w:rFonts w:eastAsia="Times New Roman" w:cstheme="minorHAnsi"/>
                <w:noProof/>
              </w:rPr>
            </w:pPr>
            <w:r>
              <w:rPr>
                <w:noProof/>
              </w:rPr>
              <w:t xml:space="preserve"> </w:t>
            </w:r>
          </w:p>
        </w:tc>
        <w:tc>
          <w:tcPr>
            <w:tcW w:w="554" w:type="dxa"/>
            <w:shd w:val="clear" w:color="auto" w:fill="C4EFCE"/>
            <w:noWrap/>
            <w:vAlign w:val="center"/>
          </w:tcPr>
          <w:p w14:paraId="746BFB58" w14:textId="77777777" w:rsidR="00A15990" w:rsidRDefault="00686A62">
            <w:pPr>
              <w:pStyle w:val="P68B1DB1-Normal12"/>
              <w:keepNext/>
              <w:spacing w:before="40" w:after="0" w:line="240" w:lineRule="auto"/>
              <w:jc w:val="center"/>
              <w:rPr>
                <w:rFonts w:eastAsia="Times New Roman" w:cstheme="minorHAnsi"/>
                <w:noProof/>
              </w:rPr>
            </w:pPr>
            <w:r>
              <w:rPr>
                <w:noProof/>
              </w:rPr>
              <w:t>TRIMESTRUL 3</w:t>
            </w:r>
          </w:p>
        </w:tc>
        <w:tc>
          <w:tcPr>
            <w:tcW w:w="684" w:type="dxa"/>
            <w:shd w:val="clear" w:color="auto" w:fill="C4EFCE"/>
            <w:noWrap/>
            <w:vAlign w:val="center"/>
          </w:tcPr>
          <w:p w14:paraId="6D96543B" w14:textId="77777777" w:rsidR="00A15990" w:rsidRDefault="00686A62">
            <w:pPr>
              <w:pStyle w:val="P68B1DB1-Normal12"/>
              <w:keepNext/>
              <w:spacing w:before="40" w:after="0" w:line="240" w:lineRule="auto"/>
              <w:jc w:val="center"/>
              <w:rPr>
                <w:rFonts w:eastAsia="Times New Roman" w:cstheme="minorHAnsi"/>
                <w:noProof/>
              </w:rPr>
            </w:pPr>
            <w:r>
              <w:rPr>
                <w:noProof/>
              </w:rPr>
              <w:t>2023</w:t>
            </w:r>
          </w:p>
        </w:tc>
        <w:tc>
          <w:tcPr>
            <w:tcW w:w="5223" w:type="dxa"/>
            <w:shd w:val="clear" w:color="auto" w:fill="C4EFCE"/>
          </w:tcPr>
          <w:p w14:paraId="3B2A3F9D" w14:textId="4D7CF0E8" w:rsidR="00A15990" w:rsidRDefault="00686A62">
            <w:pPr>
              <w:pStyle w:val="P68B1DB1-Bodytext1013"/>
              <w:spacing w:before="40" w:after="0" w:line="240" w:lineRule="auto"/>
              <w:jc w:val="both"/>
              <w:rPr>
                <w:rFonts w:cstheme="minorHAnsi"/>
                <w:noProof/>
              </w:rPr>
            </w:pPr>
            <w:r>
              <w:rPr>
                <w:noProof/>
              </w:rPr>
              <w:t>Lansarea unei cereri de oferte pentru decarbonizarea a zece nave de transport maritim de mărfuri și de pasageri, dintre care cel puțin 70 % din nave depășesc tonajul brut (GT) de 5 000.</w:t>
            </w:r>
          </w:p>
          <w:p w14:paraId="5ED73E54" w14:textId="18EEA591" w:rsidR="00A15990" w:rsidRDefault="00686A62">
            <w:pPr>
              <w:pStyle w:val="P68B1DB1-Bodytext1013"/>
              <w:spacing w:before="40" w:after="0" w:line="240" w:lineRule="auto"/>
              <w:jc w:val="both"/>
              <w:rPr>
                <w:rFonts w:eastAsia="@MS Mincho" w:cstheme="minorHAnsi"/>
                <w:noProof/>
              </w:rPr>
            </w:pPr>
            <w:r>
              <w:rPr>
                <w:noProof/>
              </w:rPr>
              <w:t>Termenii de referință includ criterii de eligibilitate care asigură faptul că proiectele selectate respectă Orientările tehnice de „a nu prejudicia în mod semnificativ” (2021/C58/01) și contribuie la reducerea cu cel puțin 10 % a consumului de combustibil al navei, exprimat în grame de combustibil per tonă deadweight pe milă marină, în conformitate cu cerințele stabilite în descrierea măsurii. Aceasta include, de asemenea, obligația de respectare a legislației UE și naționale în materie de mediu.</w:t>
            </w:r>
          </w:p>
        </w:tc>
      </w:tr>
      <w:tr w:rsidR="00A15990" w14:paraId="37D8A87F" w14:textId="77777777">
        <w:trPr>
          <w:trHeight w:val="61"/>
        </w:trPr>
        <w:tc>
          <w:tcPr>
            <w:tcW w:w="1101" w:type="dxa"/>
            <w:shd w:val="clear" w:color="auto" w:fill="C4EFCE"/>
            <w:vAlign w:val="center"/>
          </w:tcPr>
          <w:p w14:paraId="5DBA9BD7" w14:textId="1EF5F715" w:rsidR="00A15990" w:rsidRDefault="00686A62">
            <w:pPr>
              <w:pStyle w:val="P68B1DB1-Normal11"/>
              <w:keepNext/>
              <w:spacing w:after="0" w:line="240" w:lineRule="auto"/>
              <w:jc w:val="center"/>
              <w:rPr>
                <w:noProof/>
              </w:rPr>
            </w:pPr>
            <w:r>
              <w:rPr>
                <w:noProof/>
              </w:rPr>
              <w:t>10.18</w:t>
            </w:r>
          </w:p>
        </w:tc>
        <w:tc>
          <w:tcPr>
            <w:tcW w:w="1231" w:type="dxa"/>
            <w:shd w:val="clear" w:color="auto" w:fill="C4EFCE"/>
            <w:noWrap/>
            <w:vAlign w:val="center"/>
          </w:tcPr>
          <w:p w14:paraId="5AF95FF9" w14:textId="58BB736B" w:rsidR="00A15990" w:rsidRDefault="00686A62">
            <w:pPr>
              <w:pStyle w:val="P68B1DB1-Bodytext1013"/>
              <w:spacing w:after="0"/>
              <w:jc w:val="center"/>
              <w:rPr>
                <w:rFonts w:cstheme="minorHAnsi"/>
                <w:noProof/>
              </w:rPr>
            </w:pPr>
            <w:r>
              <w:rPr>
                <w:noProof/>
              </w:rPr>
              <w:t>TC-C10-I07</w:t>
            </w:r>
          </w:p>
        </w:tc>
        <w:tc>
          <w:tcPr>
            <w:tcW w:w="1096" w:type="dxa"/>
            <w:shd w:val="clear" w:color="auto" w:fill="C4EFCE"/>
            <w:noWrap/>
            <w:vAlign w:val="center"/>
          </w:tcPr>
          <w:p w14:paraId="2BE3AE46" w14:textId="77777777" w:rsidR="00A15990" w:rsidRDefault="00686A62">
            <w:pPr>
              <w:pStyle w:val="P68B1DB1-Normal12"/>
              <w:keepNext/>
              <w:spacing w:after="0" w:line="240" w:lineRule="auto"/>
              <w:jc w:val="center"/>
              <w:rPr>
                <w:rFonts w:eastAsia="Times New Roman" w:cstheme="minorHAnsi"/>
                <w:noProof/>
              </w:rPr>
            </w:pPr>
            <w:r>
              <w:rPr>
                <w:noProof/>
              </w:rPr>
              <w:t>T</w:t>
            </w:r>
          </w:p>
        </w:tc>
        <w:tc>
          <w:tcPr>
            <w:tcW w:w="1640" w:type="dxa"/>
            <w:shd w:val="clear" w:color="auto" w:fill="C4EFCE"/>
            <w:noWrap/>
            <w:vAlign w:val="center"/>
          </w:tcPr>
          <w:p w14:paraId="58A16C99" w14:textId="77777777" w:rsidR="00A15990" w:rsidRDefault="00686A62">
            <w:pPr>
              <w:pStyle w:val="P68B1DB1-Normal12"/>
              <w:keepNext/>
              <w:spacing w:after="0" w:line="240" w:lineRule="auto"/>
              <w:jc w:val="center"/>
              <w:rPr>
                <w:rFonts w:eastAsia="Times New Roman" w:cstheme="minorHAnsi"/>
                <w:noProof/>
              </w:rPr>
            </w:pPr>
            <w:r>
              <w:rPr>
                <w:noProof/>
              </w:rPr>
              <w:t>Finalizarea intervențiilor în materie de eficiență energetică pentru nave</w:t>
            </w:r>
          </w:p>
        </w:tc>
        <w:tc>
          <w:tcPr>
            <w:tcW w:w="1231" w:type="dxa"/>
            <w:shd w:val="clear" w:color="auto" w:fill="C4EFCE"/>
            <w:noWrap/>
            <w:vAlign w:val="center"/>
          </w:tcPr>
          <w:p w14:paraId="43D01A20" w14:textId="77777777" w:rsidR="00A15990" w:rsidRDefault="00686A62">
            <w:pPr>
              <w:pStyle w:val="P68B1DB1-Normal12"/>
              <w:keepNext/>
              <w:spacing w:after="0" w:line="240" w:lineRule="auto"/>
              <w:jc w:val="center"/>
              <w:rPr>
                <w:rFonts w:eastAsia="Times New Roman"/>
                <w:noProof/>
              </w:rPr>
            </w:pPr>
            <w:r>
              <w:rPr>
                <w:noProof/>
              </w:rPr>
              <w:t xml:space="preserve">Dovada finalizării intervențiilor în materie de eficiență energetică pentru nave </w:t>
            </w:r>
          </w:p>
        </w:tc>
        <w:tc>
          <w:tcPr>
            <w:tcW w:w="962" w:type="dxa"/>
            <w:shd w:val="clear" w:color="auto" w:fill="C4EFCE"/>
            <w:noWrap/>
            <w:vAlign w:val="center"/>
          </w:tcPr>
          <w:p w14:paraId="218710B9" w14:textId="77777777" w:rsidR="00A15990" w:rsidRDefault="00686A62">
            <w:pPr>
              <w:pStyle w:val="P68B1DB1-Normal12"/>
              <w:keepNext/>
              <w:spacing w:after="0" w:line="240" w:lineRule="auto"/>
              <w:jc w:val="center"/>
              <w:rPr>
                <w:rFonts w:eastAsia="Times New Roman" w:cstheme="minorHAnsi"/>
                <w:noProof/>
              </w:rPr>
            </w:pPr>
            <w:r>
              <w:rPr>
                <w:noProof/>
              </w:rPr>
              <w:t>Numărul</w:t>
            </w:r>
          </w:p>
        </w:tc>
        <w:tc>
          <w:tcPr>
            <w:tcW w:w="961" w:type="dxa"/>
            <w:shd w:val="clear" w:color="auto" w:fill="C4EFCE"/>
            <w:noWrap/>
            <w:vAlign w:val="center"/>
          </w:tcPr>
          <w:p w14:paraId="55994D8A" w14:textId="77777777" w:rsidR="00A15990" w:rsidRDefault="00686A62">
            <w:pPr>
              <w:pStyle w:val="P68B1DB1-Normal12"/>
              <w:keepNext/>
              <w:spacing w:after="0" w:line="240" w:lineRule="auto"/>
              <w:jc w:val="center"/>
              <w:rPr>
                <w:rFonts w:eastAsia="Times New Roman" w:cstheme="minorHAnsi"/>
                <w:noProof/>
              </w:rPr>
            </w:pPr>
            <w:r>
              <w:rPr>
                <w:noProof/>
              </w:rPr>
              <w:t>0</w:t>
            </w:r>
          </w:p>
        </w:tc>
        <w:tc>
          <w:tcPr>
            <w:tcW w:w="690" w:type="dxa"/>
            <w:shd w:val="clear" w:color="auto" w:fill="C4EFCE"/>
            <w:noWrap/>
            <w:vAlign w:val="center"/>
          </w:tcPr>
          <w:p w14:paraId="75409A25" w14:textId="77777777" w:rsidR="00A15990" w:rsidRDefault="00686A62">
            <w:pPr>
              <w:pStyle w:val="P68B1DB1-Normal12"/>
              <w:keepNext/>
              <w:spacing w:after="0" w:line="240" w:lineRule="auto"/>
              <w:jc w:val="center"/>
              <w:rPr>
                <w:rFonts w:eastAsia="Times New Roman" w:cstheme="minorHAnsi"/>
                <w:noProof/>
              </w:rPr>
            </w:pPr>
            <w:r>
              <w:rPr>
                <w:noProof/>
              </w:rPr>
              <w:t>10</w:t>
            </w:r>
          </w:p>
        </w:tc>
        <w:tc>
          <w:tcPr>
            <w:tcW w:w="554" w:type="dxa"/>
            <w:shd w:val="clear" w:color="auto" w:fill="C4EFCE"/>
            <w:noWrap/>
            <w:vAlign w:val="center"/>
          </w:tcPr>
          <w:p w14:paraId="4A6676AD" w14:textId="77777777" w:rsidR="00A15990" w:rsidRDefault="00686A62">
            <w:pPr>
              <w:pStyle w:val="P68B1DB1-Normal12"/>
              <w:keepNext/>
              <w:spacing w:after="0" w:line="240" w:lineRule="auto"/>
              <w:jc w:val="center"/>
              <w:rPr>
                <w:rFonts w:eastAsia="Times New Roman" w:cstheme="minorHAnsi"/>
                <w:noProof/>
              </w:rPr>
            </w:pPr>
            <w:r>
              <w:rPr>
                <w:noProof/>
              </w:rPr>
              <w:t>TRIMESTRUL 2</w:t>
            </w:r>
          </w:p>
        </w:tc>
        <w:tc>
          <w:tcPr>
            <w:tcW w:w="684" w:type="dxa"/>
            <w:shd w:val="clear" w:color="auto" w:fill="C4EFCE"/>
            <w:noWrap/>
            <w:vAlign w:val="center"/>
          </w:tcPr>
          <w:p w14:paraId="57E3A0CA" w14:textId="77777777" w:rsidR="00A15990" w:rsidRDefault="00686A62">
            <w:pPr>
              <w:pStyle w:val="P68B1DB1-Normal12"/>
              <w:keepNext/>
              <w:spacing w:after="0" w:line="240" w:lineRule="auto"/>
              <w:jc w:val="center"/>
              <w:rPr>
                <w:rFonts w:eastAsia="Times New Roman" w:cstheme="minorHAnsi"/>
                <w:noProof/>
              </w:rPr>
            </w:pPr>
            <w:r>
              <w:rPr>
                <w:noProof/>
              </w:rPr>
              <w:t>2026</w:t>
            </w:r>
          </w:p>
        </w:tc>
        <w:tc>
          <w:tcPr>
            <w:tcW w:w="5223" w:type="dxa"/>
            <w:shd w:val="clear" w:color="auto" w:fill="C4EFCE"/>
            <w:vAlign w:val="center"/>
          </w:tcPr>
          <w:p w14:paraId="512948BF" w14:textId="2C383CAF" w:rsidR="00A15990" w:rsidRDefault="00686A62">
            <w:pPr>
              <w:pStyle w:val="P68B1DB1-Bodytext1013"/>
              <w:spacing w:before="40" w:after="0" w:line="240" w:lineRule="auto"/>
              <w:jc w:val="both"/>
              <w:rPr>
                <w:rFonts w:cstheme="minorBidi"/>
                <w:noProof/>
              </w:rPr>
            </w:pPr>
            <w:r>
              <w:rPr>
                <w:noProof/>
              </w:rPr>
              <w:t>Finalizarea intervențiilor în materie de eficiență energetică pentru zece nave de transport de mărfuri și pasageri, dintre care cel puțin 70 % din nave depășesc tonajul brut (GT) 5 000.</w:t>
            </w:r>
          </w:p>
        </w:tc>
      </w:tr>
    </w:tbl>
    <w:p w14:paraId="51500205" w14:textId="77777777" w:rsidR="00A15990" w:rsidRDefault="00A15990">
      <w:pPr>
        <w:rPr>
          <w:noProof/>
        </w:rPr>
      </w:pPr>
    </w:p>
    <w:p w14:paraId="52BB7A4E"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D5518">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134" w:right="1134" w:bottom="1134" w:left="1134" w:header="567" w:footer="567" w:gutter="0"/>
          <w:cols w:space="720"/>
          <w:docGrid w:linePitch="360"/>
        </w:sectPr>
      </w:pPr>
    </w:p>
    <w:p w14:paraId="6761070D" w14:textId="3282687D"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K. COMPONENTA 11: Decarbonizarea industriei</w:t>
      </w:r>
    </w:p>
    <w:p w14:paraId="1058769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Componenta planului de redresare și reziliență al Portugaliei abordează provocarea reprezentată de contribuția industriei și a proceselor industriale la atingerea obiectivelor privind neutralitatea emisiilor de dioxid de carbon, astfel cum sunt identificate în Foaia de parcurs pentru 2050 privind neutralitatea emisiilor de dioxid de carbon și în Planul național privind energia și clima pentru 2030. Acest lucru necesită o transformare structurală, bazată pe reconfigurarea activității industriale, pe modificări ale proceselor de producție și pe modul în care sunt utilizate resursele. </w:t>
      </w:r>
    </w:p>
    <w:p w14:paraId="2CCA0B72" w14:textId="77777777" w:rsidR="00A15990" w:rsidRDefault="00686A62">
      <w:pPr>
        <w:pStyle w:val="P68B1DB1-Normal4"/>
        <w:keepNext/>
        <w:spacing w:before="40" w:after="0" w:line="259" w:lineRule="auto"/>
        <w:jc w:val="both"/>
        <w:rPr>
          <w:rFonts w:eastAsiaTheme="minorEastAsia" w:cs="Times New Roman"/>
          <w:noProof/>
        </w:rPr>
      </w:pPr>
      <w:r>
        <w:rPr>
          <w:noProof/>
        </w:rPr>
        <w:t>Măsura acestei componente vizează promovarea decarbonizării, a eficienței energetice și a utilizării eficiente a resurselor, precum și a utilizării surselor alternative de energie în procesele industriale. Proiectele care urmează să fie sprijinite sunt legate, de asemenea, de noile tehnologii, de inovarea și de digitalizarea industriei, urmărind o mai mare eficiență a diferitelor procese de producție și organizaționale.</w:t>
      </w:r>
    </w:p>
    <w:p w14:paraId="5E25DBAB" w14:textId="77777777" w:rsidR="00A15990" w:rsidRDefault="00686A62">
      <w:pPr>
        <w:pStyle w:val="P68B1DB1-Normal4"/>
        <w:keepNext/>
        <w:spacing w:before="40" w:after="0" w:line="259" w:lineRule="auto"/>
        <w:jc w:val="both"/>
        <w:rPr>
          <w:rFonts w:eastAsiaTheme="minorEastAsia" w:cs="Times New Roman"/>
          <w:noProof/>
        </w:rPr>
      </w:pPr>
      <w:r>
        <w:rPr>
          <w:noProof/>
        </w:rPr>
        <w:t>Componenta contribuie la tranziția climatică a industriei portugheze și sprijină competitivitatea acesteia. Acesta contribuie la punerea în aplicare a recomandărilor specifice fiecărei țări privind investițiile în tranziția verde, în special privind producția și utilizarea energiei în mod curat și eficient (recomandarea specifică fiecărei țări 3 2020) și privind investițiile în cercetare și inovare (recomandările specifice fiecărei țări 3 2019 și 2020).</w:t>
      </w:r>
    </w:p>
    <w:p w14:paraId="6D69255B"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75CB0606"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K.1. Descrierea reformelor și a investițiilor pentru sprijinul financiar nerambursabil</w:t>
      </w:r>
    </w:p>
    <w:p w14:paraId="08B2F8AA"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Investiții TC-C11-I01: Decarbonizarea industriei</w:t>
      </w:r>
    </w:p>
    <w:p w14:paraId="54FA3533"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promovarea și sprijinirea financiară a proiectelor de inovare în industrii în patru domenii: </w:t>
      </w:r>
    </w:p>
    <w:p w14:paraId="1DD7BC26" w14:textId="77777777" w:rsidR="00A15990" w:rsidRDefault="00686A62">
      <w:pPr>
        <w:pStyle w:val="P68B1DB1-Normal4"/>
        <w:keepNext/>
        <w:numPr>
          <w:ilvl w:val="0"/>
          <w:numId w:val="29"/>
        </w:numPr>
        <w:spacing w:before="40" w:after="160" w:line="259" w:lineRule="auto"/>
        <w:contextualSpacing/>
        <w:jc w:val="both"/>
        <w:rPr>
          <w:rFonts w:eastAsiaTheme="minorEastAsia" w:cs="Times New Roman"/>
          <w:noProof/>
        </w:rPr>
      </w:pPr>
      <w:r>
        <w:rPr>
          <w:noProof/>
        </w:rPr>
        <w:t>procese și tehnologii cu emisii scăzute de dioxid de carbon: scopul este de a sprijini introducerea de noi tehnologii sau procese de producție îmbunătățite pentru decarbonizarea acestora, de exemplu prin încorporarea de noi materii prime și măsuri privind economia circulară, măsuri de inovare, înlocuirea și/sau adaptarea echipamentelor, creșterea electrificării consumului final de energie;</w:t>
      </w:r>
    </w:p>
    <w:p w14:paraId="7859B061" w14:textId="77777777" w:rsidR="00A15990" w:rsidRDefault="00686A62">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măsuri de eficiență energetică: proiectele sprijinite vizează reducerea consumului de energie și a emisiilor de gaze cu efect de seră, de exemplu prin optimizarea sau înlocuirea motoarelor și a echipamentelor, optimizarea proceselor, adoptarea unor sisteme de monitorizare și de gestionare a consumului; </w:t>
      </w:r>
    </w:p>
    <w:p w14:paraId="23D06A62" w14:textId="77777777" w:rsidR="00A15990" w:rsidRDefault="00686A62">
      <w:pPr>
        <w:pStyle w:val="P68B1DB1-Normal4"/>
        <w:keepNext/>
        <w:numPr>
          <w:ilvl w:val="0"/>
          <w:numId w:val="29"/>
        </w:numPr>
        <w:spacing w:before="40" w:after="120" w:line="240" w:lineRule="auto"/>
        <w:contextualSpacing/>
        <w:jc w:val="both"/>
        <w:rPr>
          <w:rFonts w:eastAsiaTheme="minorEastAsia" w:cs="Times New Roman"/>
          <w:noProof/>
        </w:rPr>
      </w:pPr>
      <w:r>
        <w:rPr>
          <w:noProof/>
        </w:rPr>
        <w:t xml:space="preserve">încorporarea energiei din surse regenerabile și stocarea, de exemplu prin instalarea de sisteme solare, generarea de căldură din surse regenerabile, cogenerarea de înaltă eficiență, producția și utilizarea hidrogenului din surse regenerabile și a gazelor din surse regenerabile, în cazul în care opțiunile tehnologice pentru decarbonizare, inclusiv prin electrificare, sunt mai limitate; </w:t>
      </w:r>
    </w:p>
    <w:p w14:paraId="0D8DEFDF" w14:textId="77777777" w:rsidR="00A15990" w:rsidRDefault="00686A62">
      <w:pPr>
        <w:pStyle w:val="P68B1DB1-Normal4"/>
        <w:keepNext/>
        <w:numPr>
          <w:ilvl w:val="0"/>
          <w:numId w:val="29"/>
        </w:numPr>
        <w:spacing w:before="40" w:after="120" w:line="240" w:lineRule="auto"/>
        <w:contextualSpacing/>
        <w:jc w:val="both"/>
        <w:rPr>
          <w:rFonts w:eastAsiaTheme="minorEastAsia" w:cs="Times New Roman"/>
          <w:noProof/>
        </w:rPr>
      </w:pPr>
      <w:r>
        <w:rPr>
          <w:noProof/>
        </w:rPr>
        <w:t>elaborarea de foi de parcurs privind decarbonizarea și de inițiative de consolidare a capacităților, de exemplu prin identificarea și diseminarea de soluții tehnologice eficace, activități de formare, platforme de schimb de informații.</w:t>
      </w:r>
    </w:p>
    <w:p w14:paraId="1937EF51" w14:textId="2F797FB0" w:rsidR="00A15990" w:rsidRDefault="00686A62">
      <w:pPr>
        <w:pStyle w:val="P68B1DB1-Normal4"/>
        <w:keepNext/>
        <w:spacing w:before="40" w:after="0" w:line="259" w:lineRule="auto"/>
        <w:jc w:val="both"/>
        <w:rPr>
          <w:rFonts w:eastAsiaTheme="minorEastAsia" w:cs="Times New Roman"/>
          <w:noProof/>
        </w:rPr>
      </w:pPr>
      <w:r>
        <w:rPr>
          <w:noProof/>
        </w:rPr>
        <w:t xml:space="preserve">Sprijinul se acordă prin proceduri de licitație (2021-2024) atât întreprinderilor mici și mijlocii, cât și întreprinderilor mari din domeniul industriei și al producției de energie, inclusiv organismelor de gestionare a zonelor industriale, operatorilor de sisteme de transport și distribuție a energiei, asociațiilor de întreprinderi din industrie și energie și altor entități. Investiția vizează sprijinirea a cel puțin 310 de proiecte de diferite dimensiuni: mică (în medie 1 000 000 EUR), medie (5 000 000 EUR în medie) și mare (10 000 000 EUR în medie). Licitația se axează pe sectoarele cu cele mai mari emisii de gaze cu efect de seră, dar este deschisă întregului sector industrial, acoperind atât instalațiile ETS, cât și cele din afara ETS. Proiectele selectate în domeniul de intervenție 024ter duc la o reducere a emisiilor de GES cu cel puțin 30 % în instalațiile industriale în cauză, contribuind la obiectivele climatice ale Portugaliei în cadrul punerii în aplicare a planului național privind energia și clima. </w:t>
      </w:r>
    </w:p>
    <w:p w14:paraId="11E4BDD6" w14:textId="77777777" w:rsidR="00A15990" w:rsidRDefault="00686A62">
      <w:pPr>
        <w:pStyle w:val="P68B1DB1-Normal4"/>
        <w:keepNext/>
        <w:spacing w:before="40" w:after="0" w:line="259" w:lineRule="auto"/>
        <w:jc w:val="both"/>
        <w:rPr>
          <w:rFonts w:eastAsiaTheme="minorEastAsia" w:cs="Times New Roman"/>
          <w:noProof/>
        </w:rPr>
      </w:pPr>
      <w:r>
        <w:rPr>
          <w:noProof/>
        </w:rPr>
        <w:t>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44"/>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45"/>
      </w:r>
      <w:r>
        <w:rPr>
          <w:noProof/>
        </w:rPr>
        <w:t>; activități legate de depozitele de deșeuri, incineratoarele</w:t>
      </w:r>
      <w:r>
        <w:rPr>
          <w:noProof/>
        </w:rPr>
        <w:footnoteReference w:id="46"/>
      </w:r>
      <w:r>
        <w:rPr>
          <w:noProof/>
        </w:rPr>
        <w:t xml:space="preserve"> și stațiile de tratare mecano-biologică</w:t>
      </w:r>
      <w:r>
        <w:rPr>
          <w:noProof/>
        </w:rPr>
        <w:footnoteReference w:id="47"/>
      </w:r>
      <w:r>
        <w:rPr>
          <w:noProof/>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371668F9"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54B8E0F2"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234"/>
          <w:headerReference w:type="default" r:id="rId235"/>
          <w:footerReference w:type="even" r:id="rId236"/>
          <w:footerReference w:type="default" r:id="rId237"/>
          <w:headerReference w:type="first" r:id="rId238"/>
          <w:footerReference w:type="first" r:id="rId239"/>
          <w:pgSz w:w="11907" w:h="16839"/>
          <w:pgMar w:top="1134" w:right="1134" w:bottom="1134" w:left="1134" w:header="567" w:footer="567" w:gutter="0"/>
          <w:cols w:space="720"/>
          <w:docGrid w:linePitch="360"/>
        </w:sectPr>
      </w:pPr>
    </w:p>
    <w:p w14:paraId="539A7A4E"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 xml:space="preserve">K.2. </w:t>
      </w:r>
      <w:r>
        <w:rPr>
          <w:noProof/>
        </w:rPr>
        <w:tab/>
        <w:t>Obiective de etapă, ținte, indicatori și calendar pentru monitorizarea și punerea în aplicare a sprijinului financiar nerambursabil</w:t>
      </w:r>
    </w:p>
    <w:p w14:paraId="6852ECBB"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pPr w:leftFromText="180" w:rightFromText="180" w:vertAnchor="text" w:tblpX="-176"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55"/>
        <w:gridCol w:w="720"/>
        <w:gridCol w:w="3969"/>
      </w:tblGrid>
      <w:tr w:rsidR="00A15990" w14:paraId="62BD13B6" w14:textId="77777777">
        <w:trPr>
          <w:trHeight w:val="910"/>
          <w:tblHeader/>
        </w:trPr>
        <w:tc>
          <w:tcPr>
            <w:tcW w:w="1135" w:type="dxa"/>
            <w:vMerge w:val="restart"/>
            <w:shd w:val="clear" w:color="auto" w:fill="BDD6EE"/>
            <w:vAlign w:val="center"/>
            <w:hideMark/>
          </w:tcPr>
          <w:p w14:paraId="5050BF70"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44CD0F0B"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shd w:val="clear" w:color="auto" w:fill="BDD6EE"/>
            <w:vAlign w:val="center"/>
            <w:hideMark/>
          </w:tcPr>
          <w:p w14:paraId="09C6ED4B" w14:textId="61929E39" w:rsidR="00A15990" w:rsidRDefault="008D37D6">
            <w:pPr>
              <w:pStyle w:val="P68B1DB1-Normal6"/>
              <w:spacing w:after="0" w:line="240" w:lineRule="auto"/>
              <w:jc w:val="center"/>
              <w:rPr>
                <w:rFonts w:eastAsia="Times New Roman" w:cs="Times New Roman"/>
                <w:noProof/>
                <w:sz w:val="14"/>
              </w:rPr>
            </w:pPr>
            <w:r>
              <w:rPr>
                <w:noProof/>
              </w:rPr>
              <w:t>Jalon</w:t>
            </w:r>
            <w:r w:rsidR="00686A62">
              <w:rPr>
                <w:noProof/>
              </w:rPr>
              <w:t>/</w:t>
            </w:r>
          </w:p>
        </w:tc>
        <w:tc>
          <w:tcPr>
            <w:tcW w:w="1701" w:type="dxa"/>
            <w:vMerge w:val="restart"/>
            <w:shd w:val="clear" w:color="auto" w:fill="BDD6EE"/>
            <w:vAlign w:val="center"/>
            <w:hideMark/>
          </w:tcPr>
          <w:p w14:paraId="2F8A16FC"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5FA098FD"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shd w:val="clear" w:color="auto" w:fill="BDD6EE"/>
            <w:vAlign w:val="center"/>
            <w:hideMark/>
          </w:tcPr>
          <w:p w14:paraId="2F19FAC7"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12B6681B"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7AC4960B"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521639A7" w14:textId="77777777">
        <w:trPr>
          <w:trHeight w:val="470"/>
          <w:tblHeader/>
        </w:trPr>
        <w:tc>
          <w:tcPr>
            <w:tcW w:w="1135" w:type="dxa"/>
            <w:vMerge/>
            <w:vAlign w:val="center"/>
            <w:hideMark/>
          </w:tcPr>
          <w:p w14:paraId="0AAA26BB"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3C9C7FD8" w14:textId="77777777" w:rsidR="00A15990" w:rsidRDefault="00A15990">
            <w:pPr>
              <w:spacing w:after="0" w:line="240" w:lineRule="auto"/>
              <w:rPr>
                <w:rFonts w:ascii="Times New Roman" w:eastAsia="Times New Roman" w:hAnsi="Times New Roman" w:cs="Times New Roman"/>
                <w:b/>
                <w:noProof/>
                <w:sz w:val="18"/>
              </w:rPr>
            </w:pPr>
          </w:p>
        </w:tc>
        <w:tc>
          <w:tcPr>
            <w:tcW w:w="1134" w:type="dxa"/>
            <w:shd w:val="clear" w:color="auto" w:fill="BDD6EE"/>
            <w:vAlign w:val="center"/>
            <w:hideMark/>
          </w:tcPr>
          <w:p w14:paraId="5AE145E1" w14:textId="77777777" w:rsidR="00A15990" w:rsidRDefault="00686A62">
            <w:pPr>
              <w:pStyle w:val="P68B1DB1-Normal6"/>
              <w:spacing w:after="0" w:line="240" w:lineRule="auto"/>
              <w:jc w:val="center"/>
              <w:rPr>
                <w:rFonts w:eastAsia="Times New Roman" w:cs="Times New Roman"/>
                <w:noProof/>
                <w:sz w:val="14"/>
              </w:rPr>
            </w:pPr>
            <w:r>
              <w:rPr>
                <w:noProof/>
              </w:rPr>
              <w:t>Țintă</w:t>
            </w:r>
          </w:p>
        </w:tc>
        <w:tc>
          <w:tcPr>
            <w:tcW w:w="1701" w:type="dxa"/>
            <w:vMerge/>
            <w:vAlign w:val="center"/>
            <w:hideMark/>
          </w:tcPr>
          <w:p w14:paraId="0F429C5D"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0975442D"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72C52226"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0FBC07AA"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vAlign w:val="center"/>
            <w:hideMark/>
          </w:tcPr>
          <w:p w14:paraId="3B7EC1FA"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55" w:type="dxa"/>
            <w:shd w:val="clear" w:color="auto" w:fill="BDD6EE"/>
            <w:vAlign w:val="center"/>
            <w:hideMark/>
          </w:tcPr>
          <w:p w14:paraId="08E456A9" w14:textId="77777777" w:rsidR="00A15990" w:rsidRDefault="00686A62">
            <w:pPr>
              <w:pStyle w:val="P68B1DB1-Normal6"/>
              <w:spacing w:after="0" w:line="240" w:lineRule="auto"/>
              <w:jc w:val="center"/>
              <w:rPr>
                <w:rFonts w:eastAsia="Times New Roman" w:cs="Times New Roman"/>
                <w:noProof/>
              </w:rPr>
            </w:pPr>
            <w:r>
              <w:rPr>
                <w:noProof/>
              </w:rPr>
              <w:t>Q</w:t>
            </w:r>
          </w:p>
        </w:tc>
        <w:tc>
          <w:tcPr>
            <w:tcW w:w="720" w:type="dxa"/>
            <w:shd w:val="clear" w:color="auto" w:fill="BDD6EE"/>
            <w:vAlign w:val="center"/>
            <w:hideMark/>
          </w:tcPr>
          <w:p w14:paraId="3ADD45C5"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55CA6F21" w14:textId="77777777" w:rsidR="00A15990" w:rsidRDefault="00A15990">
            <w:pPr>
              <w:spacing w:after="0" w:line="240" w:lineRule="auto"/>
              <w:rPr>
                <w:rFonts w:ascii="Times New Roman" w:eastAsia="Times New Roman" w:hAnsi="Times New Roman" w:cs="Times New Roman"/>
                <w:b/>
                <w:noProof/>
                <w:sz w:val="18"/>
              </w:rPr>
            </w:pPr>
          </w:p>
        </w:tc>
      </w:tr>
      <w:tr w:rsidR="00A15990" w14:paraId="528553E7" w14:textId="77777777">
        <w:trPr>
          <w:trHeight w:val="630"/>
        </w:trPr>
        <w:tc>
          <w:tcPr>
            <w:tcW w:w="1135" w:type="dxa"/>
            <w:shd w:val="clear" w:color="auto" w:fill="C4EFCE"/>
            <w:vAlign w:val="center"/>
            <w:hideMark/>
          </w:tcPr>
          <w:p w14:paraId="39AE8E64" w14:textId="77777777" w:rsidR="00A15990" w:rsidRDefault="00686A62">
            <w:pPr>
              <w:pStyle w:val="P68B1DB1-Normal7"/>
              <w:spacing w:after="0" w:line="240" w:lineRule="auto"/>
              <w:jc w:val="center"/>
              <w:rPr>
                <w:rFonts w:eastAsia="Times New Roman" w:cs="Calibri"/>
                <w:noProof/>
              </w:rPr>
            </w:pPr>
            <w:r>
              <w:rPr>
                <w:noProof/>
              </w:rPr>
              <w:t>11.1</w:t>
            </w:r>
          </w:p>
        </w:tc>
        <w:tc>
          <w:tcPr>
            <w:tcW w:w="1276" w:type="dxa"/>
            <w:shd w:val="clear" w:color="auto" w:fill="C4EFCE"/>
            <w:noWrap/>
            <w:vAlign w:val="center"/>
            <w:hideMark/>
          </w:tcPr>
          <w:p w14:paraId="78995A2E" w14:textId="77777777" w:rsidR="00A15990" w:rsidRDefault="00686A62">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2E259E55"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37F406" w14:textId="77777777" w:rsidR="00A15990" w:rsidRDefault="00686A62">
            <w:pPr>
              <w:pStyle w:val="P68B1DB1-Normal8"/>
              <w:spacing w:after="0" w:line="240" w:lineRule="auto"/>
              <w:jc w:val="center"/>
              <w:rPr>
                <w:rFonts w:eastAsia="Times New Roman" w:cs="Calibri"/>
                <w:noProof/>
              </w:rPr>
            </w:pPr>
            <w:r>
              <w:rPr>
                <w:noProof/>
              </w:rPr>
              <w:t xml:space="preserve">Prima cerere de oferte pentru proiecte de decarbonizare industrială </w:t>
            </w:r>
          </w:p>
        </w:tc>
        <w:tc>
          <w:tcPr>
            <w:tcW w:w="1275" w:type="dxa"/>
            <w:shd w:val="clear" w:color="auto" w:fill="C4EFCE"/>
            <w:noWrap/>
            <w:vAlign w:val="center"/>
            <w:hideMark/>
          </w:tcPr>
          <w:p w14:paraId="21997F85" w14:textId="77777777" w:rsidR="00A15990" w:rsidRDefault="00686A62">
            <w:pPr>
              <w:pStyle w:val="P68B1DB1-Normal8"/>
              <w:spacing w:after="0" w:line="240" w:lineRule="auto"/>
              <w:jc w:val="center"/>
              <w:rPr>
                <w:rFonts w:eastAsia="Times New Roman" w:cs="Calibri"/>
                <w:noProof/>
              </w:rPr>
            </w:pPr>
            <w:r>
              <w:rPr>
                <w:noProof/>
              </w:rPr>
              <w:t>A fost deschisă prima cerere de oferte</w:t>
            </w:r>
          </w:p>
        </w:tc>
        <w:tc>
          <w:tcPr>
            <w:tcW w:w="993" w:type="dxa"/>
            <w:shd w:val="clear" w:color="auto" w:fill="C4EFCE"/>
            <w:noWrap/>
            <w:vAlign w:val="center"/>
            <w:hideMark/>
          </w:tcPr>
          <w:p w14:paraId="18BDD62E"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5CE536A"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762E5E6" w14:textId="77777777" w:rsidR="00A15990" w:rsidRDefault="00686A62">
            <w:pPr>
              <w:pStyle w:val="P68B1DB1-Normal8"/>
              <w:spacing w:after="0" w:line="240" w:lineRule="auto"/>
              <w:jc w:val="center"/>
              <w:rPr>
                <w:rFonts w:eastAsia="Times New Roman" w:cs="Calibri"/>
                <w:noProof/>
              </w:rPr>
            </w:pPr>
            <w:r>
              <w:rPr>
                <w:noProof/>
              </w:rPr>
              <w:t> </w:t>
            </w:r>
          </w:p>
        </w:tc>
        <w:tc>
          <w:tcPr>
            <w:tcW w:w="555" w:type="dxa"/>
            <w:shd w:val="clear" w:color="auto" w:fill="C4EFCE"/>
            <w:noWrap/>
            <w:vAlign w:val="center"/>
            <w:hideMark/>
          </w:tcPr>
          <w:p w14:paraId="481A5A9B" w14:textId="77777777" w:rsidR="00A15990" w:rsidRDefault="00686A62">
            <w:pPr>
              <w:pStyle w:val="P68B1DB1-Normal8"/>
              <w:spacing w:after="0" w:line="240" w:lineRule="auto"/>
              <w:jc w:val="center"/>
              <w:rPr>
                <w:rFonts w:eastAsia="Times New Roman" w:cs="Calibri"/>
                <w:noProof/>
              </w:rPr>
            </w:pPr>
            <w:r>
              <w:rPr>
                <w:noProof/>
              </w:rPr>
              <w:t>TRIMESTRUL 4</w:t>
            </w:r>
          </w:p>
        </w:tc>
        <w:tc>
          <w:tcPr>
            <w:tcW w:w="720" w:type="dxa"/>
            <w:shd w:val="clear" w:color="auto" w:fill="C4EFCE"/>
            <w:noWrap/>
            <w:vAlign w:val="center"/>
            <w:hideMark/>
          </w:tcPr>
          <w:p w14:paraId="3612D309"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19006C92" w14:textId="77777777" w:rsidR="00A15990" w:rsidRDefault="00686A62">
            <w:pPr>
              <w:pStyle w:val="P68B1DB1-Normal8"/>
              <w:spacing w:after="0" w:line="240" w:lineRule="auto"/>
              <w:jc w:val="both"/>
              <w:rPr>
                <w:rFonts w:eastAsia="Times New Roman" w:cs="Calibri"/>
                <w:noProof/>
              </w:rPr>
            </w:pPr>
            <w:r>
              <w:rPr>
                <w:noProof/>
              </w:rPr>
              <w:t xml:space="preserve">Deschiderea primei cereri de propuneri pentru proiecte de decarbonizare industrială care se referă la cel puțin unul dintre următoarele domenii: procese și tehnologii cu emisii scăzute de dioxid de carbon; adoptarea de măsuri de eficiență energetică; încorporarea energiei din surse regenerabile și stocarea energiei; și responsabilizarea întreprinderilor. </w:t>
            </w:r>
          </w:p>
          <w:p w14:paraId="730294B7" w14:textId="77777777" w:rsidR="00A15990" w:rsidRDefault="00686A62">
            <w:pPr>
              <w:pStyle w:val="P68B1DB1-Normal8"/>
              <w:spacing w:after="0" w:line="240" w:lineRule="auto"/>
              <w:jc w:val="both"/>
              <w:rPr>
                <w:rFonts w:eastAsia="Times New Roman" w:cs="Calibri"/>
                <w:noProof/>
              </w:rPr>
            </w:pPr>
            <w:r>
              <w:rPr>
                <w:noProof/>
              </w:rPr>
              <w:t xml:space="preserve">Termenii de referință includ criterii de eligibilitate care garantează că proiectele selectate respectă Orientările tehnice de „a nu prejudicia în mod semnificativ” (2021/C58/01) prin utilizarea unei liste de excludere și a cerinței de conformitate cu legislația UE și națională relevantă în materie de mediu. </w:t>
            </w:r>
          </w:p>
          <w:p w14:paraId="0B36DB3C" w14:textId="349C80B6" w:rsidR="00A15990" w:rsidRDefault="00686A62">
            <w:pPr>
              <w:pStyle w:val="P68B1DB1-Normal8"/>
              <w:spacing w:after="0" w:line="240" w:lineRule="auto"/>
              <w:jc w:val="both"/>
              <w:rPr>
                <w:rFonts w:eastAsia="Times New Roman" w:cs="Calibri"/>
                <w:noProof/>
              </w:rPr>
            </w:pPr>
            <w:r>
              <w:rPr>
                <w:noProof/>
              </w:rPr>
              <w:t>Prezenta cerere de oferte asigură o reducere medie de 30 % a emisiilor directe și indirecte de GES pentru instalațiile industriale care beneficiază de sprijin pentru proiecte care se încadrează în domeniul de intervenție 024b. Proiectele cu cea mai mare eficiență a decarbonizării sunt sprijinite în mod prioritar.</w:t>
            </w:r>
          </w:p>
        </w:tc>
      </w:tr>
      <w:tr w:rsidR="00A15990" w14:paraId="04058E6B" w14:textId="77777777">
        <w:trPr>
          <w:trHeight w:val="630"/>
        </w:trPr>
        <w:tc>
          <w:tcPr>
            <w:tcW w:w="1135" w:type="dxa"/>
            <w:shd w:val="clear" w:color="auto" w:fill="C4EFCE"/>
            <w:vAlign w:val="center"/>
            <w:hideMark/>
          </w:tcPr>
          <w:p w14:paraId="2517AFD7" w14:textId="77777777" w:rsidR="00A15990" w:rsidRDefault="00686A62">
            <w:pPr>
              <w:pStyle w:val="P68B1DB1-Normal7"/>
              <w:spacing w:after="0" w:line="240" w:lineRule="auto"/>
              <w:jc w:val="center"/>
              <w:rPr>
                <w:rFonts w:eastAsia="Times New Roman" w:cs="Calibri"/>
                <w:noProof/>
              </w:rPr>
            </w:pPr>
            <w:r>
              <w:rPr>
                <w:noProof/>
              </w:rPr>
              <w:t>11.2</w:t>
            </w:r>
          </w:p>
        </w:tc>
        <w:tc>
          <w:tcPr>
            <w:tcW w:w="1276" w:type="dxa"/>
            <w:shd w:val="clear" w:color="auto" w:fill="C4EFCE"/>
            <w:noWrap/>
            <w:vAlign w:val="center"/>
            <w:hideMark/>
          </w:tcPr>
          <w:p w14:paraId="18C1A1E0" w14:textId="77777777" w:rsidR="00A15990" w:rsidRDefault="00686A62">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576BCEE3"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DECC35D" w14:textId="77777777" w:rsidR="00A15990" w:rsidRDefault="00686A62">
            <w:pPr>
              <w:pStyle w:val="P68B1DB1-Normal8"/>
              <w:spacing w:after="0" w:line="240" w:lineRule="auto"/>
              <w:jc w:val="center"/>
              <w:rPr>
                <w:rFonts w:eastAsia="Times New Roman" w:cs="Calibri"/>
                <w:noProof/>
              </w:rPr>
            </w:pPr>
            <w:r>
              <w:rPr>
                <w:noProof/>
              </w:rPr>
              <w:t>Semnarea contractelor de acordare a sprijinului financiar</w:t>
            </w:r>
          </w:p>
        </w:tc>
        <w:tc>
          <w:tcPr>
            <w:tcW w:w="1275" w:type="dxa"/>
            <w:shd w:val="clear" w:color="auto" w:fill="C4EFCE"/>
            <w:noWrap/>
            <w:vAlign w:val="center"/>
            <w:hideMark/>
          </w:tcPr>
          <w:p w14:paraId="5F0FAC03" w14:textId="77777777" w:rsidR="00A15990" w:rsidRDefault="00686A62">
            <w:pPr>
              <w:pStyle w:val="P68B1DB1-Normal8"/>
              <w:spacing w:after="0" w:line="240" w:lineRule="auto"/>
              <w:jc w:val="center"/>
              <w:rPr>
                <w:rFonts w:eastAsia="Times New Roman" w:cs="Calibri"/>
                <w:noProof/>
              </w:rPr>
            </w:pPr>
            <w:r>
              <w:rPr>
                <w:noProof/>
              </w:rPr>
              <w:t>Semnarea contractelor de acordare a sprijinului financiar</w:t>
            </w:r>
          </w:p>
        </w:tc>
        <w:tc>
          <w:tcPr>
            <w:tcW w:w="993" w:type="dxa"/>
            <w:shd w:val="clear" w:color="auto" w:fill="C4EFCE"/>
            <w:noWrap/>
            <w:vAlign w:val="center"/>
            <w:hideMark/>
          </w:tcPr>
          <w:p w14:paraId="7746D823"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DEA9E0"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4027FD9F" w14:textId="77777777" w:rsidR="00A15990" w:rsidRDefault="00686A62">
            <w:pPr>
              <w:pStyle w:val="P68B1DB1-Normal8"/>
              <w:spacing w:after="0" w:line="240" w:lineRule="auto"/>
              <w:rPr>
                <w:rFonts w:eastAsia="Times New Roman" w:cs="Calibri"/>
                <w:noProof/>
              </w:rPr>
            </w:pPr>
            <w:r>
              <w:rPr>
                <w:noProof/>
              </w:rPr>
              <w:t> </w:t>
            </w:r>
          </w:p>
        </w:tc>
        <w:tc>
          <w:tcPr>
            <w:tcW w:w="555" w:type="dxa"/>
            <w:shd w:val="clear" w:color="auto" w:fill="C4EFCE"/>
            <w:noWrap/>
            <w:vAlign w:val="center"/>
            <w:hideMark/>
          </w:tcPr>
          <w:p w14:paraId="5939915B" w14:textId="77777777" w:rsidR="00A15990" w:rsidRDefault="00686A62">
            <w:pPr>
              <w:pStyle w:val="P68B1DB1-Normal8"/>
              <w:spacing w:after="0" w:line="240" w:lineRule="auto"/>
              <w:jc w:val="center"/>
              <w:rPr>
                <w:rFonts w:eastAsia="Times New Roman" w:cs="Calibri"/>
                <w:noProof/>
              </w:rPr>
            </w:pPr>
            <w:r>
              <w:rPr>
                <w:noProof/>
              </w:rPr>
              <w:t>TRIMESTRUL 4</w:t>
            </w:r>
          </w:p>
        </w:tc>
        <w:tc>
          <w:tcPr>
            <w:tcW w:w="720" w:type="dxa"/>
            <w:shd w:val="clear" w:color="auto" w:fill="C4EFCE"/>
            <w:noWrap/>
            <w:vAlign w:val="center"/>
            <w:hideMark/>
          </w:tcPr>
          <w:p w14:paraId="108A2CAC" w14:textId="77777777" w:rsidR="00A15990" w:rsidRDefault="00686A62">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7EF1A53F" w14:textId="77777777" w:rsidR="00A15990" w:rsidRDefault="00686A62">
            <w:pPr>
              <w:pStyle w:val="P68B1DB1-Normal8"/>
              <w:spacing w:after="0" w:line="240" w:lineRule="auto"/>
              <w:jc w:val="both"/>
              <w:rPr>
                <w:rFonts w:eastAsia="Times New Roman" w:cs="Calibri"/>
                <w:noProof/>
              </w:rPr>
            </w:pPr>
            <w:r>
              <w:rPr>
                <w:noProof/>
              </w:rPr>
              <w:t xml:space="preserve">Cel puțin 383 000 000 EUR acordate pentru proiecte de decarbonizare industrială care se referă la cel puțin unul dintre următoarele domenii: procese și tehnologii cu emisii scăzute de dioxid de carbon; adoptarea de măsuri de eficiență energetică; încorporarea energiei din surse regenerabile și stocarea energiei; și responsabilizarea întreprinderilor. </w:t>
            </w:r>
          </w:p>
          <w:p w14:paraId="1FE08972" w14:textId="2AB1B821" w:rsidR="00A15990" w:rsidRDefault="00686A62">
            <w:pPr>
              <w:pStyle w:val="P68B1DB1-Normal8"/>
              <w:spacing w:after="0" w:line="240" w:lineRule="auto"/>
              <w:jc w:val="both"/>
              <w:rPr>
                <w:rFonts w:eastAsia="Times New Roman" w:cs="Calibri"/>
                <w:noProof/>
              </w:rPr>
            </w:pPr>
            <w:r>
              <w:rPr>
                <w:noProof/>
              </w:rPr>
              <w:t>Atribuirea contractelor proiectelor selectate în cadrul cererilor competitive de propuneri menționate în jalonul de mai sus asigură conformitatea cu Orientările tehnice de „a nu prejudicia în mod semnificativ” (2021/C58/01) prin utilizarea unei liste de excludere și a cerinței de conformitate cu legislația UE și națională relevantă în materie de mediu.</w:t>
            </w:r>
          </w:p>
        </w:tc>
      </w:tr>
      <w:tr w:rsidR="00A15990" w14:paraId="73B08E92" w14:textId="77777777">
        <w:trPr>
          <w:trHeight w:val="1690"/>
        </w:trPr>
        <w:tc>
          <w:tcPr>
            <w:tcW w:w="1135" w:type="dxa"/>
            <w:shd w:val="clear" w:color="auto" w:fill="C4EFCE"/>
            <w:vAlign w:val="center"/>
            <w:hideMark/>
          </w:tcPr>
          <w:p w14:paraId="06C03D7F" w14:textId="77777777" w:rsidR="00A15990" w:rsidRDefault="00686A62">
            <w:pPr>
              <w:pStyle w:val="P68B1DB1-Normal7"/>
              <w:spacing w:after="0" w:line="240" w:lineRule="auto"/>
              <w:jc w:val="center"/>
              <w:rPr>
                <w:rFonts w:eastAsia="Times New Roman" w:cs="Calibri"/>
                <w:noProof/>
              </w:rPr>
            </w:pPr>
            <w:r>
              <w:rPr>
                <w:noProof/>
              </w:rPr>
              <w:t>11.3</w:t>
            </w:r>
          </w:p>
        </w:tc>
        <w:tc>
          <w:tcPr>
            <w:tcW w:w="1276" w:type="dxa"/>
            <w:shd w:val="clear" w:color="auto" w:fill="C4EFCE"/>
            <w:noWrap/>
            <w:vAlign w:val="center"/>
            <w:hideMark/>
          </w:tcPr>
          <w:p w14:paraId="1803E8D0" w14:textId="77777777" w:rsidR="00A15990" w:rsidRDefault="00686A62">
            <w:pPr>
              <w:pStyle w:val="P68B1DB1-Normal8"/>
              <w:spacing w:after="0" w:line="240" w:lineRule="auto"/>
              <w:jc w:val="center"/>
              <w:rPr>
                <w:rFonts w:eastAsia="Times New Roman" w:cs="Calibri"/>
                <w:noProof/>
              </w:rPr>
            </w:pPr>
            <w:r>
              <w:rPr>
                <w:noProof/>
              </w:rPr>
              <w:t>TC-C11-I01</w:t>
            </w:r>
          </w:p>
        </w:tc>
        <w:tc>
          <w:tcPr>
            <w:tcW w:w="1134" w:type="dxa"/>
            <w:shd w:val="clear" w:color="auto" w:fill="C4EFCE"/>
            <w:noWrap/>
            <w:vAlign w:val="center"/>
            <w:hideMark/>
          </w:tcPr>
          <w:p w14:paraId="69072576"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351F05" w14:textId="77777777" w:rsidR="00A15990" w:rsidRDefault="00686A62">
            <w:pPr>
              <w:pStyle w:val="P68B1DB1-Normal8"/>
              <w:spacing w:after="0" w:line="240" w:lineRule="auto"/>
              <w:jc w:val="center"/>
              <w:rPr>
                <w:rFonts w:eastAsia="Times New Roman" w:cs="Calibri"/>
                <w:noProof/>
              </w:rPr>
            </w:pPr>
            <w:r>
              <w:rPr>
                <w:noProof/>
              </w:rPr>
              <w:t>Sprijin financiar pentru proiectele de decarbonizare industrială</w:t>
            </w:r>
          </w:p>
        </w:tc>
        <w:tc>
          <w:tcPr>
            <w:tcW w:w="1275" w:type="dxa"/>
            <w:shd w:val="clear" w:color="auto" w:fill="C4EFCE"/>
            <w:noWrap/>
            <w:vAlign w:val="center"/>
            <w:hideMark/>
          </w:tcPr>
          <w:p w14:paraId="5AF3E605"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9CC3A89"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0AEE891E"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C0EF439" w14:textId="63244C11" w:rsidR="00A15990" w:rsidRDefault="00686A62">
            <w:pPr>
              <w:pStyle w:val="P68B1DB1-Normal8"/>
              <w:spacing w:after="0" w:line="240" w:lineRule="auto"/>
              <w:jc w:val="center"/>
              <w:rPr>
                <w:rFonts w:eastAsia="Times New Roman" w:cs="Calibri"/>
                <w:noProof/>
              </w:rPr>
            </w:pPr>
            <w:r>
              <w:rPr>
                <w:noProof/>
              </w:rPr>
              <w:t>310</w:t>
            </w:r>
          </w:p>
        </w:tc>
        <w:tc>
          <w:tcPr>
            <w:tcW w:w="555" w:type="dxa"/>
            <w:shd w:val="clear" w:color="auto" w:fill="C4EFCE"/>
            <w:noWrap/>
            <w:vAlign w:val="center"/>
            <w:hideMark/>
          </w:tcPr>
          <w:p w14:paraId="64BC34FA" w14:textId="77777777" w:rsidR="00A15990" w:rsidRDefault="00686A62">
            <w:pPr>
              <w:pStyle w:val="P68B1DB1-Normal8"/>
              <w:spacing w:after="0" w:line="240" w:lineRule="auto"/>
              <w:jc w:val="center"/>
              <w:rPr>
                <w:rFonts w:eastAsia="Times New Roman" w:cs="Calibri"/>
                <w:noProof/>
              </w:rPr>
            </w:pPr>
            <w:r>
              <w:rPr>
                <w:noProof/>
              </w:rPr>
              <w:t>TRIMESTRUL 4</w:t>
            </w:r>
          </w:p>
        </w:tc>
        <w:tc>
          <w:tcPr>
            <w:tcW w:w="720" w:type="dxa"/>
            <w:shd w:val="clear" w:color="auto" w:fill="C4EFCE"/>
            <w:noWrap/>
            <w:vAlign w:val="center"/>
            <w:hideMark/>
          </w:tcPr>
          <w:p w14:paraId="234947D8"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D55E7F5" w14:textId="77777777" w:rsidR="00A15990" w:rsidRDefault="00686A62">
            <w:pPr>
              <w:pStyle w:val="P68B1DB1-Normal8"/>
              <w:spacing w:after="0" w:line="240" w:lineRule="auto"/>
              <w:jc w:val="both"/>
              <w:rPr>
                <w:rFonts w:eastAsia="Times New Roman" w:cs="Calibri"/>
                <w:noProof/>
              </w:rPr>
            </w:pPr>
            <w:r>
              <w:rPr>
                <w:noProof/>
              </w:rPr>
              <w:t xml:space="preserve">Numărul de proiecte care au primit sprijin financiar pentru decarbonizarea industriei și care se referă la cel puțin unul dintre următoarele domenii: procese și tehnologii cu emisii scăzute de dioxid de carbon; adoptarea de măsuri de eficiență energetică; și încorporarea energiei din surse regenerabile și stocarea energiei. Pentru instalațiile industriale care beneficiază de sprijin se asigură o reducere în medie cu 30 % a emisiilor directe și indirecte de GES pentru proiectele care se încadrează în domeniul de intervenție 024b și conformitatea cu orientările tehnice aferente principiului DNSH (2021/C58/01), inclusiv pentru instalațiile care fac obiectul schemei UE de comercializare a certificatelor de emisii, pentru a se asigura că instalațiile care beneficiază de sprijin realizează emisii de GES preconizate care se situează sub valoarea de referință stabilită pentru alocarea cu titlu gratuit, astfel cum se prevede în regulamentul de punere în aplicare (UE) 2021/447 al Comisiei. </w:t>
            </w:r>
          </w:p>
        </w:tc>
      </w:tr>
    </w:tbl>
    <w:p w14:paraId="575A7ECF"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63D1B59A" w14:textId="77777777" w:rsidR="00A15990" w:rsidRDefault="00A15990">
      <w:pPr>
        <w:keepNext/>
        <w:spacing w:before="40" w:after="0" w:line="259" w:lineRule="auto"/>
        <w:jc w:val="both"/>
        <w:outlineLvl w:val="1"/>
        <w:rPr>
          <w:rFonts w:ascii="Times New Roman" w:eastAsiaTheme="minorEastAsia" w:hAnsi="Times New Roman" w:cs="Times New Roman"/>
          <w:noProof/>
          <w:sz w:val="24"/>
          <w:u w:val="single"/>
        </w:rPr>
        <w:sectPr w:rsidR="00A15990" w:rsidSect="00E00EDD">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134" w:right="1134" w:bottom="1134" w:left="1134" w:header="567" w:footer="567" w:gutter="0"/>
          <w:cols w:space="720"/>
          <w:docGrid w:linePitch="360"/>
        </w:sectPr>
      </w:pPr>
    </w:p>
    <w:p w14:paraId="7F30AF75"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L. COMPONENTA 12: Bioeconomie</w:t>
      </w:r>
    </w:p>
    <w:p w14:paraId="09C80588" w14:textId="77777777" w:rsidR="00A15990" w:rsidRDefault="00686A62">
      <w:pPr>
        <w:pStyle w:val="P68B1DB1-Normal4"/>
        <w:spacing w:before="40" w:after="0" w:line="259" w:lineRule="auto"/>
        <w:jc w:val="both"/>
        <w:rPr>
          <w:rFonts w:eastAsiaTheme="minorEastAsia" w:cs="Times New Roman"/>
          <w:noProof/>
        </w:rPr>
      </w:pPr>
      <w:r>
        <w:rPr>
          <w:noProof/>
        </w:rPr>
        <w:t xml:space="preserve">Această componentă abordează provocarea reprezentată de dezvoltarea unei bioeconomii viabile, durabile, circulare și competitive. Se preconizează că o astfel de tranziție va sprijini modernizarea și consolidarea industriei prin crearea de noi lanțuri valorice și de procese industriale mai ecologice. </w:t>
      </w:r>
    </w:p>
    <w:p w14:paraId="5988E6C8"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acestei componente este de a promova și de a accelera dezvoltarea de produse cu valoare adăugată ridicată din resurse biologice ca alternativă la materialele pe bază de combustibili fosili.  </w:t>
      </w:r>
    </w:p>
    <w:p w14:paraId="740A5F38" w14:textId="1AE9A646" w:rsidR="00A15990" w:rsidRDefault="00686A62">
      <w:pPr>
        <w:pStyle w:val="P68B1DB1-Normal4"/>
        <w:spacing w:before="40" w:after="0" w:line="259" w:lineRule="auto"/>
        <w:jc w:val="both"/>
        <w:rPr>
          <w:rFonts w:eastAsiaTheme="minorEastAsia" w:cs="Times New Roman"/>
          <w:noProof/>
        </w:rPr>
      </w:pPr>
      <w:r>
        <w:rPr>
          <w:noProof/>
        </w:rPr>
        <w:t xml:space="preserve">Măsurile din cadrul acestei componente vizează sprijinirea schimbărilor structurale legate de această tranziție și contribuie la abordarea provocărilor globale și locale actuale, inclusiv schimbările climatice, reducerea dependenței de resursele fosile și dezvoltarea durabilă. Trei sectoare (textile și îmbrăcăminte, încălțăminte și rășină naturală) trebuie sprijinite în mod specific pentru dezvoltarea bioproduselor și pentru a deveni mai eficiente din punctul de vedere al utilizării resurselor. Componenta sprijină abordarea recomandărilor specifice fiecărei țări privind investițiile în tranziția verde, în special în producția și utilizarea curată și eficientă a energiei (recomandarea specifică fiecărei țări 3 2020), în investițiile în cercetare și inovare (recomandările specifice fiecărei țări 3 2019 și 2020) și în tranziția către o economie circulară, în special prin intensificarea prevenirii generării de deșeuri, a reciclării și a reutilizării acestora pentru a îndepărta deșeurile de la depozitele de deșeuri și incineratoare (recomandările specifice fiecărei țări 3 2022 și 2023). </w:t>
      </w:r>
    </w:p>
    <w:p w14:paraId="4CF3DC02" w14:textId="77777777" w:rsidR="00A15990" w:rsidRDefault="00686A62">
      <w:pPr>
        <w:pStyle w:val="P68B1DB1-Normal4"/>
        <w:spacing w:before="40" w:after="0" w:line="259" w:lineRule="auto"/>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424C0B86" w14:textId="77777777" w:rsidR="00A15990" w:rsidRDefault="00A15990">
      <w:pPr>
        <w:spacing w:before="40" w:after="0" w:line="259" w:lineRule="auto"/>
        <w:jc w:val="both"/>
        <w:rPr>
          <w:rFonts w:ascii="Times New Roman" w:eastAsiaTheme="minorEastAsia" w:hAnsi="Times New Roman" w:cs="Times New Roman"/>
          <w:noProof/>
          <w:sz w:val="24"/>
        </w:rPr>
      </w:pPr>
    </w:p>
    <w:p w14:paraId="7A62E280"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L.1. Descrierea reformelor și a investițiilor pentru sprijinul financiar nerambursabil</w:t>
      </w:r>
    </w:p>
    <w:p w14:paraId="3E984C00"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Reforma CC 25: Bioeconomia durabilă</w:t>
      </w:r>
    </w:p>
    <w:p w14:paraId="73A86D72" w14:textId="77777777" w:rsidR="00A15990" w:rsidRDefault="00686A62">
      <w:pPr>
        <w:pStyle w:val="P68B1DB1-Normal4"/>
        <w:spacing w:before="40" w:after="0" w:line="259" w:lineRule="auto"/>
        <w:jc w:val="both"/>
        <w:rPr>
          <w:rFonts w:eastAsiaTheme="minorEastAsia" w:cs="Times New Roman"/>
          <w:noProof/>
        </w:rPr>
      </w:pPr>
      <w:r>
        <w:rPr>
          <w:noProof/>
        </w:rPr>
        <w:t>Obiectivul reformei este de a promova și de a stimula conservarea și utilizarea eficientă a resurselor biologice. Reforma se încadrează în Planul de acțiune al Portugaliei în domeniul bioeconomiei durabile, care face obiectul unei consultări publice și acționează ca un cadru strategic pentru dezvoltarea durabilă la nivel național. Ca parte a efortului de promovare a bioeconomiei, Portugalia evaluează, de asemenea, stimulentele fiscale care ar putea îmbunătăți înlocuirea resurselor naturale neregenerabile cu alte resurse biologice.</w:t>
      </w:r>
    </w:p>
    <w:p w14:paraId="1F7B9944" w14:textId="77777777" w:rsidR="00A15990" w:rsidRDefault="00686A62">
      <w:pPr>
        <w:pStyle w:val="P68B1DB1-Normal4"/>
        <w:spacing w:before="40" w:after="0" w:line="259" w:lineRule="auto"/>
        <w:jc w:val="both"/>
        <w:rPr>
          <w:rFonts w:eastAsiaTheme="minorEastAsia" w:cs="Times New Roman"/>
          <w:noProof/>
        </w:rPr>
      </w:pPr>
      <w:r>
        <w:rPr>
          <w:noProof/>
        </w:rPr>
        <w:t xml:space="preserve">Reforma constă într-un nou sistem general de gestionare a deșeurilor (RGGR) și includerea unor criterii pentru achiziționarea de bioproduse durabile în revizuirea Strategiei naționale pentru achiziții publice ecologice. Această reformă urmărește să abordeze principalele obstacole și constrângeri identificate în valorificarea resurselor biologice pentru dezvoltarea unei bioindustrii durabile și circulare, respectând principiul utilizării în cascadă. </w:t>
      </w:r>
    </w:p>
    <w:p w14:paraId="63B37A13" w14:textId="77777777" w:rsidR="00A15990" w:rsidRDefault="00686A62">
      <w:pPr>
        <w:pStyle w:val="P68B1DB1-Normal4"/>
        <w:spacing w:before="40" w:after="0" w:line="259" w:lineRule="auto"/>
        <w:jc w:val="both"/>
        <w:rPr>
          <w:rFonts w:eastAsiaTheme="minorEastAsia" w:cs="Times New Roman"/>
          <w:noProof/>
        </w:rPr>
      </w:pPr>
      <w:r>
        <w:rPr>
          <w:noProof/>
        </w:rPr>
        <w:t>Punerea în aplicare a noului sistem general de gestionare a deșeurilor elimină cel puțin constrângerile privind utilizarea subproduselor sau a deșeurilor pentru produse noi prin simplificarea procedurilor de clasificare a substanțelor sau obiectelor ca subproduse, inclusiv din alte țări ale UE. Noul sistem general de gestionare a deșeurilor a fost adoptat în decembrie 2020.</w:t>
      </w:r>
    </w:p>
    <w:p w14:paraId="775F29D4" w14:textId="53DA06AD" w:rsidR="00A15990" w:rsidRDefault="00686A62">
      <w:pPr>
        <w:pStyle w:val="P68B1DB1-Normal4"/>
        <w:spacing w:before="40" w:after="0" w:line="259" w:lineRule="auto"/>
        <w:jc w:val="both"/>
        <w:rPr>
          <w:rFonts w:eastAsiaTheme="minorEastAsia" w:cs="Times New Roman"/>
          <w:noProof/>
        </w:rPr>
      </w:pPr>
      <w:r>
        <w:rPr>
          <w:noProof/>
        </w:rPr>
        <w:t xml:space="preserve">Strategia națională pentru achiziții publice ecologice va fi revizuită pentru a include cel puțin criterii ecologice obligatorii legate de achizițiile publice de servicii și produse (în special în domeniul construcțiilor), integrând bioproduse durabile. </w:t>
      </w:r>
    </w:p>
    <w:p w14:paraId="18D49EAF"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30 septembrie 2022.</w:t>
      </w:r>
    </w:p>
    <w:p w14:paraId="2FD84C02"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Investiții TC-C12-I01: Bioeconomie</w:t>
      </w:r>
    </w:p>
    <w:p w14:paraId="17E8B78E"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investiției este de a sprijini încorporarea biomaterialelor în procesele de producție în trei sectoare: textile și îmbrăcăminte, încălțăminte și rășină naturală. </w:t>
      </w:r>
    </w:p>
    <w:p w14:paraId="55D6795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Principalul instrument constă în sprijinul financiar acordat prin contracte de program încheiate cu consorții, care includ instituții de C &amp;I, întreprinderi și utilizatori finali și care sunt selectate printr-un proces competitiv. Activitățile sprijinite includ proiecte de cercetare, dezvoltare și inovare productivă, proiecte de digitalizare și tehnologii avansate de producție, programe specifice de formare și de responsabilizare, producția de rășină naturală domestică și măsuri de sensibilizare pentru producția și consumul durabile. Proiectele selectate contribuie cel puțin la dezvoltarea economiei circulare și la obiectivele de reducere a emisiilor în Portugalia. Proiectele au următoarele obiective: </w:t>
      </w:r>
    </w:p>
    <w:p w14:paraId="1FFA8FCC" w14:textId="77777777" w:rsidR="00A15990" w:rsidRDefault="00686A62">
      <w:pPr>
        <w:pStyle w:val="P68B1DB1-Normal4"/>
        <w:keepNext/>
        <w:numPr>
          <w:ilvl w:val="0"/>
          <w:numId w:val="29"/>
        </w:numPr>
        <w:spacing w:before="40" w:after="160" w:line="259" w:lineRule="auto"/>
        <w:contextualSpacing/>
        <w:jc w:val="both"/>
        <w:rPr>
          <w:rFonts w:eastAsiaTheme="minorEastAsia" w:cs="Times New Roman"/>
          <w:noProof/>
        </w:rPr>
      </w:pPr>
      <w:r>
        <w:rPr>
          <w:noProof/>
        </w:rPr>
        <w:t xml:space="preserve">dezvoltarea de noi procese de producție pentru crearea de produse cu o valoare adăugată mai mare care încorporează și exploatează resurse biologice (biomasă forestieră, reziduuri și subproduse agricole și agroindustriale); </w:t>
      </w:r>
    </w:p>
    <w:p w14:paraId="6A6B42A0" w14:textId="77777777" w:rsidR="00A15990" w:rsidRDefault="00686A62">
      <w:pPr>
        <w:pStyle w:val="P68B1DB1-Normal4"/>
        <w:keepNext/>
        <w:numPr>
          <w:ilvl w:val="0"/>
          <w:numId w:val="29"/>
        </w:numPr>
        <w:spacing w:before="40" w:after="160" w:line="259" w:lineRule="auto"/>
        <w:contextualSpacing/>
        <w:jc w:val="both"/>
        <w:rPr>
          <w:rFonts w:eastAsiaTheme="minorEastAsia" w:cs="Times New Roman"/>
          <w:noProof/>
        </w:rPr>
      </w:pPr>
      <w:r>
        <w:rPr>
          <w:noProof/>
        </w:rPr>
        <w:t>dezvoltarea de procese tehnologice pentru a îmbunătăți circularitatea sectoarelor textilelor și îmbrăcămintei, încălțămintei și prelucrării rășinilor; și</w:t>
      </w:r>
    </w:p>
    <w:p w14:paraId="2FE7D2D6" w14:textId="77777777" w:rsidR="00A15990" w:rsidRDefault="00686A62">
      <w:pPr>
        <w:pStyle w:val="P68B1DB1-Normal4"/>
        <w:keepNext/>
        <w:numPr>
          <w:ilvl w:val="0"/>
          <w:numId w:val="29"/>
        </w:numPr>
        <w:spacing w:before="40" w:after="160" w:line="259" w:lineRule="auto"/>
        <w:contextualSpacing/>
        <w:jc w:val="both"/>
        <w:rPr>
          <w:rFonts w:eastAsiaTheme="minorEastAsia" w:cs="Times New Roman"/>
          <w:noProof/>
        </w:rPr>
      </w:pPr>
      <w:r>
        <w:rPr>
          <w:noProof/>
        </w:rPr>
        <w:t>contribuie la gestionarea deșeurilor în aceste sectoare.</w:t>
      </w:r>
    </w:p>
    <w:p w14:paraId="6B9025FE" w14:textId="77777777" w:rsidR="00A15990" w:rsidRDefault="00686A62">
      <w:pPr>
        <w:pStyle w:val="P68B1DB1-Normal4"/>
        <w:keepNext/>
        <w:spacing w:before="40" w:after="0" w:line="259" w:lineRule="auto"/>
        <w:jc w:val="both"/>
        <w:rPr>
          <w:rFonts w:eastAsiaTheme="minorEastAsia" w:cs="Times New Roman"/>
          <w:noProof/>
        </w:rPr>
      </w:pPr>
      <w:r>
        <w:rPr>
          <w:noProof/>
        </w:rPr>
        <w:t>Proiectele de cercetare, dezvoltare și inovare sunt sprijinite cu scopul de a dezvolta noi procese de producție în vederea creării de produse cu o valoare adăugată mai mare care încorporează și exploatează resurse biologice (biomasă forestieră, reziduuri și subproduse agricole și agroindustriale), procese tehnologice pentru îmbunătățirea circularității sectoarelor textilelor și îmbrăcămintei, încălțămintei și prelucrării rășinilor și pentru a contribui la gestionarea deșeurilor în aceste sectoare. Proiectele selectate contribuie la reducerea emisiilor de GES.</w:t>
      </w:r>
    </w:p>
    <w:p w14:paraId="140E81B4" w14:textId="77777777" w:rsidR="00A15990" w:rsidRDefault="00686A62">
      <w:pPr>
        <w:pStyle w:val="P68B1DB1-Normal4"/>
        <w:keepNext/>
        <w:spacing w:before="40" w:after="0" w:line="259" w:lineRule="auto"/>
        <w:jc w:val="both"/>
        <w:rPr>
          <w:rFonts w:eastAsiaTheme="minorEastAsia" w:cs="Times New Roman"/>
          <w:noProof/>
        </w:rPr>
      </w:pPr>
      <w:r>
        <w:rPr>
          <w:noProof/>
        </w:rPr>
        <w:t>Aceste măsuri sunt completate de licitații specifice și suplimentare pentru activitățile de gestionare a pădurilor și de producție de rășină naturală. Aceasta include sprijinirea activităților de prevenire a incendiilor de către profesioniștii din producția de rășini, achiziționarea de mașini și echipamente de către Institutul pentru Natură și Conservarea Pădurilor (ICNF), precum și activități de protecție și reabilitare a pădurilor de pini maritimi. Prin promovarea gestionării terenurilor forestiere, aceste investiții contribuie la prevenirea și atenuarea efectelor incendiilor rurale, contribuind la reducerea emisiilor de poluanți în atmosferă.</w:t>
      </w:r>
    </w:p>
    <w:p w14:paraId="0B9296C2" w14:textId="77777777" w:rsidR="00A15990" w:rsidRDefault="00686A62">
      <w:pPr>
        <w:keepNext/>
        <w:spacing w:before="40" w:after="0" w:line="259" w:lineRule="auto"/>
        <w:jc w:val="both"/>
        <w:rPr>
          <w:rFonts w:ascii="Times New Roman" w:eastAsiaTheme="minorEastAsia" w:hAnsi="Times New Roman" w:cs="Times New Roman"/>
          <w:noProof/>
          <w:sz w:val="24"/>
        </w:rPr>
      </w:pPr>
      <w:r>
        <w:rPr>
          <w:rFonts w:ascii="Times New Roman" w:hAnsi="Times New Roman"/>
          <w:noProof/>
          <w:sz w:val="24"/>
        </w:rPr>
        <w:t>Se preconizează că această măsură nu prejudiciază în mod semnificativ obiectivele de mediu în sensul articolul 17 din Regulamentul (UE) 2020/852, ținând seama de descrierea măsurii și de etapele de atenuare prevăzute în planul de redresare și reziliență în conformitate cu Orientările tehnice DNSH (2021/C58/01). În special, pentru a asigura conformitatea cu Orientările tehnice privind principiul de „a nu aduce prejudicii semnificative” (2021/C58/01), vehiculele, mașinile și echipamentele care urmează să fie achiziționate de Institutul pentru Natură și Conservarea Pădurilor (ICNF) trebuie să aibă emisii zero. În cazul în care nu există alternative cu emisii zero, vehiculele, utilajele și echipamentele care urmează să fie achiziționate reprezintă cele mai bune niveluri de performanță de mediu disponibile în acest sector. În plus, criteriile de eligibilitate cuprinse în termenii de referință pentru viitoarele cereri de proiecte exclud următoarea listă de activități: I) activități legate de combustibilii fosili, inclusiv utilizarea în aval</w:t>
      </w:r>
      <w:r>
        <w:rPr>
          <w:rStyle w:val="FootnoteReference"/>
          <w:rFonts w:ascii="Times New Roman" w:hAnsi="Times New Roman" w:cs="Times New Roman"/>
          <w:noProof/>
          <w:sz w:val="24"/>
        </w:rPr>
        <w:footnoteReference w:id="48"/>
      </w:r>
      <w:r>
        <w:rPr>
          <w:rFonts w:ascii="Times New Roman" w:hAnsi="Times New Roman"/>
          <w:noProof/>
          <w:sz w:val="24"/>
        </w:rPr>
        <w:t>; II) activități în cadrul schemei UE de comercializare a certificatelor de emisii (ETS) care vizează atingerea unor emisii de gaze cu efect de seră preconizate care să nu fie inferioare valorilor de referință relevante</w:t>
      </w:r>
      <w:r>
        <w:rPr>
          <w:rStyle w:val="FootnoteReference"/>
          <w:rFonts w:ascii="Times New Roman" w:hAnsi="Times New Roman" w:cs="Times New Roman"/>
          <w:noProof/>
          <w:sz w:val="24"/>
        </w:rPr>
        <w:footnoteReference w:id="49"/>
      </w:r>
      <w:r>
        <w:rPr>
          <w:rFonts w:ascii="Times New Roman" w:hAnsi="Times New Roman"/>
          <w:noProof/>
          <w:sz w:val="24"/>
        </w:rPr>
        <w:t>; activități legate de depozitele de deșeuri, incineratoarele</w:t>
      </w:r>
      <w:r>
        <w:rPr>
          <w:rStyle w:val="FootnoteReference"/>
          <w:rFonts w:ascii="Times New Roman" w:hAnsi="Times New Roman" w:cs="Times New Roman"/>
          <w:noProof/>
          <w:sz w:val="24"/>
        </w:rPr>
        <w:footnoteReference w:id="50"/>
      </w:r>
      <w:r>
        <w:rPr>
          <w:rFonts w:ascii="Times New Roman" w:hAnsi="Times New Roman"/>
          <w:noProof/>
          <w:sz w:val="24"/>
        </w:rPr>
        <w:t xml:space="preserve"> și stațiile de tratare mecano-biologică</w:t>
      </w:r>
      <w:r>
        <w:rPr>
          <w:rStyle w:val="FootnoteReference"/>
          <w:rFonts w:ascii="Times New Roman" w:hAnsi="Times New Roman" w:cs="Times New Roman"/>
          <w:noProof/>
          <w:sz w:val="24"/>
        </w:rPr>
        <w:footnoteReference w:id="51"/>
      </w:r>
      <w:r>
        <w:rPr>
          <w:rFonts w:ascii="Times New Roman" w:hAnsi="Times New Roman"/>
          <w:noProof/>
          <w:sz w:val="24"/>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68DD936F"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433D486B" w14:textId="2448C9F9" w:rsidR="00A15990" w:rsidRDefault="00686A62">
      <w:pPr>
        <w:pStyle w:val="P68B1DB1-Normal5"/>
        <w:keepNext/>
        <w:spacing w:before="240" w:after="0" w:line="259" w:lineRule="auto"/>
        <w:ind w:left="851"/>
        <w:jc w:val="both"/>
        <w:outlineLvl w:val="2"/>
        <w:rPr>
          <w:rFonts w:eastAsiaTheme="minorEastAsia" w:cs="Times New Roman"/>
          <w:noProof/>
        </w:rPr>
      </w:pPr>
      <w:bookmarkStart w:id="29" w:name="_Toc137472461"/>
      <w:r>
        <w:rPr>
          <w:noProof/>
        </w:rPr>
        <w:t>Reforma TC-C12-r39: Promovarea economiei circulare și a unei gestionări mai eficiente a deșeurilor</w:t>
      </w:r>
      <w:bookmarkEnd w:id="29"/>
    </w:p>
    <w:p w14:paraId="210FFEF3" w14:textId="794927BC" w:rsidR="00A15990" w:rsidRDefault="00686A62">
      <w:pPr>
        <w:pStyle w:val="P68B1DB1-Normal4"/>
        <w:spacing w:beforeLines="40" w:before="96" w:after="0" w:line="22" w:lineRule="atLeast"/>
        <w:jc w:val="both"/>
        <w:rPr>
          <w:rFonts w:cs="Times New Roman"/>
          <w:noProof/>
        </w:rPr>
      </w:pPr>
      <w:r>
        <w:rPr>
          <w:noProof/>
        </w:rPr>
        <w:t>Reforma vizează îmbunătățirea prevenirii generării de deșeuri, pregătirea pentru reutilizare, reciclarea și valorificarea și deturnarea deșeurilor, precum și promovarea economiei circulare.</w:t>
      </w:r>
    </w:p>
    <w:p w14:paraId="7DB46E17" w14:textId="77777777" w:rsidR="00A15990" w:rsidRDefault="00686A62">
      <w:pPr>
        <w:pStyle w:val="P68B1DB1-Normal4"/>
        <w:spacing w:beforeLines="40" w:before="96" w:after="0" w:line="22" w:lineRule="atLeast"/>
        <w:rPr>
          <w:rFonts w:cs="Times New Roman"/>
          <w:noProof/>
        </w:rPr>
      </w:pPr>
      <w:r>
        <w:rPr>
          <w:noProof/>
        </w:rPr>
        <w:t xml:space="preserve">Reforma: </w:t>
      </w:r>
    </w:p>
    <w:p w14:paraId="0DF062F1" w14:textId="109C99E2" w:rsidR="00A15990" w:rsidRDefault="00686A62">
      <w:pPr>
        <w:pStyle w:val="ListParagraph"/>
        <w:keepNext w:val="0"/>
        <w:numPr>
          <w:ilvl w:val="0"/>
          <w:numId w:val="81"/>
        </w:numPr>
        <w:spacing w:beforeLines="40" w:before="96" w:after="0" w:line="22" w:lineRule="atLeast"/>
        <w:rPr>
          <w:noProof/>
        </w:rPr>
      </w:pPr>
      <w:r>
        <w:rPr>
          <w:noProof/>
        </w:rPr>
        <w:t>Încurajarea în continuare a proiectării ecologice a produselor fabricate prin armonizarea criteriilor de eco-modulare care urmează să fie utilizate de producători. Aceste criterii devin obligatorii pentru entitățile de gestionare (asociațiile care reprezintă producătorii de produse, ambalatorii și furnizorii de servicii de ambalare) pentru punerea în aplicare a sistemelor integrate care fac obiectul răspunderii extinse a producătorilor. Criteriile garantează că modelele financiare prevăzute la articolul 15 alineatul (3) și alineatul (4) din Decretul-lege nr. 152/D/2017 reflectă impactul produsului asupra mediului și costul real al gestionării deșeurilor și creează stimulente financiare pentru produse mai durabile, reparabile și reciclabile prin modularea taxelor care trebuie plătite de producători.</w:t>
      </w:r>
    </w:p>
    <w:p w14:paraId="5A107152" w14:textId="3322BFE2" w:rsidR="00A15990" w:rsidRDefault="00686A62">
      <w:pPr>
        <w:pStyle w:val="ListParagraph"/>
        <w:keepNext w:val="0"/>
        <w:numPr>
          <w:ilvl w:val="0"/>
          <w:numId w:val="81"/>
        </w:numPr>
        <w:spacing w:beforeLines="40" w:before="96" w:after="0" w:line="22" w:lineRule="atLeast"/>
        <w:rPr>
          <w:noProof/>
        </w:rPr>
      </w:pPr>
      <w:r>
        <w:rPr>
          <w:noProof/>
        </w:rPr>
        <w:t>Introducerea unui sistem de stimulare a recuperării (sistem de garanție și rambursare) pentru sticlele nereutilizabile din plastic, metale feroase și aluminiu.</w:t>
      </w:r>
    </w:p>
    <w:p w14:paraId="43D8325A" w14:textId="4B66E22A" w:rsidR="00A15990" w:rsidRDefault="00686A62">
      <w:pPr>
        <w:pStyle w:val="ListParagraph"/>
        <w:keepNext w:val="0"/>
        <w:numPr>
          <w:ilvl w:val="0"/>
          <w:numId w:val="81"/>
        </w:numPr>
        <w:spacing w:beforeLines="40" w:before="96" w:after="0" w:line="22" w:lineRule="atLeast"/>
        <w:rPr>
          <w:noProof/>
        </w:rPr>
      </w:pPr>
      <w:r>
        <w:rPr>
          <w:noProof/>
        </w:rPr>
        <w:t xml:space="preserve">În urma unui studiu de fezabilitate, introducerea unui sistem de stimulente pentru preluarea diferitelor categorii de deșeuri de echipamente electrice și electronice. </w:t>
      </w:r>
    </w:p>
    <w:p w14:paraId="58107F2F" w14:textId="6A75DFA4" w:rsidR="00A15990" w:rsidRDefault="00686A62">
      <w:pPr>
        <w:pStyle w:val="P68B1DB1-Normal4"/>
        <w:spacing w:beforeLines="40" w:before="96" w:after="0" w:line="22" w:lineRule="atLeast"/>
        <w:rPr>
          <w:rFonts w:cs="Times New Roman"/>
          <w:noProof/>
        </w:rPr>
      </w:pPr>
      <w:r>
        <w:rPr>
          <w:noProof/>
        </w:rPr>
        <w:t>Punerea în aplicare a reformei se finalizează până la 31 decembrie 2025.</w:t>
      </w:r>
    </w:p>
    <w:p w14:paraId="55469554"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719F8386"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246"/>
          <w:headerReference w:type="default" r:id="rId247"/>
          <w:footerReference w:type="even" r:id="rId248"/>
          <w:footerReference w:type="default" r:id="rId249"/>
          <w:headerReference w:type="first" r:id="rId250"/>
          <w:footerReference w:type="first" r:id="rId251"/>
          <w:pgSz w:w="11907" w:h="16839"/>
          <w:pgMar w:top="1134" w:right="1134" w:bottom="1134" w:left="1134" w:header="567" w:footer="567" w:gutter="0"/>
          <w:cols w:space="720"/>
          <w:docGrid w:linePitch="360"/>
        </w:sectPr>
      </w:pPr>
    </w:p>
    <w:p w14:paraId="0F85B075"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 xml:space="preserve">L.2. </w:t>
      </w:r>
      <w:r>
        <w:rPr>
          <w:noProof/>
        </w:rPr>
        <w:tab/>
        <w:t>Obiective de etapă, ținte, indicatori și calendar pentru monitorizarea și punerea în aplicare a sprijinului financiar nerambursabil</w:t>
      </w:r>
    </w:p>
    <w:p w14:paraId="16CF26E3"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A15990" w14:paraId="100A85E9" w14:textId="77777777">
        <w:trPr>
          <w:trHeight w:val="910"/>
          <w:tblHeader/>
        </w:trPr>
        <w:tc>
          <w:tcPr>
            <w:tcW w:w="1135" w:type="dxa"/>
            <w:vMerge w:val="restart"/>
            <w:shd w:val="clear" w:color="auto" w:fill="BDD6EE"/>
            <w:vAlign w:val="center"/>
            <w:hideMark/>
          </w:tcPr>
          <w:p w14:paraId="241396A7" w14:textId="77777777" w:rsidR="00A15990" w:rsidRDefault="00686A62">
            <w:pPr>
              <w:pStyle w:val="P68B1DB1-Normal6"/>
              <w:keepNext/>
              <w:spacing w:before="40"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1E874363" w14:textId="77777777" w:rsidR="00A15990" w:rsidRDefault="00686A62">
            <w:pPr>
              <w:pStyle w:val="P68B1DB1-Normal6"/>
              <w:keepNext/>
              <w:spacing w:before="40"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4630E1B7" w14:textId="01D208AB" w:rsidR="00A15990" w:rsidRDefault="008D37D6">
            <w:pPr>
              <w:pStyle w:val="P68B1DB1-Normal6"/>
              <w:keepNext/>
              <w:spacing w:before="40" w:after="0" w:line="240" w:lineRule="auto"/>
              <w:jc w:val="center"/>
              <w:rPr>
                <w:rFonts w:eastAsia="Times New Roman" w:cs="Times New Roman"/>
                <w:noProof/>
              </w:rPr>
            </w:pPr>
            <w:r>
              <w:rPr>
                <w:noProof/>
              </w:rPr>
              <w:t>Jalon</w:t>
            </w:r>
            <w:r w:rsidR="00686A62">
              <w:rPr>
                <w:noProof/>
              </w:rPr>
              <w:t xml:space="preserve">- </w:t>
            </w:r>
            <w:r w:rsidR="004976DE">
              <w:rPr>
                <w:noProof/>
              </w:rPr>
              <w:t>Țintă</w:t>
            </w:r>
          </w:p>
        </w:tc>
        <w:tc>
          <w:tcPr>
            <w:tcW w:w="1701" w:type="dxa"/>
            <w:vMerge w:val="restart"/>
            <w:shd w:val="clear" w:color="auto" w:fill="BDD6EE"/>
            <w:vAlign w:val="center"/>
            <w:hideMark/>
          </w:tcPr>
          <w:p w14:paraId="5C4FFE86" w14:textId="77777777" w:rsidR="00A15990" w:rsidRDefault="00686A62">
            <w:pPr>
              <w:pStyle w:val="P68B1DB1-Normal6"/>
              <w:keepNext/>
              <w:spacing w:before="40"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03E43ABE" w14:textId="77777777" w:rsidR="00A15990" w:rsidRDefault="00686A62">
            <w:pPr>
              <w:pStyle w:val="P68B1DB1-Normal6"/>
              <w:keepNext/>
              <w:spacing w:before="40" w:after="0" w:line="240" w:lineRule="auto"/>
              <w:jc w:val="center"/>
              <w:rPr>
                <w:rFonts w:eastAsia="Times New Roman" w:cs="Times New Roman"/>
                <w:noProof/>
              </w:rPr>
            </w:pPr>
            <w:r>
              <w:rPr>
                <w:noProof/>
              </w:rPr>
              <w:t>Indicatori calitativi (pentru obiectivele de etapă)</w:t>
            </w:r>
          </w:p>
        </w:tc>
        <w:tc>
          <w:tcPr>
            <w:tcW w:w="2694" w:type="dxa"/>
            <w:gridSpan w:val="3"/>
            <w:shd w:val="clear" w:color="auto" w:fill="BDD6EE"/>
            <w:vAlign w:val="center"/>
            <w:hideMark/>
          </w:tcPr>
          <w:p w14:paraId="65AE3941" w14:textId="77777777" w:rsidR="00A15990" w:rsidRDefault="00686A62">
            <w:pPr>
              <w:pStyle w:val="P68B1DB1-Normal6"/>
              <w:keepNext/>
              <w:spacing w:before="40"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67D74F39" w14:textId="77777777" w:rsidR="00A15990" w:rsidRDefault="00686A62">
            <w:pPr>
              <w:pStyle w:val="P68B1DB1-Normal6"/>
              <w:keepNext/>
              <w:spacing w:before="40"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4A072B07" w14:textId="77777777" w:rsidR="00A15990" w:rsidRDefault="00686A62">
            <w:pPr>
              <w:pStyle w:val="P68B1DB1-Normal6"/>
              <w:keepNext/>
              <w:spacing w:before="40" w:after="0" w:line="240" w:lineRule="auto"/>
              <w:jc w:val="center"/>
              <w:rPr>
                <w:rFonts w:eastAsia="Times New Roman" w:cs="Times New Roman"/>
                <w:noProof/>
              </w:rPr>
            </w:pPr>
            <w:r>
              <w:rPr>
                <w:noProof/>
              </w:rPr>
              <w:t>Descrierea și definiția clară a fiecărui obiectiv de etapă și a fiecărei ținte</w:t>
            </w:r>
          </w:p>
        </w:tc>
      </w:tr>
      <w:tr w:rsidR="00A15990" w14:paraId="3776A702" w14:textId="77777777">
        <w:trPr>
          <w:trHeight w:val="470"/>
          <w:tblHeader/>
        </w:trPr>
        <w:tc>
          <w:tcPr>
            <w:tcW w:w="1135" w:type="dxa"/>
            <w:vMerge/>
            <w:vAlign w:val="center"/>
            <w:hideMark/>
          </w:tcPr>
          <w:p w14:paraId="7EBFF15D"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276" w:type="dxa"/>
            <w:vMerge/>
            <w:vAlign w:val="center"/>
            <w:hideMark/>
          </w:tcPr>
          <w:p w14:paraId="249B860E"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134" w:type="dxa"/>
            <w:vMerge/>
            <w:shd w:val="clear" w:color="auto" w:fill="BDD6EE"/>
            <w:vAlign w:val="center"/>
            <w:hideMark/>
          </w:tcPr>
          <w:p w14:paraId="7D7297EE" w14:textId="160E856C" w:rsidR="00A15990" w:rsidRDefault="00A15990">
            <w:pPr>
              <w:keepNext/>
              <w:spacing w:before="40" w:after="0" w:line="240" w:lineRule="auto"/>
              <w:jc w:val="center"/>
              <w:rPr>
                <w:rFonts w:ascii="Times New Roman" w:eastAsia="Times New Roman" w:hAnsi="Times New Roman" w:cs="Times New Roman"/>
                <w:b/>
                <w:noProof/>
                <w:sz w:val="14"/>
              </w:rPr>
            </w:pPr>
          </w:p>
        </w:tc>
        <w:tc>
          <w:tcPr>
            <w:tcW w:w="1701" w:type="dxa"/>
            <w:vMerge/>
            <w:vAlign w:val="center"/>
            <w:hideMark/>
          </w:tcPr>
          <w:p w14:paraId="303B854A"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1275" w:type="dxa"/>
            <w:vMerge/>
            <w:vAlign w:val="center"/>
            <w:hideMark/>
          </w:tcPr>
          <w:p w14:paraId="76753D39" w14:textId="77777777" w:rsidR="00A15990" w:rsidRDefault="00A15990">
            <w:pPr>
              <w:keepNext/>
              <w:spacing w:before="40" w:after="0" w:line="240" w:lineRule="auto"/>
              <w:jc w:val="both"/>
              <w:rPr>
                <w:rFonts w:ascii="Times New Roman" w:eastAsia="Times New Roman" w:hAnsi="Times New Roman" w:cs="Times New Roman"/>
                <w:b/>
                <w:noProof/>
                <w:sz w:val="18"/>
              </w:rPr>
            </w:pPr>
          </w:p>
        </w:tc>
        <w:tc>
          <w:tcPr>
            <w:tcW w:w="993" w:type="dxa"/>
            <w:shd w:val="clear" w:color="auto" w:fill="BDD6EE"/>
            <w:vAlign w:val="center"/>
            <w:hideMark/>
          </w:tcPr>
          <w:p w14:paraId="0ABAAFA4" w14:textId="77777777" w:rsidR="00A15990" w:rsidRDefault="00686A62">
            <w:pPr>
              <w:pStyle w:val="P68B1DB1-Normal6"/>
              <w:keepNext/>
              <w:spacing w:before="40"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36F0EAD7" w14:textId="77777777" w:rsidR="00A15990" w:rsidRDefault="00686A62">
            <w:pPr>
              <w:pStyle w:val="P68B1DB1-Normal6"/>
              <w:keepNext/>
              <w:spacing w:before="40" w:after="0" w:line="240" w:lineRule="auto"/>
              <w:jc w:val="center"/>
              <w:rPr>
                <w:rFonts w:eastAsia="Times New Roman" w:cs="Times New Roman"/>
                <w:noProof/>
              </w:rPr>
            </w:pPr>
            <w:r>
              <w:rPr>
                <w:noProof/>
              </w:rPr>
              <w:t>Situația de referință</w:t>
            </w:r>
          </w:p>
        </w:tc>
        <w:tc>
          <w:tcPr>
            <w:tcW w:w="709" w:type="dxa"/>
            <w:shd w:val="clear" w:color="auto" w:fill="BDD6EE"/>
            <w:vAlign w:val="center"/>
            <w:hideMark/>
          </w:tcPr>
          <w:p w14:paraId="536DFFCA" w14:textId="77777777" w:rsidR="00A15990" w:rsidRDefault="00686A62">
            <w:pPr>
              <w:pStyle w:val="P68B1DB1-Normal6"/>
              <w:keepNext/>
              <w:spacing w:before="40"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3DFABF60" w14:textId="77777777" w:rsidR="00A15990" w:rsidRDefault="00686A62">
            <w:pPr>
              <w:pStyle w:val="P68B1DB1-Normal6"/>
              <w:keepNext/>
              <w:spacing w:before="40" w:after="0" w:line="240" w:lineRule="auto"/>
              <w:jc w:val="center"/>
              <w:rPr>
                <w:rFonts w:eastAsia="Times New Roman" w:cs="Times New Roman"/>
                <w:noProof/>
              </w:rPr>
            </w:pPr>
            <w:r>
              <w:rPr>
                <w:noProof/>
              </w:rPr>
              <w:t>Q</w:t>
            </w:r>
          </w:p>
        </w:tc>
        <w:tc>
          <w:tcPr>
            <w:tcW w:w="708" w:type="dxa"/>
            <w:shd w:val="clear" w:color="auto" w:fill="BDD6EE"/>
            <w:vAlign w:val="center"/>
            <w:hideMark/>
          </w:tcPr>
          <w:p w14:paraId="578C9B4B" w14:textId="77777777" w:rsidR="00A15990" w:rsidRDefault="00686A62">
            <w:pPr>
              <w:pStyle w:val="P68B1DB1-Normal6"/>
              <w:keepNext/>
              <w:spacing w:before="40" w:after="0" w:line="240" w:lineRule="auto"/>
              <w:jc w:val="center"/>
              <w:rPr>
                <w:rFonts w:eastAsia="Times New Roman" w:cs="Times New Roman"/>
                <w:noProof/>
              </w:rPr>
            </w:pPr>
            <w:r>
              <w:rPr>
                <w:noProof/>
              </w:rPr>
              <w:t>Anul</w:t>
            </w:r>
          </w:p>
        </w:tc>
        <w:tc>
          <w:tcPr>
            <w:tcW w:w="3969" w:type="dxa"/>
            <w:vMerge/>
            <w:vAlign w:val="center"/>
            <w:hideMark/>
          </w:tcPr>
          <w:p w14:paraId="482E68C8" w14:textId="77777777" w:rsidR="00A15990" w:rsidRDefault="00A15990">
            <w:pPr>
              <w:keepNext/>
              <w:spacing w:before="40" w:after="0" w:line="240" w:lineRule="auto"/>
              <w:jc w:val="both"/>
              <w:rPr>
                <w:rFonts w:ascii="Times New Roman" w:eastAsia="Times New Roman" w:hAnsi="Times New Roman" w:cs="Times New Roman"/>
                <w:b/>
                <w:noProof/>
                <w:sz w:val="18"/>
              </w:rPr>
            </w:pPr>
          </w:p>
        </w:tc>
      </w:tr>
      <w:tr w:rsidR="00A15990" w14:paraId="635E01FA" w14:textId="77777777">
        <w:trPr>
          <w:trHeight w:val="509"/>
        </w:trPr>
        <w:tc>
          <w:tcPr>
            <w:tcW w:w="1135" w:type="dxa"/>
            <w:vMerge w:val="restart"/>
            <w:shd w:val="clear" w:color="auto" w:fill="C4EFCE"/>
            <w:vAlign w:val="center"/>
            <w:hideMark/>
          </w:tcPr>
          <w:p w14:paraId="5DF1D636" w14:textId="77777777" w:rsidR="00A15990" w:rsidRDefault="00686A62">
            <w:pPr>
              <w:pStyle w:val="P68B1DB1-Normal7"/>
              <w:keepNext/>
              <w:spacing w:before="40" w:after="0" w:line="240" w:lineRule="auto"/>
              <w:jc w:val="center"/>
              <w:rPr>
                <w:rFonts w:eastAsia="Times New Roman" w:cs="Calibri"/>
                <w:noProof/>
              </w:rPr>
            </w:pPr>
            <w:r>
              <w:rPr>
                <w:noProof/>
              </w:rPr>
              <w:t>12.1</w:t>
            </w:r>
          </w:p>
        </w:tc>
        <w:tc>
          <w:tcPr>
            <w:tcW w:w="1276" w:type="dxa"/>
            <w:vMerge w:val="restart"/>
            <w:shd w:val="clear" w:color="auto" w:fill="C4EFCE"/>
            <w:noWrap/>
            <w:vAlign w:val="center"/>
            <w:hideMark/>
          </w:tcPr>
          <w:p w14:paraId="21B3B155" w14:textId="77777777" w:rsidR="00A15990" w:rsidRDefault="00686A62">
            <w:pPr>
              <w:pStyle w:val="P68B1DB1-Normal8"/>
              <w:keepNext/>
              <w:spacing w:before="40" w:after="0" w:line="240" w:lineRule="auto"/>
              <w:jc w:val="center"/>
              <w:rPr>
                <w:rFonts w:eastAsia="Times New Roman" w:cs="Calibri"/>
                <w:noProof/>
              </w:rPr>
            </w:pPr>
            <w:r>
              <w:rPr>
                <w:noProof/>
              </w:rPr>
              <w:t>TC-C12-I01</w:t>
            </w:r>
          </w:p>
        </w:tc>
        <w:tc>
          <w:tcPr>
            <w:tcW w:w="1134" w:type="dxa"/>
            <w:vMerge w:val="restart"/>
            <w:shd w:val="clear" w:color="auto" w:fill="C4EFCE"/>
            <w:noWrap/>
            <w:vAlign w:val="center"/>
            <w:hideMark/>
          </w:tcPr>
          <w:p w14:paraId="05A6C9F2" w14:textId="77777777" w:rsidR="00A15990" w:rsidRDefault="00686A62">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A9E0800" w14:textId="77777777" w:rsidR="00A15990" w:rsidRDefault="00686A62">
            <w:pPr>
              <w:pStyle w:val="P68B1DB1-Normal8"/>
              <w:keepNext/>
              <w:spacing w:before="40" w:after="0" w:line="240" w:lineRule="auto"/>
              <w:jc w:val="center"/>
              <w:rPr>
                <w:rFonts w:eastAsia="Times New Roman" w:cs="Calibri"/>
                <w:noProof/>
              </w:rPr>
            </w:pPr>
            <w:r>
              <w:rPr>
                <w:noProof/>
              </w:rPr>
              <w:t xml:space="preserve">Semnarea protocolului din 2021 al programului „Resineiros Vigilantes” </w:t>
            </w:r>
          </w:p>
        </w:tc>
        <w:tc>
          <w:tcPr>
            <w:tcW w:w="1275" w:type="dxa"/>
            <w:vMerge w:val="restart"/>
            <w:shd w:val="clear" w:color="auto" w:fill="C4EFCE"/>
            <w:noWrap/>
            <w:vAlign w:val="center"/>
            <w:hideMark/>
          </w:tcPr>
          <w:p w14:paraId="4BA5E5F4" w14:textId="77777777" w:rsidR="00A15990" w:rsidRDefault="00686A62">
            <w:pPr>
              <w:pStyle w:val="P68B1DB1-Normal8"/>
              <w:keepNext/>
              <w:spacing w:before="40" w:after="0" w:line="240" w:lineRule="auto"/>
              <w:jc w:val="center"/>
              <w:rPr>
                <w:rFonts w:eastAsia="Times New Roman" w:cs="Calibri"/>
                <w:noProof/>
              </w:rPr>
            </w:pPr>
            <w:r>
              <w:rPr>
                <w:noProof/>
              </w:rPr>
              <w:t xml:space="preserve"> Semnarea protocolului din 2021 al programului „Resineiros Vigilantes”</w:t>
            </w:r>
          </w:p>
        </w:tc>
        <w:tc>
          <w:tcPr>
            <w:tcW w:w="993" w:type="dxa"/>
            <w:vMerge w:val="restart"/>
            <w:shd w:val="clear" w:color="auto" w:fill="C4EFCE"/>
            <w:noWrap/>
            <w:vAlign w:val="center"/>
            <w:hideMark/>
          </w:tcPr>
          <w:p w14:paraId="3673A871"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0E11D8FC"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5DBDFE88"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5CDA9014" w14:textId="77777777" w:rsidR="00A15990" w:rsidRDefault="00686A62">
            <w:pPr>
              <w:pStyle w:val="P68B1DB1-Normal8"/>
              <w:keepNext/>
              <w:spacing w:before="40" w:after="0" w:line="240" w:lineRule="auto"/>
              <w:jc w:val="center"/>
              <w:rPr>
                <w:rFonts w:eastAsia="Times New Roman" w:cs="Calibri"/>
                <w:noProof/>
              </w:rPr>
            </w:pPr>
            <w:r>
              <w:rPr>
                <w:noProof/>
              </w:rPr>
              <w:t>TRIMESTRUL 3</w:t>
            </w:r>
          </w:p>
        </w:tc>
        <w:tc>
          <w:tcPr>
            <w:tcW w:w="708" w:type="dxa"/>
            <w:vMerge w:val="restart"/>
            <w:shd w:val="clear" w:color="auto" w:fill="C4EFCE"/>
            <w:noWrap/>
            <w:vAlign w:val="center"/>
            <w:hideMark/>
          </w:tcPr>
          <w:p w14:paraId="47D645F4" w14:textId="77777777" w:rsidR="00A15990" w:rsidRDefault="00686A62">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024670B2" w14:textId="77777777" w:rsidR="00A15990" w:rsidRDefault="00686A62">
            <w:pPr>
              <w:pStyle w:val="P68B1DB1-Normal8"/>
              <w:keepNext/>
              <w:spacing w:before="40" w:after="0" w:line="240" w:lineRule="auto"/>
              <w:jc w:val="both"/>
              <w:rPr>
                <w:rFonts w:eastAsia="Times New Roman" w:cs="Calibri"/>
                <w:noProof/>
              </w:rPr>
            </w:pPr>
            <w:r>
              <w:rPr>
                <w:noProof/>
              </w:rPr>
              <w:t>Încheierea protocolului dintre Institutul pentru Natură și Conservarea Pădurilor, I.P., și asociația profesională națională a producătorilor de rășini (Resipinus) pentru supravegherea și detectarea incendiilor rurale.</w:t>
            </w:r>
          </w:p>
        </w:tc>
      </w:tr>
      <w:tr w:rsidR="00A15990" w14:paraId="5DB127A4" w14:textId="77777777">
        <w:trPr>
          <w:trHeight w:val="509"/>
        </w:trPr>
        <w:tc>
          <w:tcPr>
            <w:tcW w:w="1135" w:type="dxa"/>
            <w:vMerge/>
            <w:vAlign w:val="center"/>
            <w:hideMark/>
          </w:tcPr>
          <w:p w14:paraId="287EBF32" w14:textId="77777777" w:rsidR="00A15990" w:rsidRDefault="00A15990">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2179B6CF" w14:textId="77777777" w:rsidR="00A15990" w:rsidRDefault="00A15990">
            <w:pPr>
              <w:keepNext/>
              <w:spacing w:before="40" w:after="0" w:line="240" w:lineRule="auto"/>
              <w:jc w:val="both"/>
              <w:rPr>
                <w:rFonts w:ascii="Calibri" w:eastAsia="Times New Roman" w:hAnsi="Calibri" w:cs="Calibri"/>
                <w:noProof/>
                <w:sz w:val="16"/>
              </w:rPr>
            </w:pPr>
          </w:p>
        </w:tc>
        <w:tc>
          <w:tcPr>
            <w:tcW w:w="1134" w:type="dxa"/>
            <w:vMerge/>
            <w:vAlign w:val="center"/>
            <w:hideMark/>
          </w:tcPr>
          <w:p w14:paraId="5566EE47" w14:textId="77777777" w:rsidR="00A15990" w:rsidRDefault="00A15990">
            <w:pPr>
              <w:keepNext/>
              <w:spacing w:before="40" w:after="0" w:line="240" w:lineRule="auto"/>
              <w:jc w:val="both"/>
              <w:rPr>
                <w:rFonts w:ascii="Calibri" w:eastAsia="Times New Roman" w:hAnsi="Calibri" w:cs="Calibri"/>
                <w:noProof/>
                <w:sz w:val="16"/>
              </w:rPr>
            </w:pPr>
          </w:p>
        </w:tc>
        <w:tc>
          <w:tcPr>
            <w:tcW w:w="1701" w:type="dxa"/>
            <w:vMerge/>
            <w:vAlign w:val="center"/>
            <w:hideMark/>
          </w:tcPr>
          <w:p w14:paraId="68CFF3C8" w14:textId="77777777" w:rsidR="00A15990" w:rsidRDefault="00A15990">
            <w:pPr>
              <w:keepNext/>
              <w:spacing w:before="40" w:after="0" w:line="240" w:lineRule="auto"/>
              <w:jc w:val="both"/>
              <w:rPr>
                <w:rFonts w:ascii="Calibri" w:eastAsia="Times New Roman" w:hAnsi="Calibri" w:cs="Calibri"/>
                <w:noProof/>
                <w:sz w:val="16"/>
              </w:rPr>
            </w:pPr>
          </w:p>
        </w:tc>
        <w:tc>
          <w:tcPr>
            <w:tcW w:w="1275" w:type="dxa"/>
            <w:vMerge/>
            <w:vAlign w:val="center"/>
            <w:hideMark/>
          </w:tcPr>
          <w:p w14:paraId="0CC81F45" w14:textId="77777777" w:rsidR="00A15990" w:rsidRDefault="00A15990">
            <w:pPr>
              <w:keepNext/>
              <w:spacing w:before="40" w:after="0" w:line="240" w:lineRule="auto"/>
              <w:jc w:val="both"/>
              <w:rPr>
                <w:rFonts w:ascii="Calibri" w:eastAsia="Times New Roman" w:hAnsi="Calibri" w:cs="Calibri"/>
                <w:noProof/>
                <w:sz w:val="16"/>
              </w:rPr>
            </w:pPr>
          </w:p>
        </w:tc>
        <w:tc>
          <w:tcPr>
            <w:tcW w:w="993" w:type="dxa"/>
            <w:vMerge/>
            <w:vAlign w:val="center"/>
            <w:hideMark/>
          </w:tcPr>
          <w:p w14:paraId="746444D9" w14:textId="77777777" w:rsidR="00A15990" w:rsidRDefault="00A15990">
            <w:pPr>
              <w:keepNext/>
              <w:spacing w:before="40" w:after="0" w:line="240" w:lineRule="auto"/>
              <w:jc w:val="both"/>
              <w:rPr>
                <w:rFonts w:ascii="Calibri" w:eastAsia="Times New Roman" w:hAnsi="Calibri" w:cs="Calibri"/>
                <w:noProof/>
                <w:sz w:val="16"/>
              </w:rPr>
            </w:pPr>
          </w:p>
        </w:tc>
        <w:tc>
          <w:tcPr>
            <w:tcW w:w="992" w:type="dxa"/>
            <w:vMerge/>
            <w:vAlign w:val="center"/>
            <w:hideMark/>
          </w:tcPr>
          <w:p w14:paraId="45B22E2B" w14:textId="77777777" w:rsidR="00A15990" w:rsidRDefault="00A15990">
            <w:pPr>
              <w:keepNext/>
              <w:spacing w:before="40" w:after="0" w:line="240" w:lineRule="auto"/>
              <w:jc w:val="both"/>
              <w:rPr>
                <w:rFonts w:ascii="Calibri" w:eastAsia="Times New Roman" w:hAnsi="Calibri" w:cs="Calibri"/>
                <w:noProof/>
                <w:sz w:val="16"/>
              </w:rPr>
            </w:pPr>
          </w:p>
        </w:tc>
        <w:tc>
          <w:tcPr>
            <w:tcW w:w="709" w:type="dxa"/>
            <w:vMerge/>
            <w:vAlign w:val="center"/>
            <w:hideMark/>
          </w:tcPr>
          <w:p w14:paraId="5FA212D8" w14:textId="77777777" w:rsidR="00A15990" w:rsidRDefault="00A15990">
            <w:pPr>
              <w:keepNext/>
              <w:spacing w:before="40" w:after="0" w:line="240" w:lineRule="auto"/>
              <w:jc w:val="both"/>
              <w:rPr>
                <w:rFonts w:ascii="Calibri" w:eastAsia="Times New Roman" w:hAnsi="Calibri" w:cs="Calibri"/>
                <w:noProof/>
                <w:sz w:val="16"/>
              </w:rPr>
            </w:pPr>
          </w:p>
        </w:tc>
        <w:tc>
          <w:tcPr>
            <w:tcW w:w="567" w:type="dxa"/>
            <w:vMerge/>
            <w:vAlign w:val="center"/>
            <w:hideMark/>
          </w:tcPr>
          <w:p w14:paraId="67B9BF89" w14:textId="77777777" w:rsidR="00A15990" w:rsidRDefault="00A15990">
            <w:pPr>
              <w:keepNext/>
              <w:spacing w:before="40" w:after="0" w:line="240" w:lineRule="auto"/>
              <w:jc w:val="both"/>
              <w:rPr>
                <w:rFonts w:ascii="Calibri" w:eastAsia="Times New Roman" w:hAnsi="Calibri" w:cs="Calibri"/>
                <w:noProof/>
                <w:sz w:val="16"/>
              </w:rPr>
            </w:pPr>
          </w:p>
        </w:tc>
        <w:tc>
          <w:tcPr>
            <w:tcW w:w="708" w:type="dxa"/>
            <w:vMerge/>
            <w:vAlign w:val="center"/>
            <w:hideMark/>
          </w:tcPr>
          <w:p w14:paraId="5BF5C728" w14:textId="77777777" w:rsidR="00A15990" w:rsidRDefault="00A15990">
            <w:pPr>
              <w:keepNext/>
              <w:spacing w:before="40" w:after="0" w:line="240" w:lineRule="auto"/>
              <w:jc w:val="both"/>
              <w:rPr>
                <w:rFonts w:ascii="Calibri" w:eastAsia="Times New Roman" w:hAnsi="Calibri" w:cs="Calibri"/>
                <w:noProof/>
                <w:sz w:val="16"/>
              </w:rPr>
            </w:pPr>
          </w:p>
        </w:tc>
        <w:tc>
          <w:tcPr>
            <w:tcW w:w="3969" w:type="dxa"/>
            <w:vMerge/>
            <w:vAlign w:val="center"/>
            <w:hideMark/>
          </w:tcPr>
          <w:p w14:paraId="7EE621F1" w14:textId="77777777" w:rsidR="00A15990" w:rsidRDefault="00A15990">
            <w:pPr>
              <w:keepNext/>
              <w:spacing w:before="40" w:after="0" w:line="240" w:lineRule="auto"/>
              <w:jc w:val="both"/>
              <w:rPr>
                <w:rFonts w:ascii="Calibri" w:eastAsia="Times New Roman" w:hAnsi="Calibri" w:cs="Calibri"/>
                <w:noProof/>
                <w:sz w:val="16"/>
              </w:rPr>
            </w:pPr>
          </w:p>
        </w:tc>
      </w:tr>
      <w:tr w:rsidR="00A15990" w14:paraId="67ABFFD7" w14:textId="77777777">
        <w:trPr>
          <w:trHeight w:val="630"/>
        </w:trPr>
        <w:tc>
          <w:tcPr>
            <w:tcW w:w="1135" w:type="dxa"/>
            <w:shd w:val="clear" w:color="auto" w:fill="C4EFCE"/>
            <w:vAlign w:val="center"/>
            <w:hideMark/>
          </w:tcPr>
          <w:p w14:paraId="704A999D" w14:textId="77777777" w:rsidR="00A15990" w:rsidRDefault="00686A62">
            <w:pPr>
              <w:pStyle w:val="P68B1DB1-Normal7"/>
              <w:keepNext/>
              <w:spacing w:before="40" w:after="0" w:line="240" w:lineRule="auto"/>
              <w:jc w:val="center"/>
              <w:rPr>
                <w:rFonts w:eastAsia="Times New Roman" w:cs="Calibri"/>
                <w:noProof/>
              </w:rPr>
            </w:pPr>
            <w:r>
              <w:rPr>
                <w:noProof/>
              </w:rPr>
              <w:t>12.2</w:t>
            </w:r>
          </w:p>
        </w:tc>
        <w:tc>
          <w:tcPr>
            <w:tcW w:w="1276" w:type="dxa"/>
            <w:shd w:val="clear" w:color="auto" w:fill="C4EFCE"/>
            <w:noWrap/>
            <w:vAlign w:val="center"/>
            <w:hideMark/>
          </w:tcPr>
          <w:p w14:paraId="78F41078" w14:textId="77777777" w:rsidR="00A15990" w:rsidRDefault="00686A62">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4628D649" w14:textId="77777777" w:rsidR="00A15990" w:rsidRDefault="00686A62">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27B190C1" w14:textId="77777777" w:rsidR="00A15990" w:rsidRDefault="00686A62">
            <w:pPr>
              <w:pStyle w:val="P68B1DB1-Normal8"/>
              <w:keepNext/>
              <w:spacing w:before="40" w:after="0" w:line="240" w:lineRule="auto"/>
              <w:jc w:val="center"/>
              <w:rPr>
                <w:rFonts w:eastAsia="Times New Roman" w:cs="Calibri"/>
                <w:noProof/>
              </w:rPr>
            </w:pPr>
            <w:r>
              <w:rPr>
                <w:noProof/>
              </w:rPr>
              <w:t>Aprobarea proiectelor prezentate de consorțiile pentru dezvoltarea de noi produse, tehnologii și procese bioeconomice în sectoarele textilelor și îmbrăcămintei, încălțămintei și rășinii naturale</w:t>
            </w:r>
          </w:p>
        </w:tc>
        <w:tc>
          <w:tcPr>
            <w:tcW w:w="1275" w:type="dxa"/>
            <w:shd w:val="clear" w:color="auto" w:fill="C4EFCE"/>
            <w:noWrap/>
            <w:vAlign w:val="center"/>
            <w:hideMark/>
          </w:tcPr>
          <w:p w14:paraId="620AF49C" w14:textId="77777777" w:rsidR="00A15990" w:rsidRDefault="00686A62">
            <w:pPr>
              <w:pStyle w:val="P68B1DB1-Normal8"/>
              <w:keepNext/>
              <w:spacing w:before="40" w:after="0" w:line="240" w:lineRule="auto"/>
              <w:jc w:val="center"/>
              <w:rPr>
                <w:rFonts w:eastAsia="Times New Roman" w:cs="Calibri"/>
                <w:noProof/>
              </w:rPr>
            </w:pPr>
            <w:r>
              <w:rPr>
                <w:noProof/>
              </w:rPr>
              <w:t>Aprobarea proiectelor pentru dezvoltarea de noi produse, tehnologii și procese din domeniul bioeconomiei</w:t>
            </w:r>
          </w:p>
        </w:tc>
        <w:tc>
          <w:tcPr>
            <w:tcW w:w="993" w:type="dxa"/>
            <w:shd w:val="clear" w:color="auto" w:fill="C4EFCE"/>
            <w:noWrap/>
            <w:vAlign w:val="center"/>
            <w:hideMark/>
          </w:tcPr>
          <w:p w14:paraId="5956DCDC"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7463DC1B"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35FFDF23"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342007C6" w14:textId="77777777" w:rsidR="00A15990" w:rsidRDefault="00686A62">
            <w:pPr>
              <w:pStyle w:val="P68B1DB1-Normal8"/>
              <w:keepNext/>
              <w:spacing w:before="40"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4BD70A66" w14:textId="77777777" w:rsidR="00A15990" w:rsidRDefault="00686A62">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0EDAFC67" w14:textId="77777777" w:rsidR="00A15990" w:rsidRDefault="00686A62">
            <w:pPr>
              <w:pStyle w:val="P68B1DB1-Normal8"/>
              <w:keepNext/>
              <w:spacing w:before="40" w:after="0" w:line="240" w:lineRule="auto"/>
              <w:jc w:val="both"/>
              <w:rPr>
                <w:rFonts w:eastAsia="Times New Roman" w:cs="Calibri"/>
                <w:noProof/>
              </w:rPr>
            </w:pPr>
            <w:r>
              <w:rPr>
                <w:noProof/>
              </w:rPr>
              <w:t xml:space="preserve">Aprobarea de către comisia de selecție a proiectelor depuse de Consorții pentru dezvoltarea de noi produse, tehnologii și procese bioeconomice în sectoarele textilelor și îmbrăcămintei, încălțămintei și rășinii naturale. </w:t>
            </w:r>
          </w:p>
          <w:p w14:paraId="7E2CA1C9" w14:textId="77777777" w:rsidR="00A15990" w:rsidRDefault="00686A62">
            <w:pPr>
              <w:pStyle w:val="P68B1DB1-Normal8"/>
              <w:keepNext/>
              <w:spacing w:before="40" w:after="0" w:line="240" w:lineRule="auto"/>
              <w:jc w:val="both"/>
              <w:rPr>
                <w:rFonts w:eastAsia="Times New Roman" w:cs="Calibri"/>
                <w:noProof/>
              </w:rPr>
            </w:pPr>
            <w:r>
              <w:rPr>
                <w:noProof/>
              </w:rPr>
              <w:t xml:space="preserve">Proiectele prezentate de consorții pentru sprijin se încadrează într-unul dintre următoarele programe: „Promovarea bioeconomiei durabile și circulare în sectorul textilelor și al confecțiilor”, „Promovarea bioeconomiei durabile și circulare în sectorul încălțămintei” și „Promovarea și valorificarea efectelor naturale”. </w:t>
            </w:r>
          </w:p>
          <w:p w14:paraId="373315BC" w14:textId="57EEC5F1" w:rsidR="00A15990" w:rsidRDefault="00686A62">
            <w:pPr>
              <w:pStyle w:val="P68B1DB1-Normal8"/>
              <w:keepNext/>
              <w:spacing w:before="40" w:after="0" w:line="240" w:lineRule="auto"/>
              <w:jc w:val="both"/>
              <w:rPr>
                <w:rFonts w:eastAsia="Times New Roman" w:cs="Calibri"/>
                <w:noProof/>
              </w:rPr>
            </w:pPr>
            <w:r>
              <w:rPr>
                <w:noProof/>
              </w:rPr>
              <w:t xml:space="preserve">Ele se axează pe o economie cu emisii scăzute de dioxid de carbon, pe reziliență și pe adaptarea la schimbările climatice prin aplicarea de soluții tehnologice curate, alternative cu impact redus și utilizarea celor mai bune tehnici disponibile. Criteriile de selecție a proiectelor impun ca toate proiectele de C &amp;Isă asigure o reducere a emisiilor directe și indirecte de carbon. </w:t>
            </w:r>
          </w:p>
          <w:p w14:paraId="13B6D23C" w14:textId="3DD59F32" w:rsidR="00A15990" w:rsidRDefault="00686A62">
            <w:pPr>
              <w:pStyle w:val="P68B1DB1-Normal8"/>
              <w:keepNext/>
              <w:spacing w:before="40" w:after="0" w:line="240" w:lineRule="auto"/>
              <w:jc w:val="both"/>
              <w:rPr>
                <w:rFonts w:eastAsia="Times New Roman" w:cs="Calibri"/>
                <w:noProof/>
              </w:rPr>
            </w:pPr>
            <w:r>
              <w:rPr>
                <w:noProof/>
              </w:rPr>
              <w:t>Proiectele selectate respectă Orientările tehnice de „a nu prejudicia în mod semnificativ” (2021/C58/01) prin utilizarea unei liste de excludere și a cerinței de conformitate cu legislația UE și națională relevantă în materie de mediu.</w:t>
            </w:r>
          </w:p>
        </w:tc>
      </w:tr>
      <w:tr w:rsidR="00A15990" w14:paraId="1F72AFA7" w14:textId="77777777">
        <w:trPr>
          <w:trHeight w:val="640"/>
        </w:trPr>
        <w:tc>
          <w:tcPr>
            <w:tcW w:w="1135" w:type="dxa"/>
            <w:shd w:val="clear" w:color="auto" w:fill="C4EFCE"/>
            <w:vAlign w:val="center"/>
            <w:hideMark/>
          </w:tcPr>
          <w:p w14:paraId="79604885" w14:textId="77777777" w:rsidR="00A15990" w:rsidRDefault="00686A62">
            <w:pPr>
              <w:pStyle w:val="P68B1DB1-Normal7"/>
              <w:keepNext/>
              <w:spacing w:before="40" w:after="0" w:line="240" w:lineRule="auto"/>
              <w:jc w:val="center"/>
              <w:rPr>
                <w:rFonts w:eastAsia="Times New Roman" w:cs="Calibri"/>
                <w:noProof/>
              </w:rPr>
            </w:pPr>
            <w:r>
              <w:rPr>
                <w:noProof/>
              </w:rPr>
              <w:t>12.3</w:t>
            </w:r>
          </w:p>
        </w:tc>
        <w:tc>
          <w:tcPr>
            <w:tcW w:w="1276" w:type="dxa"/>
            <w:shd w:val="clear" w:color="auto" w:fill="C4EFCE"/>
            <w:noWrap/>
            <w:vAlign w:val="center"/>
            <w:hideMark/>
          </w:tcPr>
          <w:p w14:paraId="7DCAFD0A" w14:textId="77777777" w:rsidR="00A15990" w:rsidRDefault="00686A62">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F5A6A08" w14:textId="77777777" w:rsidR="00A15990" w:rsidRDefault="00686A62">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7AA2A96B" w14:textId="77777777" w:rsidR="00A15990" w:rsidRDefault="00686A62">
            <w:pPr>
              <w:pStyle w:val="P68B1DB1-Normal8"/>
              <w:keepNext/>
              <w:spacing w:before="40" w:after="0" w:line="240" w:lineRule="auto"/>
              <w:jc w:val="center"/>
              <w:rPr>
                <w:rFonts w:eastAsia="Times New Roman" w:cs="Calibri"/>
                <w:noProof/>
              </w:rPr>
            </w:pPr>
            <w:r>
              <w:rPr>
                <w:noProof/>
              </w:rPr>
              <w:t xml:space="preserve">Noi produse, tehnologii și procese-pilot care integrează bioresurse </w:t>
            </w:r>
          </w:p>
        </w:tc>
        <w:tc>
          <w:tcPr>
            <w:tcW w:w="1275" w:type="dxa"/>
            <w:shd w:val="clear" w:color="auto" w:fill="C4EFCE"/>
            <w:noWrap/>
            <w:vAlign w:val="center"/>
            <w:hideMark/>
          </w:tcPr>
          <w:p w14:paraId="4D4A5918"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3848C4DC" w14:textId="77777777" w:rsidR="00A15990" w:rsidRDefault="00686A62">
            <w:pPr>
              <w:pStyle w:val="P68B1DB1-Normal8"/>
              <w:keepNext/>
              <w:spacing w:before="40" w:after="0" w:line="240" w:lineRule="auto"/>
              <w:jc w:val="center"/>
              <w:rPr>
                <w:rFonts w:eastAsia="Times New Roman" w:cs="Calibri"/>
                <w:noProof/>
              </w:rPr>
            </w:pPr>
            <w:r>
              <w:rPr>
                <w:noProof/>
              </w:rPr>
              <w:t> Numărul</w:t>
            </w:r>
          </w:p>
        </w:tc>
        <w:tc>
          <w:tcPr>
            <w:tcW w:w="992" w:type="dxa"/>
            <w:shd w:val="clear" w:color="auto" w:fill="C4EFCE"/>
            <w:noWrap/>
            <w:vAlign w:val="center"/>
            <w:hideMark/>
          </w:tcPr>
          <w:p w14:paraId="5AB50F47" w14:textId="77777777" w:rsidR="00A15990" w:rsidRDefault="00686A62">
            <w:pPr>
              <w:pStyle w:val="P68B1DB1-Normal8"/>
              <w:keepNext/>
              <w:spacing w:before="40" w:after="0" w:line="240" w:lineRule="auto"/>
              <w:jc w:val="center"/>
              <w:rPr>
                <w:rFonts w:eastAsia="Times New Roman" w:cs="Calibri"/>
                <w:noProof/>
              </w:rPr>
            </w:pPr>
            <w:r>
              <w:rPr>
                <w:noProof/>
              </w:rPr>
              <w:t> 0</w:t>
            </w:r>
          </w:p>
        </w:tc>
        <w:tc>
          <w:tcPr>
            <w:tcW w:w="709" w:type="dxa"/>
            <w:shd w:val="clear" w:color="auto" w:fill="C4EFCE"/>
            <w:noWrap/>
            <w:vAlign w:val="center"/>
            <w:hideMark/>
          </w:tcPr>
          <w:p w14:paraId="6F17EB16" w14:textId="77777777" w:rsidR="00A15990" w:rsidRDefault="00686A62">
            <w:pPr>
              <w:pStyle w:val="P68B1DB1-Normal8"/>
              <w:keepNext/>
              <w:spacing w:before="40" w:after="0" w:line="240" w:lineRule="auto"/>
              <w:jc w:val="center"/>
              <w:rPr>
                <w:rFonts w:eastAsia="Times New Roman" w:cs="Calibri"/>
                <w:noProof/>
              </w:rPr>
            </w:pPr>
            <w:r>
              <w:rPr>
                <w:noProof/>
              </w:rPr>
              <w:t> 15</w:t>
            </w:r>
          </w:p>
        </w:tc>
        <w:tc>
          <w:tcPr>
            <w:tcW w:w="567" w:type="dxa"/>
            <w:shd w:val="clear" w:color="auto" w:fill="C4EFCE"/>
            <w:noWrap/>
            <w:vAlign w:val="center"/>
            <w:hideMark/>
          </w:tcPr>
          <w:p w14:paraId="03A29219" w14:textId="77777777"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0ECB7A2A" w14:textId="77777777" w:rsidR="00A15990" w:rsidRDefault="00686A62">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2F1A4FC3" w14:textId="77777777" w:rsidR="00A15990" w:rsidRDefault="00686A62">
            <w:pPr>
              <w:pStyle w:val="P68B1DB1-Normal8"/>
              <w:keepNext/>
              <w:spacing w:before="40" w:after="0" w:line="240" w:lineRule="auto"/>
              <w:jc w:val="both"/>
              <w:rPr>
                <w:rFonts w:eastAsia="Times New Roman" w:cs="Calibri"/>
                <w:noProof/>
              </w:rPr>
            </w:pPr>
            <w:r>
              <w:rPr>
                <w:noProof/>
              </w:rPr>
              <w:t>Noi produse, tehnologii și procese-pilot care integrează bioresurse. Aceasta include cel puțin 10 de produse sau tehnologii noi (nivelul de maturitate tehnologică 6-7) și cel puțin 5 procese-pilot industriale (nivelul de maturitate tehnologică 7-9) în următoarele sectoare: textile, încălțăminte, producția de rășină.</w:t>
            </w:r>
          </w:p>
        </w:tc>
      </w:tr>
      <w:tr w:rsidR="00A15990" w14:paraId="029AA38F" w14:textId="77777777">
        <w:trPr>
          <w:trHeight w:val="430"/>
        </w:trPr>
        <w:tc>
          <w:tcPr>
            <w:tcW w:w="1135" w:type="dxa"/>
            <w:shd w:val="clear" w:color="auto" w:fill="C4EFCE"/>
            <w:vAlign w:val="center"/>
            <w:hideMark/>
          </w:tcPr>
          <w:p w14:paraId="0DC95BE8" w14:textId="77777777" w:rsidR="00A15990" w:rsidRDefault="00686A62">
            <w:pPr>
              <w:pStyle w:val="P68B1DB1-Normal7"/>
              <w:keepNext/>
              <w:spacing w:before="40" w:after="0" w:line="240" w:lineRule="auto"/>
              <w:jc w:val="center"/>
              <w:rPr>
                <w:rFonts w:eastAsia="Times New Roman" w:cs="Calibri"/>
                <w:noProof/>
              </w:rPr>
            </w:pPr>
            <w:r>
              <w:rPr>
                <w:noProof/>
              </w:rPr>
              <w:t>12.4</w:t>
            </w:r>
          </w:p>
        </w:tc>
        <w:tc>
          <w:tcPr>
            <w:tcW w:w="1276" w:type="dxa"/>
            <w:shd w:val="clear" w:color="auto" w:fill="C4EFCE"/>
            <w:noWrap/>
            <w:vAlign w:val="center"/>
            <w:hideMark/>
          </w:tcPr>
          <w:p w14:paraId="00D79CA4" w14:textId="77777777" w:rsidR="00A15990" w:rsidRDefault="00686A62">
            <w:pPr>
              <w:pStyle w:val="P68B1DB1-Normal8"/>
              <w:keepNext/>
              <w:spacing w:before="40" w:after="0" w:line="240" w:lineRule="auto"/>
              <w:jc w:val="center"/>
              <w:rPr>
                <w:rFonts w:eastAsia="Times New Roman" w:cs="Calibri"/>
                <w:noProof/>
              </w:rPr>
            </w:pPr>
            <w:r>
              <w:rPr>
                <w:noProof/>
              </w:rPr>
              <w:t>TC-C12-I01</w:t>
            </w:r>
          </w:p>
        </w:tc>
        <w:tc>
          <w:tcPr>
            <w:tcW w:w="1134" w:type="dxa"/>
            <w:shd w:val="clear" w:color="auto" w:fill="C4EFCE"/>
            <w:noWrap/>
            <w:vAlign w:val="center"/>
            <w:hideMark/>
          </w:tcPr>
          <w:p w14:paraId="6AA0EC62" w14:textId="77777777" w:rsidR="00A15990" w:rsidRDefault="00686A62">
            <w:pPr>
              <w:pStyle w:val="P68B1DB1-Normal8"/>
              <w:keepNext/>
              <w:spacing w:before="40" w:after="0" w:line="240" w:lineRule="auto"/>
              <w:jc w:val="center"/>
              <w:rPr>
                <w:rFonts w:eastAsia="Times New Roman" w:cs="Calibri"/>
                <w:noProof/>
              </w:rPr>
            </w:pPr>
            <w:r>
              <w:rPr>
                <w:noProof/>
              </w:rPr>
              <w:t>T</w:t>
            </w:r>
          </w:p>
        </w:tc>
        <w:tc>
          <w:tcPr>
            <w:tcW w:w="1701" w:type="dxa"/>
            <w:shd w:val="clear" w:color="auto" w:fill="C4EFCE"/>
            <w:noWrap/>
            <w:vAlign w:val="center"/>
            <w:hideMark/>
          </w:tcPr>
          <w:p w14:paraId="3A995D45" w14:textId="77777777" w:rsidR="00A15990" w:rsidRDefault="00686A62">
            <w:pPr>
              <w:pStyle w:val="P68B1DB1-Normal8"/>
              <w:keepNext/>
              <w:spacing w:before="40" w:after="0" w:line="240" w:lineRule="auto"/>
              <w:jc w:val="center"/>
              <w:rPr>
                <w:rFonts w:eastAsia="Times New Roman" w:cs="Calibri"/>
                <w:noProof/>
              </w:rPr>
            </w:pPr>
            <w:r>
              <w:rPr>
                <w:noProof/>
              </w:rPr>
              <w:t>Dezvoltarea pădurilor marine de pin cu potențial de producție de rășini</w:t>
            </w:r>
          </w:p>
        </w:tc>
        <w:tc>
          <w:tcPr>
            <w:tcW w:w="1275" w:type="dxa"/>
            <w:shd w:val="clear" w:color="auto" w:fill="C4EFCE"/>
            <w:noWrap/>
            <w:vAlign w:val="center"/>
            <w:hideMark/>
          </w:tcPr>
          <w:p w14:paraId="289BF410"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93" w:type="dxa"/>
            <w:shd w:val="clear" w:color="auto" w:fill="C4EFCE"/>
            <w:noWrap/>
            <w:vAlign w:val="center"/>
            <w:hideMark/>
          </w:tcPr>
          <w:p w14:paraId="01EED50B" w14:textId="77777777" w:rsidR="00A15990" w:rsidRDefault="00686A62">
            <w:pPr>
              <w:pStyle w:val="P68B1DB1-Normal8"/>
              <w:keepNext/>
              <w:spacing w:before="40" w:after="0" w:line="240" w:lineRule="auto"/>
              <w:jc w:val="center"/>
              <w:rPr>
                <w:rFonts w:eastAsia="Times New Roman" w:cs="Calibri"/>
                <w:noProof/>
              </w:rPr>
            </w:pPr>
            <w:r>
              <w:rPr>
                <w:noProof/>
              </w:rPr>
              <w:t>ha</w:t>
            </w:r>
          </w:p>
        </w:tc>
        <w:tc>
          <w:tcPr>
            <w:tcW w:w="992" w:type="dxa"/>
            <w:shd w:val="clear" w:color="auto" w:fill="C4EFCE"/>
            <w:noWrap/>
            <w:vAlign w:val="center"/>
            <w:hideMark/>
          </w:tcPr>
          <w:p w14:paraId="426FC88F" w14:textId="77777777" w:rsidR="00A15990" w:rsidRDefault="00686A62">
            <w:pPr>
              <w:pStyle w:val="P68B1DB1-Normal8"/>
              <w:keepNext/>
              <w:spacing w:before="40" w:after="0" w:line="240" w:lineRule="auto"/>
              <w:jc w:val="center"/>
              <w:rPr>
                <w:rFonts w:eastAsia="Times New Roman" w:cs="Calibri"/>
                <w:noProof/>
              </w:rPr>
            </w:pPr>
            <w:r>
              <w:rPr>
                <w:noProof/>
              </w:rPr>
              <w:t>0</w:t>
            </w:r>
          </w:p>
        </w:tc>
        <w:tc>
          <w:tcPr>
            <w:tcW w:w="709" w:type="dxa"/>
            <w:shd w:val="clear" w:color="auto" w:fill="C4EFCE"/>
            <w:noWrap/>
            <w:vAlign w:val="center"/>
            <w:hideMark/>
          </w:tcPr>
          <w:p w14:paraId="556DED51" w14:textId="77777777" w:rsidR="00A15990" w:rsidRDefault="00686A62">
            <w:pPr>
              <w:pStyle w:val="P68B1DB1-Normal8"/>
              <w:keepNext/>
              <w:spacing w:before="40" w:after="0" w:line="240" w:lineRule="auto"/>
              <w:jc w:val="center"/>
              <w:rPr>
                <w:rFonts w:eastAsia="Times New Roman" w:cs="Calibri"/>
                <w:noProof/>
              </w:rPr>
            </w:pPr>
            <w:r>
              <w:rPr>
                <w:noProof/>
              </w:rPr>
              <w:t>8500</w:t>
            </w:r>
          </w:p>
        </w:tc>
        <w:tc>
          <w:tcPr>
            <w:tcW w:w="567" w:type="dxa"/>
            <w:shd w:val="clear" w:color="auto" w:fill="C4EFCE"/>
            <w:noWrap/>
            <w:vAlign w:val="center"/>
            <w:hideMark/>
          </w:tcPr>
          <w:p w14:paraId="75362553" w14:textId="77777777" w:rsidR="00A15990" w:rsidRDefault="00686A62">
            <w:pPr>
              <w:pStyle w:val="P68B1DB1-Normal8"/>
              <w:keepNext/>
              <w:spacing w:before="40"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3942C662" w14:textId="77777777" w:rsidR="00A15990" w:rsidRDefault="00686A62">
            <w:pPr>
              <w:pStyle w:val="P68B1DB1-Normal8"/>
              <w:keepNext/>
              <w:spacing w:before="40" w:after="0" w:line="240" w:lineRule="auto"/>
              <w:jc w:val="center"/>
              <w:rPr>
                <w:rFonts w:eastAsia="Times New Roman" w:cs="Calibri"/>
                <w:noProof/>
              </w:rPr>
            </w:pPr>
            <w:r>
              <w:rPr>
                <w:noProof/>
              </w:rPr>
              <w:t>2025</w:t>
            </w:r>
          </w:p>
        </w:tc>
        <w:tc>
          <w:tcPr>
            <w:tcW w:w="3969" w:type="dxa"/>
            <w:shd w:val="clear" w:color="auto" w:fill="C4EFCE"/>
            <w:vAlign w:val="center"/>
            <w:hideMark/>
          </w:tcPr>
          <w:p w14:paraId="51C1605D" w14:textId="77777777" w:rsidR="00A15990" w:rsidRDefault="00686A62">
            <w:pPr>
              <w:pStyle w:val="P68B1DB1-Normal8"/>
              <w:keepNext/>
              <w:spacing w:before="40" w:after="0" w:line="240" w:lineRule="auto"/>
              <w:jc w:val="both"/>
              <w:rPr>
                <w:rFonts w:eastAsia="Times New Roman" w:cs="Calibri"/>
                <w:noProof/>
              </w:rPr>
            </w:pPr>
            <w:r>
              <w:rPr>
                <w:noProof/>
              </w:rPr>
              <w:t>Suprafața pădurilor marine de pin s-a dezvoltat prin utilizarea tehnicilor de regenerare naturală și a tăierii ramurilor rășinoase.</w:t>
            </w:r>
          </w:p>
        </w:tc>
      </w:tr>
      <w:tr w:rsidR="00A15990" w14:paraId="06448507" w14:textId="77777777">
        <w:trPr>
          <w:trHeight w:val="509"/>
        </w:trPr>
        <w:tc>
          <w:tcPr>
            <w:tcW w:w="1135" w:type="dxa"/>
            <w:vMerge w:val="restart"/>
            <w:shd w:val="clear" w:color="auto" w:fill="C4EFCE"/>
            <w:vAlign w:val="center"/>
            <w:hideMark/>
          </w:tcPr>
          <w:p w14:paraId="01815B47" w14:textId="77777777" w:rsidR="00A15990" w:rsidRDefault="00686A62">
            <w:pPr>
              <w:pStyle w:val="P68B1DB1-Normal7"/>
              <w:keepNext/>
              <w:spacing w:before="40" w:after="0" w:line="240" w:lineRule="auto"/>
              <w:jc w:val="center"/>
              <w:rPr>
                <w:rFonts w:eastAsia="Times New Roman" w:cs="Calibri"/>
                <w:noProof/>
              </w:rPr>
            </w:pPr>
            <w:r>
              <w:rPr>
                <w:noProof/>
              </w:rPr>
              <w:t>12.5</w:t>
            </w:r>
          </w:p>
        </w:tc>
        <w:tc>
          <w:tcPr>
            <w:tcW w:w="1276" w:type="dxa"/>
            <w:vMerge w:val="restart"/>
            <w:shd w:val="clear" w:color="auto" w:fill="C4EFCE"/>
            <w:noWrap/>
            <w:vAlign w:val="center"/>
            <w:hideMark/>
          </w:tcPr>
          <w:p w14:paraId="5A975A5B" w14:textId="77777777" w:rsidR="00A15990" w:rsidRDefault="00686A62">
            <w:pPr>
              <w:pStyle w:val="P68B1DB1-Normal8"/>
              <w:keepNext/>
              <w:spacing w:before="40" w:after="0" w:line="240" w:lineRule="auto"/>
              <w:jc w:val="center"/>
              <w:rPr>
                <w:rFonts w:eastAsia="Times New Roman" w:cs="Calibri"/>
                <w:noProof/>
              </w:rPr>
            </w:pPr>
            <w:r>
              <w:rPr>
                <w:noProof/>
              </w:rPr>
              <w:t>TC-C12-r25</w:t>
            </w:r>
          </w:p>
        </w:tc>
        <w:tc>
          <w:tcPr>
            <w:tcW w:w="1134" w:type="dxa"/>
            <w:vMerge w:val="restart"/>
            <w:shd w:val="clear" w:color="auto" w:fill="C4EFCE"/>
            <w:noWrap/>
            <w:vAlign w:val="center"/>
            <w:hideMark/>
          </w:tcPr>
          <w:p w14:paraId="7B72424B" w14:textId="77777777" w:rsidR="00A15990" w:rsidRDefault="00686A62">
            <w:pPr>
              <w:pStyle w:val="P68B1DB1-Normal8"/>
              <w:keepNext/>
              <w:spacing w:before="40" w:after="0" w:line="240" w:lineRule="auto"/>
              <w:jc w:val="center"/>
              <w:rPr>
                <w:rFonts w:eastAsia="Times New Roman" w:cs="Calibri"/>
                <w:noProof/>
              </w:rPr>
            </w:pPr>
            <w:r>
              <w:rPr>
                <w:noProof/>
              </w:rPr>
              <w:t>M</w:t>
            </w:r>
          </w:p>
        </w:tc>
        <w:tc>
          <w:tcPr>
            <w:tcW w:w="1701" w:type="dxa"/>
            <w:vMerge w:val="restart"/>
            <w:shd w:val="clear" w:color="auto" w:fill="C4EFCE"/>
            <w:noWrap/>
            <w:vAlign w:val="center"/>
            <w:hideMark/>
          </w:tcPr>
          <w:p w14:paraId="69664442" w14:textId="77777777" w:rsidR="00A15990" w:rsidRDefault="00686A62">
            <w:pPr>
              <w:pStyle w:val="P68B1DB1-Normal8"/>
              <w:keepNext/>
              <w:spacing w:before="40" w:after="0" w:line="240" w:lineRule="auto"/>
              <w:jc w:val="center"/>
              <w:rPr>
                <w:rFonts w:eastAsia="Times New Roman" w:cs="Calibri"/>
                <w:noProof/>
              </w:rPr>
            </w:pPr>
            <w:r>
              <w:rPr>
                <w:noProof/>
              </w:rPr>
              <w:t>Intrarea în vigoare a noului regim general de gestionare a deșeurilor</w:t>
            </w:r>
          </w:p>
        </w:tc>
        <w:tc>
          <w:tcPr>
            <w:tcW w:w="1275" w:type="dxa"/>
            <w:vMerge w:val="restart"/>
            <w:shd w:val="clear" w:color="auto" w:fill="C4EFCE"/>
            <w:noWrap/>
            <w:vAlign w:val="center"/>
            <w:hideMark/>
          </w:tcPr>
          <w:p w14:paraId="1355927D" w14:textId="77777777" w:rsidR="00A15990" w:rsidRDefault="00686A62">
            <w:pPr>
              <w:pStyle w:val="P68B1DB1-Normal8"/>
              <w:keepNext/>
              <w:spacing w:before="40" w:after="0" w:line="240" w:lineRule="auto"/>
              <w:jc w:val="center"/>
              <w:rPr>
                <w:rFonts w:eastAsia="Times New Roman" w:cs="Calibri"/>
                <w:noProof/>
              </w:rPr>
            </w:pPr>
            <w:r>
              <w:rPr>
                <w:noProof/>
              </w:rPr>
              <w:t>Intrarea în vigoare a noului regim general de gestionare a deșeurilor</w:t>
            </w:r>
          </w:p>
        </w:tc>
        <w:tc>
          <w:tcPr>
            <w:tcW w:w="993" w:type="dxa"/>
            <w:vMerge w:val="restart"/>
            <w:shd w:val="clear" w:color="auto" w:fill="C4EFCE"/>
            <w:noWrap/>
            <w:vAlign w:val="center"/>
            <w:hideMark/>
          </w:tcPr>
          <w:p w14:paraId="54E17836"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92" w:type="dxa"/>
            <w:vMerge w:val="restart"/>
            <w:shd w:val="clear" w:color="auto" w:fill="C4EFCE"/>
            <w:noWrap/>
            <w:vAlign w:val="center"/>
            <w:hideMark/>
          </w:tcPr>
          <w:p w14:paraId="68CD8F4C"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709" w:type="dxa"/>
            <w:vMerge w:val="restart"/>
            <w:shd w:val="clear" w:color="auto" w:fill="C4EFCE"/>
            <w:noWrap/>
            <w:vAlign w:val="center"/>
            <w:hideMark/>
          </w:tcPr>
          <w:p w14:paraId="30FF5517"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67" w:type="dxa"/>
            <w:vMerge w:val="restart"/>
            <w:shd w:val="clear" w:color="auto" w:fill="C4EFCE"/>
            <w:noWrap/>
            <w:vAlign w:val="center"/>
            <w:hideMark/>
          </w:tcPr>
          <w:p w14:paraId="4E701E35" w14:textId="77777777" w:rsidR="00A15990" w:rsidRDefault="00686A62">
            <w:pPr>
              <w:pStyle w:val="P68B1DB1-Normal8"/>
              <w:keepNext/>
              <w:spacing w:before="40" w:after="0" w:line="240" w:lineRule="auto"/>
              <w:jc w:val="center"/>
              <w:rPr>
                <w:rFonts w:eastAsia="Times New Roman" w:cs="Calibri"/>
                <w:noProof/>
              </w:rPr>
            </w:pPr>
            <w:r>
              <w:rPr>
                <w:noProof/>
              </w:rPr>
              <w:t>TRIMESTRUL 3</w:t>
            </w:r>
          </w:p>
        </w:tc>
        <w:tc>
          <w:tcPr>
            <w:tcW w:w="708" w:type="dxa"/>
            <w:vMerge w:val="restart"/>
            <w:shd w:val="clear" w:color="auto" w:fill="C4EFCE"/>
            <w:noWrap/>
            <w:vAlign w:val="center"/>
            <w:hideMark/>
          </w:tcPr>
          <w:p w14:paraId="3E43C2B4" w14:textId="77777777" w:rsidR="00A15990" w:rsidRDefault="00686A62">
            <w:pPr>
              <w:pStyle w:val="P68B1DB1-Normal8"/>
              <w:keepNext/>
              <w:spacing w:before="40" w:after="0" w:line="240" w:lineRule="auto"/>
              <w:jc w:val="center"/>
              <w:rPr>
                <w:rFonts w:eastAsia="Times New Roman" w:cs="Calibri"/>
                <w:noProof/>
              </w:rPr>
            </w:pPr>
            <w:r>
              <w:rPr>
                <w:noProof/>
              </w:rPr>
              <w:t>2021</w:t>
            </w:r>
          </w:p>
        </w:tc>
        <w:tc>
          <w:tcPr>
            <w:tcW w:w="3969" w:type="dxa"/>
            <w:vMerge w:val="restart"/>
            <w:shd w:val="clear" w:color="auto" w:fill="C4EFCE"/>
            <w:vAlign w:val="center"/>
            <w:hideMark/>
          </w:tcPr>
          <w:p w14:paraId="48913900" w14:textId="77777777" w:rsidR="00A15990" w:rsidRDefault="00686A62">
            <w:pPr>
              <w:pStyle w:val="P68B1DB1-Normal8"/>
              <w:keepNext/>
              <w:spacing w:before="40" w:after="0" w:line="240" w:lineRule="auto"/>
              <w:jc w:val="both"/>
              <w:rPr>
                <w:rFonts w:eastAsia="Times New Roman" w:cs="Calibri"/>
                <w:noProof/>
              </w:rPr>
            </w:pPr>
            <w:r>
              <w:rPr>
                <w:noProof/>
              </w:rPr>
              <w:t>Intrarea în vigoare a noului sistem general de gestionare a deșeurilor (RGGR), care simplifică procesul administrativ și reduce costurile asociate utilizării subproduselor.</w:t>
            </w:r>
          </w:p>
        </w:tc>
      </w:tr>
      <w:tr w:rsidR="00A15990" w14:paraId="586A7CD8" w14:textId="77777777">
        <w:trPr>
          <w:trHeight w:val="509"/>
        </w:trPr>
        <w:tc>
          <w:tcPr>
            <w:tcW w:w="1135" w:type="dxa"/>
            <w:vMerge/>
            <w:vAlign w:val="center"/>
            <w:hideMark/>
          </w:tcPr>
          <w:p w14:paraId="0DB010B9" w14:textId="77777777" w:rsidR="00A15990" w:rsidRDefault="00A15990">
            <w:pPr>
              <w:keepNext/>
              <w:spacing w:before="40" w:after="0" w:line="240" w:lineRule="auto"/>
              <w:jc w:val="both"/>
              <w:rPr>
                <w:rFonts w:ascii="Calibri" w:eastAsia="Times New Roman" w:hAnsi="Calibri" w:cs="Calibri"/>
                <w:b/>
                <w:noProof/>
                <w:sz w:val="16"/>
              </w:rPr>
            </w:pPr>
          </w:p>
        </w:tc>
        <w:tc>
          <w:tcPr>
            <w:tcW w:w="1276" w:type="dxa"/>
            <w:vMerge/>
            <w:vAlign w:val="center"/>
            <w:hideMark/>
          </w:tcPr>
          <w:p w14:paraId="367E3F02" w14:textId="77777777" w:rsidR="00A15990" w:rsidRDefault="00A15990">
            <w:pPr>
              <w:keepNext/>
              <w:spacing w:before="40" w:after="0" w:line="240" w:lineRule="auto"/>
              <w:jc w:val="both"/>
              <w:rPr>
                <w:rFonts w:ascii="Calibri" w:eastAsia="Times New Roman" w:hAnsi="Calibri" w:cs="Calibri"/>
                <w:noProof/>
                <w:sz w:val="16"/>
              </w:rPr>
            </w:pPr>
          </w:p>
        </w:tc>
        <w:tc>
          <w:tcPr>
            <w:tcW w:w="1134" w:type="dxa"/>
            <w:vMerge/>
            <w:vAlign w:val="center"/>
            <w:hideMark/>
          </w:tcPr>
          <w:p w14:paraId="2443F33D" w14:textId="77777777" w:rsidR="00A15990" w:rsidRDefault="00A15990">
            <w:pPr>
              <w:keepNext/>
              <w:spacing w:before="40" w:after="0" w:line="240" w:lineRule="auto"/>
              <w:jc w:val="both"/>
              <w:rPr>
                <w:rFonts w:ascii="Calibri" w:eastAsia="Times New Roman" w:hAnsi="Calibri" w:cs="Calibri"/>
                <w:noProof/>
                <w:sz w:val="16"/>
              </w:rPr>
            </w:pPr>
          </w:p>
        </w:tc>
        <w:tc>
          <w:tcPr>
            <w:tcW w:w="1701" w:type="dxa"/>
            <w:vMerge/>
            <w:vAlign w:val="center"/>
            <w:hideMark/>
          </w:tcPr>
          <w:p w14:paraId="5DD737E3" w14:textId="77777777" w:rsidR="00A15990" w:rsidRDefault="00A15990">
            <w:pPr>
              <w:keepNext/>
              <w:spacing w:before="40" w:after="0" w:line="240" w:lineRule="auto"/>
              <w:jc w:val="both"/>
              <w:rPr>
                <w:rFonts w:ascii="Calibri" w:eastAsia="Times New Roman" w:hAnsi="Calibri" w:cs="Calibri"/>
                <w:noProof/>
                <w:sz w:val="16"/>
              </w:rPr>
            </w:pPr>
          </w:p>
        </w:tc>
        <w:tc>
          <w:tcPr>
            <w:tcW w:w="1275" w:type="dxa"/>
            <w:vMerge/>
            <w:vAlign w:val="center"/>
            <w:hideMark/>
          </w:tcPr>
          <w:p w14:paraId="2487D94E" w14:textId="77777777" w:rsidR="00A15990" w:rsidRDefault="00A15990">
            <w:pPr>
              <w:keepNext/>
              <w:spacing w:before="40" w:after="0" w:line="240" w:lineRule="auto"/>
              <w:jc w:val="both"/>
              <w:rPr>
                <w:rFonts w:ascii="Calibri" w:eastAsia="Times New Roman" w:hAnsi="Calibri" w:cs="Calibri"/>
                <w:noProof/>
                <w:sz w:val="16"/>
              </w:rPr>
            </w:pPr>
          </w:p>
        </w:tc>
        <w:tc>
          <w:tcPr>
            <w:tcW w:w="993" w:type="dxa"/>
            <w:vMerge/>
            <w:vAlign w:val="center"/>
            <w:hideMark/>
          </w:tcPr>
          <w:p w14:paraId="0AA85703" w14:textId="77777777" w:rsidR="00A15990" w:rsidRDefault="00A15990">
            <w:pPr>
              <w:keepNext/>
              <w:spacing w:before="40" w:after="0" w:line="240" w:lineRule="auto"/>
              <w:jc w:val="both"/>
              <w:rPr>
                <w:rFonts w:ascii="Calibri" w:eastAsia="Times New Roman" w:hAnsi="Calibri" w:cs="Calibri"/>
                <w:noProof/>
                <w:sz w:val="16"/>
              </w:rPr>
            </w:pPr>
          </w:p>
        </w:tc>
        <w:tc>
          <w:tcPr>
            <w:tcW w:w="992" w:type="dxa"/>
            <w:vMerge/>
            <w:vAlign w:val="center"/>
            <w:hideMark/>
          </w:tcPr>
          <w:p w14:paraId="771EC11D" w14:textId="77777777" w:rsidR="00A15990" w:rsidRDefault="00A15990">
            <w:pPr>
              <w:keepNext/>
              <w:spacing w:before="40" w:after="0" w:line="240" w:lineRule="auto"/>
              <w:jc w:val="both"/>
              <w:rPr>
                <w:rFonts w:ascii="Calibri" w:eastAsia="Times New Roman" w:hAnsi="Calibri" w:cs="Calibri"/>
                <w:noProof/>
                <w:sz w:val="16"/>
              </w:rPr>
            </w:pPr>
          </w:p>
        </w:tc>
        <w:tc>
          <w:tcPr>
            <w:tcW w:w="709" w:type="dxa"/>
            <w:vMerge/>
            <w:vAlign w:val="center"/>
            <w:hideMark/>
          </w:tcPr>
          <w:p w14:paraId="71E36A1F" w14:textId="77777777" w:rsidR="00A15990" w:rsidRDefault="00A15990">
            <w:pPr>
              <w:keepNext/>
              <w:spacing w:before="40" w:after="0" w:line="240" w:lineRule="auto"/>
              <w:jc w:val="both"/>
              <w:rPr>
                <w:rFonts w:ascii="Calibri" w:eastAsia="Times New Roman" w:hAnsi="Calibri" w:cs="Calibri"/>
                <w:noProof/>
                <w:sz w:val="16"/>
              </w:rPr>
            </w:pPr>
          </w:p>
        </w:tc>
        <w:tc>
          <w:tcPr>
            <w:tcW w:w="567" w:type="dxa"/>
            <w:vMerge/>
            <w:vAlign w:val="center"/>
            <w:hideMark/>
          </w:tcPr>
          <w:p w14:paraId="3C6B1961" w14:textId="77777777" w:rsidR="00A15990" w:rsidRDefault="00A15990">
            <w:pPr>
              <w:keepNext/>
              <w:spacing w:before="40" w:after="0" w:line="240" w:lineRule="auto"/>
              <w:jc w:val="both"/>
              <w:rPr>
                <w:rFonts w:ascii="Calibri" w:eastAsia="Times New Roman" w:hAnsi="Calibri" w:cs="Calibri"/>
                <w:noProof/>
                <w:sz w:val="16"/>
              </w:rPr>
            </w:pPr>
          </w:p>
        </w:tc>
        <w:tc>
          <w:tcPr>
            <w:tcW w:w="708" w:type="dxa"/>
            <w:vMerge/>
            <w:vAlign w:val="center"/>
            <w:hideMark/>
          </w:tcPr>
          <w:p w14:paraId="73B96A4A" w14:textId="77777777" w:rsidR="00A15990" w:rsidRDefault="00A15990">
            <w:pPr>
              <w:keepNext/>
              <w:spacing w:before="40" w:after="0" w:line="240" w:lineRule="auto"/>
              <w:jc w:val="both"/>
              <w:rPr>
                <w:rFonts w:ascii="Calibri" w:eastAsia="Times New Roman" w:hAnsi="Calibri" w:cs="Calibri"/>
                <w:noProof/>
                <w:sz w:val="16"/>
              </w:rPr>
            </w:pPr>
          </w:p>
        </w:tc>
        <w:tc>
          <w:tcPr>
            <w:tcW w:w="3969" w:type="dxa"/>
            <w:vMerge/>
            <w:vAlign w:val="center"/>
            <w:hideMark/>
          </w:tcPr>
          <w:p w14:paraId="2B2F80BC" w14:textId="77777777" w:rsidR="00A15990" w:rsidRDefault="00A15990">
            <w:pPr>
              <w:keepNext/>
              <w:spacing w:before="40" w:after="0" w:line="240" w:lineRule="auto"/>
              <w:jc w:val="both"/>
              <w:rPr>
                <w:rFonts w:ascii="Calibri" w:eastAsia="Times New Roman" w:hAnsi="Calibri" w:cs="Calibri"/>
                <w:noProof/>
                <w:sz w:val="16"/>
              </w:rPr>
            </w:pPr>
          </w:p>
        </w:tc>
      </w:tr>
      <w:tr w:rsidR="00A15990" w14:paraId="2697EE8C" w14:textId="77777777">
        <w:trPr>
          <w:trHeight w:val="640"/>
        </w:trPr>
        <w:tc>
          <w:tcPr>
            <w:tcW w:w="1135" w:type="dxa"/>
            <w:shd w:val="clear" w:color="auto" w:fill="C4EFCE"/>
            <w:vAlign w:val="center"/>
            <w:hideMark/>
          </w:tcPr>
          <w:p w14:paraId="08444E6D" w14:textId="77777777" w:rsidR="00A15990" w:rsidRDefault="00686A62">
            <w:pPr>
              <w:pStyle w:val="P68B1DB1-Normal7"/>
              <w:keepNext/>
              <w:spacing w:before="40" w:after="0" w:line="240" w:lineRule="auto"/>
              <w:jc w:val="center"/>
              <w:rPr>
                <w:rFonts w:eastAsia="Times New Roman" w:cs="Calibri"/>
                <w:noProof/>
              </w:rPr>
            </w:pPr>
            <w:r>
              <w:rPr>
                <w:noProof/>
              </w:rPr>
              <w:t>12.6</w:t>
            </w:r>
          </w:p>
        </w:tc>
        <w:tc>
          <w:tcPr>
            <w:tcW w:w="1276" w:type="dxa"/>
            <w:shd w:val="clear" w:color="auto" w:fill="C4EFCE"/>
            <w:noWrap/>
            <w:vAlign w:val="center"/>
            <w:hideMark/>
          </w:tcPr>
          <w:p w14:paraId="3F816AEA" w14:textId="77777777" w:rsidR="00A15990" w:rsidRDefault="00686A62">
            <w:pPr>
              <w:pStyle w:val="P68B1DB1-Normal8"/>
              <w:keepNext/>
              <w:spacing w:before="40" w:after="0" w:line="240" w:lineRule="auto"/>
              <w:jc w:val="center"/>
              <w:rPr>
                <w:rFonts w:eastAsia="Times New Roman" w:cs="Calibri"/>
                <w:noProof/>
              </w:rPr>
            </w:pPr>
            <w:r>
              <w:rPr>
                <w:noProof/>
              </w:rPr>
              <w:t>TC-C12-r25</w:t>
            </w:r>
          </w:p>
        </w:tc>
        <w:tc>
          <w:tcPr>
            <w:tcW w:w="1134" w:type="dxa"/>
            <w:shd w:val="clear" w:color="auto" w:fill="C4EFCE"/>
            <w:noWrap/>
            <w:vAlign w:val="center"/>
            <w:hideMark/>
          </w:tcPr>
          <w:p w14:paraId="62EF5924" w14:textId="77777777" w:rsidR="00A15990" w:rsidRDefault="00686A62">
            <w:pPr>
              <w:pStyle w:val="P68B1DB1-Normal8"/>
              <w:keepNext/>
              <w:spacing w:before="40" w:after="0" w:line="240" w:lineRule="auto"/>
              <w:jc w:val="center"/>
              <w:rPr>
                <w:rFonts w:eastAsia="Times New Roman" w:cs="Calibri"/>
                <w:noProof/>
              </w:rPr>
            </w:pPr>
            <w:r>
              <w:rPr>
                <w:noProof/>
              </w:rPr>
              <w:t>M</w:t>
            </w:r>
          </w:p>
        </w:tc>
        <w:tc>
          <w:tcPr>
            <w:tcW w:w="1701" w:type="dxa"/>
            <w:shd w:val="clear" w:color="auto" w:fill="C4EFCE"/>
            <w:noWrap/>
            <w:vAlign w:val="center"/>
            <w:hideMark/>
          </w:tcPr>
          <w:p w14:paraId="133B9485" w14:textId="77777777" w:rsidR="00A15990" w:rsidRDefault="00686A62">
            <w:pPr>
              <w:pStyle w:val="P68B1DB1-Normal8"/>
              <w:keepNext/>
              <w:spacing w:before="40" w:after="0" w:line="240" w:lineRule="auto"/>
              <w:jc w:val="center"/>
              <w:rPr>
                <w:rFonts w:eastAsia="Times New Roman" w:cs="Calibri"/>
                <w:noProof/>
              </w:rPr>
            </w:pPr>
            <w:r>
              <w:rPr>
                <w:noProof/>
              </w:rPr>
              <w:t xml:space="preserve">Intrarea în vigoare a Strategiei naționale revizuite privind achizițiile publice ecologice  </w:t>
            </w:r>
          </w:p>
        </w:tc>
        <w:tc>
          <w:tcPr>
            <w:tcW w:w="1275" w:type="dxa"/>
            <w:shd w:val="clear" w:color="auto" w:fill="C4EFCE"/>
            <w:noWrap/>
            <w:vAlign w:val="center"/>
            <w:hideMark/>
          </w:tcPr>
          <w:p w14:paraId="6FBD6F01" w14:textId="77777777" w:rsidR="00A15990" w:rsidRDefault="00686A62">
            <w:pPr>
              <w:pStyle w:val="P68B1DB1-Normal8"/>
              <w:keepNext/>
              <w:spacing w:before="40" w:after="0" w:line="240" w:lineRule="auto"/>
              <w:jc w:val="center"/>
              <w:rPr>
                <w:rFonts w:eastAsia="Times New Roman" w:cs="Calibri"/>
                <w:noProof/>
              </w:rPr>
            </w:pPr>
            <w:r>
              <w:rPr>
                <w:noProof/>
              </w:rPr>
              <w:t xml:space="preserve"> Intrarea în vigoare a Strategiei naționale revizuite privind achizițiile publice ecologice</w:t>
            </w:r>
          </w:p>
        </w:tc>
        <w:tc>
          <w:tcPr>
            <w:tcW w:w="993" w:type="dxa"/>
            <w:shd w:val="clear" w:color="auto" w:fill="C4EFCE"/>
            <w:noWrap/>
            <w:vAlign w:val="center"/>
            <w:hideMark/>
          </w:tcPr>
          <w:p w14:paraId="51587E83"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992" w:type="dxa"/>
            <w:shd w:val="clear" w:color="auto" w:fill="C4EFCE"/>
            <w:noWrap/>
            <w:vAlign w:val="center"/>
            <w:hideMark/>
          </w:tcPr>
          <w:p w14:paraId="4AFA38E3"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709" w:type="dxa"/>
            <w:shd w:val="clear" w:color="auto" w:fill="C4EFCE"/>
            <w:noWrap/>
            <w:vAlign w:val="center"/>
            <w:hideMark/>
          </w:tcPr>
          <w:p w14:paraId="7C65395F" w14:textId="77777777" w:rsidR="00A15990" w:rsidRDefault="00686A62">
            <w:pPr>
              <w:pStyle w:val="P68B1DB1-Normal8"/>
              <w:keepNext/>
              <w:spacing w:before="40" w:after="0" w:line="240" w:lineRule="auto"/>
              <w:jc w:val="center"/>
              <w:rPr>
                <w:rFonts w:eastAsia="Times New Roman" w:cs="Calibri"/>
                <w:noProof/>
              </w:rPr>
            </w:pPr>
            <w:r>
              <w:rPr>
                <w:noProof/>
              </w:rPr>
              <w:t> </w:t>
            </w:r>
          </w:p>
        </w:tc>
        <w:tc>
          <w:tcPr>
            <w:tcW w:w="567" w:type="dxa"/>
            <w:shd w:val="clear" w:color="auto" w:fill="C4EFCE"/>
            <w:noWrap/>
            <w:vAlign w:val="center"/>
            <w:hideMark/>
          </w:tcPr>
          <w:p w14:paraId="5256FAB4" w14:textId="77777777" w:rsidR="00A15990" w:rsidRDefault="00686A62">
            <w:pPr>
              <w:pStyle w:val="P68B1DB1-Normal8"/>
              <w:keepNext/>
              <w:spacing w:before="40"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6DDCBBB5" w14:textId="77777777" w:rsidR="00A15990" w:rsidRDefault="00686A62">
            <w:pPr>
              <w:pStyle w:val="P68B1DB1-Normal8"/>
              <w:keepNext/>
              <w:spacing w:before="40" w:after="0" w:line="240" w:lineRule="auto"/>
              <w:jc w:val="center"/>
              <w:rPr>
                <w:rFonts w:eastAsia="Times New Roman" w:cs="Calibri"/>
                <w:noProof/>
              </w:rPr>
            </w:pPr>
            <w:r>
              <w:rPr>
                <w:noProof/>
              </w:rPr>
              <w:t>2022</w:t>
            </w:r>
          </w:p>
        </w:tc>
        <w:tc>
          <w:tcPr>
            <w:tcW w:w="3969" w:type="dxa"/>
            <w:shd w:val="clear" w:color="auto" w:fill="C4EFCE"/>
            <w:vAlign w:val="center"/>
            <w:hideMark/>
          </w:tcPr>
          <w:p w14:paraId="4819F34F" w14:textId="77777777" w:rsidR="00A15990" w:rsidRDefault="00686A62">
            <w:pPr>
              <w:pStyle w:val="P68B1DB1-Normal8"/>
              <w:keepNext/>
              <w:spacing w:before="40" w:after="0" w:line="240" w:lineRule="auto"/>
              <w:jc w:val="both"/>
              <w:rPr>
                <w:rFonts w:eastAsia="Times New Roman" w:cs="Calibri"/>
                <w:noProof/>
              </w:rPr>
            </w:pPr>
            <w:r>
              <w:rPr>
                <w:noProof/>
              </w:rPr>
              <w:t>Intrarea în vigoare a Strategiei naționale revizuite privind achizițiile publice ecologice, care specifică criteriile ecologice legate de achizițiile de servicii și produse care integrează biomateriale durabile, inclusiv prin introducerea unor criterii ecologice obligatorii.</w:t>
            </w:r>
          </w:p>
        </w:tc>
      </w:tr>
      <w:tr w:rsidR="00A15990" w14:paraId="16B20D57" w14:textId="77777777">
        <w:trPr>
          <w:trHeight w:val="640"/>
        </w:trPr>
        <w:tc>
          <w:tcPr>
            <w:tcW w:w="1135" w:type="dxa"/>
            <w:shd w:val="clear" w:color="auto" w:fill="C4EFCE"/>
            <w:vAlign w:val="center"/>
          </w:tcPr>
          <w:p w14:paraId="39C49F59" w14:textId="55C321DD" w:rsidR="00A15990" w:rsidRDefault="00686A62">
            <w:pPr>
              <w:pStyle w:val="P68B1DB1-Normal11"/>
              <w:keepNext/>
              <w:spacing w:before="40" w:after="0" w:line="240" w:lineRule="auto"/>
              <w:jc w:val="center"/>
              <w:rPr>
                <w:rFonts w:eastAsia="Times New Roman" w:cstheme="minorHAnsi"/>
                <w:noProof/>
              </w:rPr>
            </w:pPr>
            <w:r>
              <w:rPr>
                <w:noProof/>
              </w:rPr>
              <w:t>12.7</w:t>
            </w:r>
          </w:p>
        </w:tc>
        <w:tc>
          <w:tcPr>
            <w:tcW w:w="1276" w:type="dxa"/>
            <w:shd w:val="clear" w:color="auto" w:fill="C4EFCE"/>
            <w:noWrap/>
            <w:vAlign w:val="center"/>
          </w:tcPr>
          <w:p w14:paraId="4721E143" w14:textId="51E9943A" w:rsidR="00A15990" w:rsidRDefault="00686A62">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9CBAF90" w14:textId="55797804" w:rsidR="00A15990" w:rsidRDefault="00686A62">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61B1A8E" w14:textId="2FFE12A3" w:rsidR="00A15990" w:rsidRDefault="00686A62">
            <w:pPr>
              <w:pStyle w:val="P68B1DB1-Normal12"/>
              <w:keepNext/>
              <w:spacing w:before="40" w:after="0" w:line="240" w:lineRule="auto"/>
              <w:jc w:val="center"/>
              <w:rPr>
                <w:rFonts w:eastAsia="Times New Roman" w:cstheme="minorHAnsi"/>
                <w:noProof/>
              </w:rPr>
            </w:pPr>
            <w:r>
              <w:rPr>
                <w:noProof/>
              </w:rPr>
              <w:t>Intrarea în vigoare a definiției armonizate a criteriilor pentru eco-modulare</w:t>
            </w:r>
          </w:p>
        </w:tc>
        <w:tc>
          <w:tcPr>
            <w:tcW w:w="1275" w:type="dxa"/>
            <w:shd w:val="clear" w:color="auto" w:fill="C4EFCE"/>
            <w:noWrap/>
            <w:vAlign w:val="center"/>
          </w:tcPr>
          <w:p w14:paraId="28D67B26" w14:textId="01B175F2" w:rsidR="00A15990" w:rsidRDefault="00686A62">
            <w:pPr>
              <w:pStyle w:val="P68B1DB1-Normal12"/>
              <w:keepNext/>
              <w:spacing w:before="40" w:after="0" w:line="240" w:lineRule="auto"/>
              <w:jc w:val="center"/>
              <w:rPr>
                <w:rFonts w:eastAsia="Times New Roman" w:cstheme="minorHAnsi"/>
                <w:noProof/>
              </w:rPr>
            </w:pPr>
            <w:r>
              <w:rPr>
                <w:noProof/>
              </w:rPr>
              <w:t>Dispoziție din actul juridic care indică data de intrare în vigoare a definiției armonizate a criteriilor pentru ecomodulare</w:t>
            </w:r>
          </w:p>
        </w:tc>
        <w:tc>
          <w:tcPr>
            <w:tcW w:w="993" w:type="dxa"/>
            <w:shd w:val="clear" w:color="auto" w:fill="C4EFCE"/>
            <w:noWrap/>
            <w:vAlign w:val="center"/>
          </w:tcPr>
          <w:p w14:paraId="473F382C" w14:textId="77777777" w:rsidR="00A15990" w:rsidRDefault="00A15990">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5F5AC1E1" w14:textId="77777777" w:rsidR="00A15990" w:rsidRDefault="00A15990">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7CCC309" w14:textId="77777777" w:rsidR="00A15990" w:rsidRDefault="00A15990">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4562F222" w14:textId="2D8B530C" w:rsidR="00A15990" w:rsidRDefault="00686A62">
            <w:pPr>
              <w:pStyle w:val="P68B1DB1-Normal12"/>
              <w:keepNext/>
              <w:spacing w:before="40"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7FEFCF39" w14:textId="54FDBFEF" w:rsidR="00A15990" w:rsidRDefault="00686A62">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DEDCBD9" w14:textId="1740201F" w:rsidR="00A15990" w:rsidRDefault="00686A62">
            <w:pPr>
              <w:pStyle w:val="P68B1DB1-Normal12"/>
              <w:keepNext/>
              <w:spacing w:before="40" w:after="0" w:line="240" w:lineRule="auto"/>
              <w:jc w:val="both"/>
              <w:rPr>
                <w:rFonts w:eastAsia="Times New Roman" w:cstheme="minorHAnsi"/>
                <w:noProof/>
              </w:rPr>
            </w:pPr>
            <w:r>
              <w:rPr>
                <w:noProof/>
              </w:rPr>
              <w:t>Intrarea în vigoare a unui act juridic care stabilește definirea armonizată și obligatorie a criteriilor pentru eco-modularea beneficiilor financiare în sistemele integrate în cadrul răspunderii extinse a producătorilor.</w:t>
            </w:r>
          </w:p>
        </w:tc>
      </w:tr>
      <w:tr w:rsidR="00A15990" w14:paraId="62815762" w14:textId="77777777">
        <w:trPr>
          <w:trHeight w:val="640"/>
        </w:trPr>
        <w:tc>
          <w:tcPr>
            <w:tcW w:w="1135" w:type="dxa"/>
            <w:shd w:val="clear" w:color="auto" w:fill="C4EFCE"/>
            <w:vAlign w:val="center"/>
          </w:tcPr>
          <w:p w14:paraId="07AC7261" w14:textId="275A6E6F" w:rsidR="00A15990" w:rsidRDefault="00686A62">
            <w:pPr>
              <w:pStyle w:val="P68B1DB1-Normal11"/>
              <w:keepNext/>
              <w:spacing w:before="40" w:after="0" w:line="240" w:lineRule="auto"/>
              <w:jc w:val="center"/>
              <w:rPr>
                <w:rFonts w:eastAsia="Times New Roman" w:cstheme="minorHAnsi"/>
                <w:noProof/>
              </w:rPr>
            </w:pPr>
            <w:r>
              <w:rPr>
                <w:noProof/>
              </w:rPr>
              <w:t>12.8</w:t>
            </w:r>
          </w:p>
        </w:tc>
        <w:tc>
          <w:tcPr>
            <w:tcW w:w="1276" w:type="dxa"/>
            <w:shd w:val="clear" w:color="auto" w:fill="C4EFCE"/>
            <w:noWrap/>
            <w:vAlign w:val="center"/>
          </w:tcPr>
          <w:p w14:paraId="7DACBA0B" w14:textId="5F170093" w:rsidR="00A15990" w:rsidRDefault="00686A62">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666A2AC9" w14:textId="0BD59B92" w:rsidR="00A15990" w:rsidRDefault="00686A62">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11F8455A" w14:textId="4FE660FF" w:rsidR="00A15990" w:rsidRDefault="00686A62">
            <w:pPr>
              <w:pStyle w:val="P68B1DB1-Normal12"/>
              <w:keepNext/>
              <w:spacing w:before="40" w:after="0" w:line="240" w:lineRule="auto"/>
              <w:jc w:val="center"/>
              <w:rPr>
                <w:rFonts w:eastAsia="Times New Roman" w:cstheme="minorHAnsi"/>
                <w:noProof/>
              </w:rPr>
            </w:pPr>
            <w:r>
              <w:rPr>
                <w:noProof/>
              </w:rPr>
              <w:t>Sistem de stimulare a recuperării (sistem de garanție și de rambursare) pentru sticlele din plastic nereutilizabile, metalele feroase și aluminiul</w:t>
            </w:r>
          </w:p>
        </w:tc>
        <w:tc>
          <w:tcPr>
            <w:tcW w:w="1275" w:type="dxa"/>
            <w:shd w:val="clear" w:color="auto" w:fill="C4EFCE"/>
            <w:noWrap/>
            <w:vAlign w:val="center"/>
          </w:tcPr>
          <w:p w14:paraId="7C89497C" w14:textId="1EB460B7" w:rsidR="00A15990" w:rsidRDefault="00686A62">
            <w:pPr>
              <w:pStyle w:val="P68B1DB1-Normal12"/>
              <w:keepNext/>
              <w:spacing w:before="40" w:after="0" w:line="240" w:lineRule="auto"/>
              <w:jc w:val="center"/>
              <w:rPr>
                <w:rFonts w:eastAsia="Times New Roman" w:cstheme="minorHAnsi"/>
                <w:noProof/>
              </w:rPr>
            </w:pPr>
            <w:r>
              <w:rPr>
                <w:noProof/>
              </w:rPr>
              <w:t xml:space="preserve">Punerea în funcțiune a sistemului de garanție și rambursare </w:t>
            </w:r>
          </w:p>
        </w:tc>
        <w:tc>
          <w:tcPr>
            <w:tcW w:w="993" w:type="dxa"/>
            <w:shd w:val="clear" w:color="auto" w:fill="C4EFCE"/>
            <w:noWrap/>
            <w:vAlign w:val="center"/>
          </w:tcPr>
          <w:p w14:paraId="39D5184D" w14:textId="77777777" w:rsidR="00A15990" w:rsidRDefault="00A15990">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3F121E5C" w14:textId="77777777" w:rsidR="00A15990" w:rsidRDefault="00A15990">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2387D7" w14:textId="77777777" w:rsidR="00A15990" w:rsidRDefault="00A15990">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2F1F0378" w14:textId="3C6501CE" w:rsidR="00A15990" w:rsidRDefault="00686A62">
            <w:pPr>
              <w:pStyle w:val="P68B1DB1-Normal12"/>
              <w:keepNext/>
              <w:spacing w:before="40"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53D4ED8E" w14:textId="0A031EF8" w:rsidR="00A15990" w:rsidRDefault="00686A62">
            <w:pPr>
              <w:pStyle w:val="P68B1DB1-Normal12"/>
              <w:keepNext/>
              <w:spacing w:before="40" w:after="0" w:line="240" w:lineRule="auto"/>
              <w:jc w:val="center"/>
              <w:rPr>
                <w:rFonts w:eastAsia="Times New Roman" w:cstheme="minorHAnsi"/>
                <w:noProof/>
              </w:rPr>
            </w:pPr>
            <w:r>
              <w:rPr>
                <w:noProof/>
              </w:rPr>
              <w:t>2023</w:t>
            </w:r>
          </w:p>
        </w:tc>
        <w:tc>
          <w:tcPr>
            <w:tcW w:w="3969" w:type="dxa"/>
            <w:shd w:val="clear" w:color="auto" w:fill="C4EFCE"/>
            <w:vAlign w:val="center"/>
          </w:tcPr>
          <w:p w14:paraId="2AAA4E0F" w14:textId="1222BCF4" w:rsidR="00A15990" w:rsidRDefault="00686A62">
            <w:pPr>
              <w:pStyle w:val="P68B1DB1-Normal12"/>
              <w:keepNext/>
              <w:spacing w:before="40" w:after="0" w:line="240" w:lineRule="auto"/>
              <w:jc w:val="both"/>
              <w:rPr>
                <w:rFonts w:eastAsia="Times New Roman" w:cstheme="minorHAnsi"/>
                <w:noProof/>
              </w:rPr>
            </w:pPr>
            <w:r>
              <w:rPr>
                <w:noProof/>
              </w:rPr>
              <w:t>Un sistem de garanție și rambursare intră în funcțiune și se aplică pentru sticlele din plastic nereutilizabile, metalele feroase și aluminiul.</w:t>
            </w:r>
          </w:p>
        </w:tc>
      </w:tr>
      <w:tr w:rsidR="00A15990" w14:paraId="32FCFF9B" w14:textId="77777777">
        <w:trPr>
          <w:trHeight w:val="640"/>
        </w:trPr>
        <w:tc>
          <w:tcPr>
            <w:tcW w:w="1135" w:type="dxa"/>
            <w:shd w:val="clear" w:color="auto" w:fill="C4EFCE"/>
            <w:vAlign w:val="center"/>
          </w:tcPr>
          <w:p w14:paraId="616AFCCE" w14:textId="0499EDB2" w:rsidR="00A15990" w:rsidRDefault="00686A62">
            <w:pPr>
              <w:pStyle w:val="P68B1DB1-Normal11"/>
              <w:keepNext/>
              <w:spacing w:before="40" w:after="0" w:line="240" w:lineRule="auto"/>
              <w:jc w:val="center"/>
              <w:rPr>
                <w:rFonts w:eastAsia="Times New Roman" w:cstheme="minorHAnsi"/>
                <w:noProof/>
              </w:rPr>
            </w:pPr>
            <w:r>
              <w:rPr>
                <w:noProof/>
              </w:rPr>
              <w:t>12.9</w:t>
            </w:r>
          </w:p>
        </w:tc>
        <w:tc>
          <w:tcPr>
            <w:tcW w:w="1276" w:type="dxa"/>
            <w:shd w:val="clear" w:color="auto" w:fill="C4EFCE"/>
            <w:noWrap/>
            <w:vAlign w:val="center"/>
          </w:tcPr>
          <w:p w14:paraId="6071425A" w14:textId="403D2E54" w:rsidR="00A15990" w:rsidRDefault="00686A62">
            <w:pPr>
              <w:pStyle w:val="P68B1DB1-Normal12"/>
              <w:keepNext/>
              <w:spacing w:before="40" w:after="0" w:line="240" w:lineRule="auto"/>
              <w:jc w:val="center"/>
              <w:rPr>
                <w:rFonts w:eastAsia="Times New Roman" w:cstheme="minorHAnsi"/>
                <w:noProof/>
              </w:rPr>
            </w:pPr>
            <w:r>
              <w:rPr>
                <w:noProof/>
              </w:rPr>
              <w:t>TC-C12-r39</w:t>
            </w:r>
          </w:p>
        </w:tc>
        <w:tc>
          <w:tcPr>
            <w:tcW w:w="1134" w:type="dxa"/>
            <w:shd w:val="clear" w:color="auto" w:fill="C4EFCE"/>
            <w:noWrap/>
            <w:vAlign w:val="center"/>
          </w:tcPr>
          <w:p w14:paraId="740B5687" w14:textId="64AAC94A" w:rsidR="00A15990" w:rsidRDefault="00686A62">
            <w:pPr>
              <w:pStyle w:val="P68B1DB1-Normal12"/>
              <w:keepNext/>
              <w:spacing w:before="40" w:after="0" w:line="240" w:lineRule="auto"/>
              <w:jc w:val="center"/>
              <w:rPr>
                <w:rFonts w:eastAsia="Times New Roman" w:cstheme="minorHAnsi"/>
                <w:noProof/>
              </w:rPr>
            </w:pPr>
            <w:r>
              <w:rPr>
                <w:noProof/>
              </w:rPr>
              <w:t>M</w:t>
            </w:r>
          </w:p>
        </w:tc>
        <w:tc>
          <w:tcPr>
            <w:tcW w:w="1701" w:type="dxa"/>
            <w:shd w:val="clear" w:color="auto" w:fill="C4EFCE"/>
            <w:noWrap/>
            <w:vAlign w:val="center"/>
          </w:tcPr>
          <w:p w14:paraId="72035F18" w14:textId="06F91A11" w:rsidR="00A15990" w:rsidRDefault="00686A62">
            <w:pPr>
              <w:pStyle w:val="P68B1DB1-Normal12"/>
              <w:keepNext/>
              <w:spacing w:before="40" w:after="0" w:line="240" w:lineRule="auto"/>
              <w:jc w:val="center"/>
              <w:rPr>
                <w:rFonts w:eastAsia="Times New Roman" w:cstheme="minorHAnsi"/>
                <w:noProof/>
              </w:rPr>
            </w:pPr>
            <w:r>
              <w:rPr>
                <w:noProof/>
              </w:rPr>
              <w:t>Sistemul de preluare a deșeurilor electrice și a echipamentelor electronice</w:t>
            </w:r>
          </w:p>
        </w:tc>
        <w:tc>
          <w:tcPr>
            <w:tcW w:w="1275" w:type="dxa"/>
            <w:shd w:val="clear" w:color="auto" w:fill="C4EFCE"/>
            <w:noWrap/>
            <w:vAlign w:val="center"/>
          </w:tcPr>
          <w:p w14:paraId="066404D9" w14:textId="7C6AF3C2" w:rsidR="00A15990" w:rsidRDefault="00686A62">
            <w:pPr>
              <w:pStyle w:val="P68B1DB1-Normal12"/>
              <w:keepNext/>
              <w:spacing w:before="40" w:after="0" w:line="240" w:lineRule="auto"/>
              <w:jc w:val="center"/>
              <w:rPr>
                <w:rFonts w:eastAsia="Times New Roman" w:cstheme="minorHAnsi"/>
                <w:noProof/>
              </w:rPr>
            </w:pPr>
            <w:r>
              <w:rPr>
                <w:noProof/>
              </w:rPr>
              <w:t>Dispoziție din legislație care indică data de intrare în vigoare a legislației</w:t>
            </w:r>
          </w:p>
        </w:tc>
        <w:tc>
          <w:tcPr>
            <w:tcW w:w="993" w:type="dxa"/>
            <w:shd w:val="clear" w:color="auto" w:fill="C4EFCE"/>
            <w:noWrap/>
            <w:vAlign w:val="center"/>
          </w:tcPr>
          <w:p w14:paraId="461AA650" w14:textId="77777777" w:rsidR="00A15990" w:rsidRDefault="00A15990">
            <w:pPr>
              <w:keepNext/>
              <w:spacing w:before="40" w:after="0" w:line="240" w:lineRule="auto"/>
              <w:jc w:val="center"/>
              <w:rPr>
                <w:rFonts w:eastAsia="Times New Roman" w:cstheme="minorHAnsi"/>
                <w:noProof/>
                <w:sz w:val="16"/>
              </w:rPr>
            </w:pPr>
          </w:p>
        </w:tc>
        <w:tc>
          <w:tcPr>
            <w:tcW w:w="992" w:type="dxa"/>
            <w:shd w:val="clear" w:color="auto" w:fill="C4EFCE"/>
            <w:noWrap/>
            <w:vAlign w:val="center"/>
          </w:tcPr>
          <w:p w14:paraId="076B2EB9" w14:textId="77777777" w:rsidR="00A15990" w:rsidRDefault="00A15990">
            <w:pPr>
              <w:keepNext/>
              <w:spacing w:before="40" w:after="0" w:line="240" w:lineRule="auto"/>
              <w:jc w:val="center"/>
              <w:rPr>
                <w:rFonts w:eastAsia="Times New Roman" w:cstheme="minorHAnsi"/>
                <w:noProof/>
                <w:sz w:val="16"/>
              </w:rPr>
            </w:pPr>
          </w:p>
        </w:tc>
        <w:tc>
          <w:tcPr>
            <w:tcW w:w="709" w:type="dxa"/>
            <w:shd w:val="clear" w:color="auto" w:fill="C4EFCE"/>
            <w:noWrap/>
            <w:vAlign w:val="center"/>
          </w:tcPr>
          <w:p w14:paraId="35EC12A6" w14:textId="77777777" w:rsidR="00A15990" w:rsidRDefault="00A15990">
            <w:pPr>
              <w:keepNext/>
              <w:spacing w:before="40" w:after="0" w:line="240" w:lineRule="auto"/>
              <w:jc w:val="center"/>
              <w:rPr>
                <w:rFonts w:eastAsia="Times New Roman" w:cstheme="minorHAnsi"/>
                <w:noProof/>
                <w:sz w:val="16"/>
              </w:rPr>
            </w:pPr>
          </w:p>
        </w:tc>
        <w:tc>
          <w:tcPr>
            <w:tcW w:w="567" w:type="dxa"/>
            <w:shd w:val="clear" w:color="auto" w:fill="C4EFCE"/>
            <w:noWrap/>
            <w:vAlign w:val="center"/>
          </w:tcPr>
          <w:p w14:paraId="3C9440EC" w14:textId="7A24AD19" w:rsidR="00A15990" w:rsidRDefault="00686A62">
            <w:pPr>
              <w:pStyle w:val="P68B1DB1-Normal12"/>
              <w:keepNext/>
              <w:spacing w:before="40"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1E8B76AD" w14:textId="6C11828E" w:rsidR="00A15990" w:rsidRDefault="00686A62">
            <w:pPr>
              <w:pStyle w:val="P68B1DB1-Normal12"/>
              <w:keepNext/>
              <w:spacing w:before="40" w:after="0" w:line="240" w:lineRule="auto"/>
              <w:jc w:val="center"/>
              <w:rPr>
                <w:rFonts w:eastAsia="Times New Roman" w:cstheme="minorHAnsi"/>
                <w:noProof/>
              </w:rPr>
            </w:pPr>
            <w:r>
              <w:rPr>
                <w:noProof/>
              </w:rPr>
              <w:t>2025</w:t>
            </w:r>
          </w:p>
        </w:tc>
        <w:tc>
          <w:tcPr>
            <w:tcW w:w="3969" w:type="dxa"/>
            <w:shd w:val="clear" w:color="auto" w:fill="C4EFCE"/>
            <w:vAlign w:val="center"/>
          </w:tcPr>
          <w:p w14:paraId="675495A0" w14:textId="1CFE3794" w:rsidR="00A15990" w:rsidRDefault="00686A62">
            <w:pPr>
              <w:pStyle w:val="P68B1DB1-Normal12"/>
              <w:keepNext/>
              <w:spacing w:before="40" w:after="0" w:line="240" w:lineRule="auto"/>
              <w:jc w:val="both"/>
              <w:rPr>
                <w:rFonts w:eastAsia="Times New Roman"/>
                <w:noProof/>
              </w:rPr>
            </w:pPr>
            <w:r>
              <w:rPr>
                <w:noProof/>
              </w:rPr>
              <w:t>În urma unui studiu de fezabilitate independent și în cazul în care studiul este pozitiv, va intra în vigoare o legislație care să stabilească cadrul juridic pentru introducerea unui sistem de preluare a deșeurilor electrice și electronice.</w:t>
            </w:r>
          </w:p>
        </w:tc>
      </w:tr>
    </w:tbl>
    <w:p w14:paraId="2DA74A53"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 </w:t>
      </w:r>
    </w:p>
    <w:p w14:paraId="05DB275A"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11FB5CD6"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252"/>
          <w:headerReference w:type="default" r:id="rId253"/>
          <w:footerReference w:type="even" r:id="rId254"/>
          <w:footerReference w:type="default" r:id="rId255"/>
          <w:headerReference w:type="first" r:id="rId256"/>
          <w:footerReference w:type="first" r:id="rId257"/>
          <w:pgSz w:w="16839" w:h="11907" w:orient="landscape"/>
          <w:pgMar w:top="1134" w:right="1134" w:bottom="1134" w:left="1134" w:header="567" w:footer="567" w:gutter="0"/>
          <w:cols w:space="720"/>
          <w:docGrid w:linePitch="360"/>
        </w:sectPr>
      </w:pPr>
    </w:p>
    <w:p w14:paraId="73252C7F" w14:textId="77777777" w:rsidR="00A15990" w:rsidRDefault="00686A62">
      <w:pPr>
        <w:pStyle w:val="P68B1DB1-Normal3"/>
        <w:keepNext/>
        <w:spacing w:before="40" w:after="0" w:line="259" w:lineRule="auto"/>
        <w:ind w:left="130" w:firstLine="720"/>
        <w:jc w:val="both"/>
        <w:outlineLvl w:val="1"/>
        <w:rPr>
          <w:rFonts w:eastAsiaTheme="minorEastAsia" w:cs="Times New Roman"/>
          <w:smallCaps/>
          <w:noProof/>
        </w:rPr>
      </w:pPr>
      <w:r>
        <w:rPr>
          <w:noProof/>
        </w:rPr>
        <w:t>M.</w:t>
      </w:r>
      <w:r>
        <w:rPr>
          <w:smallCaps/>
          <w:noProof/>
        </w:rPr>
        <w:t xml:space="preserve"> COMPONENTA 1</w:t>
      </w:r>
      <w:r>
        <w:rPr>
          <w:noProof/>
        </w:rPr>
        <w:t>3</w:t>
      </w:r>
      <w:r>
        <w:rPr>
          <w:smallCaps/>
          <w:noProof/>
        </w:rPr>
        <w:t xml:space="preserve">: </w:t>
      </w:r>
      <w:r>
        <w:rPr>
          <w:noProof/>
        </w:rPr>
        <w:t>Eficiența energetică a clădirilor</w:t>
      </w:r>
    </w:p>
    <w:p w14:paraId="7428EB29" w14:textId="77777777" w:rsidR="00A15990" w:rsidRDefault="00686A62">
      <w:pPr>
        <w:pStyle w:val="P68B1DB1-Normal4"/>
        <w:keepNext/>
        <w:spacing w:beforeLines="40" w:before="96" w:after="0" w:line="22" w:lineRule="atLeast"/>
        <w:jc w:val="both"/>
        <w:rPr>
          <w:rFonts w:eastAsia="Times New Roman" w:cs="Times New Roman"/>
          <w:noProof/>
        </w:rPr>
      </w:pPr>
      <w:r>
        <w:rPr>
          <w:noProof/>
        </w:rPr>
        <w:t xml:space="preserve">Componenta abordează următoarele provocări. Sectorul rezidențial reprezintă 18 % din consumul de energie, iar sectorul serviciilor reprezintă 14 %. Prin urmare, clădirile joacă un rol important pentru Portugalia în atingerea obiectivelor sale de neutralitate a emisiilor de dioxid de carbon. Măsurile în acest domeniu, în special în segmentul rezidențial, pot contribui, de asemenea, la atenuarea sărăciei energetice, care rămâne o preocupare importantă în Portugalia, procentul gospodăriilor care nu sunt în măsură să își încălzească locuințele în mod adecvat situându-se încă la 19 % în 2019. Portugalia s-a angajat să atingă neutralitatea emisiilor de dioxid de carbon până în 2050 și, prin urmare, trebuie să promoveze </w:t>
      </w:r>
      <w:r>
        <w:rPr>
          <w:noProof/>
          <w:shd w:val="clear" w:color="auto" w:fill="FFFFFF"/>
        </w:rPr>
        <w:t xml:space="preserve">decarbonizarea parcului său imobiliar, </w:t>
      </w:r>
      <w:r>
        <w:rPr>
          <w:noProof/>
        </w:rPr>
        <w:t>îmbunătățind în același timp condițiile de locuit (confortul și calitatea locuințelor) și accesibilitatea din punct de vedere financiar. Acest lucru se realizează prin creșterea performanței energetice a clădirilor, prin combinarea eficienței energetice și a energiei din surse regenerabile cu electrificarea și prin vizarea în special a gospodăriilor cu venituri mici pentru a combate sărăcia energetică.</w:t>
      </w:r>
    </w:p>
    <w:p w14:paraId="60D27ACE" w14:textId="77777777" w:rsidR="00A15990" w:rsidRDefault="00686A62">
      <w:pPr>
        <w:pStyle w:val="P68B1DB1-Normal4"/>
        <w:widowControl w:val="0"/>
        <w:spacing w:beforeLines="40" w:before="96" w:after="161" w:line="22" w:lineRule="atLeast"/>
        <w:jc w:val="both"/>
        <w:rPr>
          <w:rFonts w:eastAsia="Calibri" w:cs="Times New Roman"/>
          <w:noProof/>
        </w:rPr>
      </w:pPr>
      <w:r>
        <w:rPr>
          <w:noProof/>
        </w:rPr>
        <w:t>Sunt identificate o serie de „disfuncționalități ale pieței”, care corespund unei serii de probleme care tind să întârzie transformarea parcului imobiliar și exploatarea potențialelor economii de energie, cum ar fi:</w:t>
      </w:r>
    </w:p>
    <w:p w14:paraId="05BE14DE" w14:textId="77777777" w:rsidR="00A15990" w:rsidRDefault="00686A62">
      <w:pPr>
        <w:pStyle w:val="P68B1DB1-Normal4"/>
        <w:keepNext/>
        <w:widowControl w:val="0"/>
        <w:numPr>
          <w:ilvl w:val="0"/>
          <w:numId w:val="50"/>
        </w:numPr>
        <w:spacing w:beforeLines="40" w:before="96" w:after="161" w:line="22" w:lineRule="atLeast"/>
        <w:jc w:val="both"/>
        <w:rPr>
          <w:rFonts w:eastAsia="Calibri" w:cs="Times New Roman"/>
          <w:noProof/>
        </w:rPr>
      </w:pPr>
      <w:r>
        <w:rPr>
          <w:noProof/>
        </w:rPr>
        <w:t>lipsa de înțelegere a consumului de energie și a economiilor potențiale;</w:t>
      </w:r>
    </w:p>
    <w:p w14:paraId="68334EEE" w14:textId="77777777" w:rsidR="00A15990" w:rsidRDefault="00686A62">
      <w:pPr>
        <w:pStyle w:val="P68B1DB1-Normal4"/>
        <w:keepNext/>
        <w:widowControl w:val="0"/>
        <w:numPr>
          <w:ilvl w:val="0"/>
          <w:numId w:val="50"/>
        </w:numPr>
        <w:spacing w:beforeLines="40" w:before="96" w:after="161" w:line="22" w:lineRule="atLeast"/>
        <w:jc w:val="both"/>
        <w:rPr>
          <w:rFonts w:eastAsia="Calibri" w:cs="Times New Roman"/>
          <w:noProof/>
        </w:rPr>
      </w:pPr>
      <w:r>
        <w:rPr>
          <w:noProof/>
        </w:rPr>
        <w:t>activități limitate de renovare și construcție într-un context post-criză financiară;</w:t>
      </w:r>
    </w:p>
    <w:p w14:paraId="1367E8D7" w14:textId="77777777" w:rsidR="00A15990" w:rsidRDefault="00686A62">
      <w:pPr>
        <w:pStyle w:val="P68B1DB1-Normal4"/>
        <w:keepNext/>
        <w:widowControl w:val="0"/>
        <w:numPr>
          <w:ilvl w:val="0"/>
          <w:numId w:val="50"/>
        </w:numPr>
        <w:spacing w:beforeLines="40" w:before="96" w:after="161" w:line="22" w:lineRule="atLeast"/>
        <w:jc w:val="both"/>
        <w:rPr>
          <w:rFonts w:eastAsia="Calibri" w:cs="Times New Roman"/>
          <w:noProof/>
        </w:rPr>
      </w:pPr>
      <w:r>
        <w:rPr>
          <w:noProof/>
        </w:rPr>
        <w:t>lipsa unor produse de finanțare atractive;</w:t>
      </w:r>
    </w:p>
    <w:p w14:paraId="145C348F" w14:textId="77777777" w:rsidR="00A15990" w:rsidRDefault="00686A62">
      <w:pPr>
        <w:pStyle w:val="P68B1DB1-Normal4"/>
        <w:keepNext/>
        <w:widowControl w:val="0"/>
        <w:numPr>
          <w:ilvl w:val="0"/>
          <w:numId w:val="50"/>
        </w:numPr>
        <w:spacing w:beforeLines="40" w:before="96" w:after="161" w:line="22" w:lineRule="atLeast"/>
        <w:jc w:val="both"/>
        <w:rPr>
          <w:rFonts w:eastAsia="Calibri" w:cs="Times New Roman"/>
          <w:noProof/>
        </w:rPr>
      </w:pPr>
      <w:r>
        <w:rPr>
          <w:noProof/>
        </w:rPr>
        <w:t>informații limitate privind parcul imobiliar și</w:t>
      </w:r>
    </w:p>
    <w:p w14:paraId="30590B1F" w14:textId="77777777" w:rsidR="00A15990" w:rsidRDefault="00686A62">
      <w:pPr>
        <w:pStyle w:val="P68B1DB1-Normal4"/>
        <w:keepNext/>
        <w:widowControl w:val="0"/>
        <w:numPr>
          <w:ilvl w:val="0"/>
          <w:numId w:val="50"/>
        </w:numPr>
        <w:spacing w:beforeLines="40" w:before="96" w:after="161" w:line="22" w:lineRule="atLeast"/>
        <w:jc w:val="both"/>
        <w:rPr>
          <w:rFonts w:eastAsia="Calibri" w:cs="Times New Roman"/>
          <w:noProof/>
        </w:rPr>
      </w:pPr>
      <w:r>
        <w:rPr>
          <w:noProof/>
        </w:rPr>
        <w:t>utilizarea limitată a tehnologiilor eficiente și inteligente.</w:t>
      </w:r>
    </w:p>
    <w:p w14:paraId="630C6E70" w14:textId="77777777" w:rsidR="00A15990" w:rsidRDefault="00686A62">
      <w:pPr>
        <w:pStyle w:val="P68B1DB1-Normal4"/>
        <w:spacing w:beforeLines="40" w:before="96" w:after="0" w:line="22" w:lineRule="atLeast"/>
        <w:jc w:val="both"/>
        <w:rPr>
          <w:rFonts w:eastAsiaTheme="minorEastAsia" w:cs="Times New Roman"/>
          <w:noProof/>
        </w:rPr>
      </w:pPr>
      <w:r>
        <w:rPr>
          <w:noProof/>
        </w:rPr>
        <w:t xml:space="preserve">Obiectivele componentei sunt renovarea clădirilor publice și private pentru a le îmbunătăți performanța energetică și confortul, reducând în același timp factura și dependența energetică a țării, emisiile de gaze cu efect de seră și dependența energetică, pentru a atenua sărăcia energetică și pentru a integra sursele regenerabile de energie în mediul construit. Acest lucru ar trebui să ofere numeroase beneficii sociale, de mediu și economice pentru cetățeni și întreprinderi, cum ar fi crearea de locuri de muncă la nivel local și reducerea poluării aerului. </w:t>
      </w:r>
    </w:p>
    <w:p w14:paraId="6EF5B825" w14:textId="77777777" w:rsidR="00A15990" w:rsidRDefault="00686A62">
      <w:pPr>
        <w:pStyle w:val="P68B1DB1-Normal4"/>
        <w:spacing w:beforeLines="40" w:before="96" w:after="0" w:line="22" w:lineRule="atLeast"/>
        <w:jc w:val="both"/>
        <w:rPr>
          <w:rFonts w:eastAsiaTheme="minorEastAsia" w:cs="Times New Roman"/>
          <w:noProof/>
        </w:rPr>
      </w:pPr>
      <w:r>
        <w:rPr>
          <w:noProof/>
        </w:rPr>
        <w:t xml:space="preserve">Componenta sprijină abordarea recomandării specifice fiecărei țări privind investițiile în tranziția climatică, în special în ceea ce privește producția și utilizarea energiei în mod curat și eficient (recomandarea specifică fiecărei țări 3 2020). Aceasta este legată de inițiativa emblematică „Renovare” și face parte, de asemenea, din tranziția verde. </w:t>
      </w:r>
    </w:p>
    <w:p w14:paraId="63A64E23" w14:textId="77777777" w:rsidR="00A15990" w:rsidRDefault="00686A62">
      <w:pPr>
        <w:pStyle w:val="P68B1DB1-Normal4"/>
        <w:spacing w:beforeLines="40" w:before="96" w:after="0" w:line="22" w:lineRule="atLeast"/>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3504A60C" w14:textId="77777777" w:rsidR="00A15990" w:rsidRDefault="00A15990">
      <w:pPr>
        <w:spacing w:beforeLines="40" w:before="96" w:after="0" w:line="22" w:lineRule="atLeast"/>
        <w:jc w:val="both"/>
        <w:rPr>
          <w:rFonts w:ascii="Times New Roman" w:eastAsiaTheme="minorEastAsia" w:hAnsi="Times New Roman" w:cs="Times New Roman"/>
          <w:noProof/>
        </w:rPr>
      </w:pPr>
    </w:p>
    <w:p w14:paraId="7E1087BA"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M.1. Descrierea reformelor și a investițiilor pentru sprijinul financiar nerambursabil</w:t>
      </w:r>
    </w:p>
    <w:p w14:paraId="5B33E3CE" w14:textId="77777777" w:rsidR="00A15990" w:rsidRDefault="00686A62">
      <w:pPr>
        <w:pStyle w:val="P68B1DB1-Normal5"/>
        <w:spacing w:before="240" w:after="0" w:line="240" w:lineRule="auto"/>
        <w:ind w:left="851"/>
        <w:jc w:val="both"/>
        <w:outlineLvl w:val="2"/>
        <w:rPr>
          <w:rFonts w:eastAsiaTheme="minorEastAsia" w:cs="Times New Roman"/>
          <w:noProof/>
        </w:rPr>
      </w:pPr>
      <w:r>
        <w:rPr>
          <w:noProof/>
        </w:rPr>
        <w:t>Investiții TC-C13-I01: Eficiența energetică a clădirilor rezidențiale</w:t>
      </w:r>
    </w:p>
    <w:p w14:paraId="70B72BC7" w14:textId="77777777" w:rsidR="00A15990" w:rsidRDefault="00686A62">
      <w:pPr>
        <w:pStyle w:val="P68B1DB1-Normal4"/>
        <w:keepNext/>
        <w:spacing w:before="40" w:after="0" w:line="259" w:lineRule="auto"/>
        <w:jc w:val="both"/>
        <w:rPr>
          <w:rFonts w:eastAsiaTheme="minorEastAsia" w:cs="Times New Roman"/>
          <w:noProof/>
        </w:rPr>
      </w:pPr>
      <w:r>
        <w:rPr>
          <w:noProof/>
        </w:rPr>
        <w:t>Obiectivele acestei investiții sunt de a promova</w:t>
      </w:r>
      <w:r>
        <w:rPr>
          <w:noProof/>
          <w:shd w:val="clear" w:color="auto" w:fill="FFFFFF"/>
        </w:rPr>
        <w:t xml:space="preserve"> renovarea energetică a clădirilor rezidențiale aflate în proprietate privată, de a</w:t>
      </w:r>
      <w:r>
        <w:rPr>
          <w:noProof/>
        </w:rPr>
        <w:t xml:space="preserve"> adopta soluții eficiente din punct de vedere energetic, de a înlocui echipamentele ineficiente și de a crește capacitatea instalată pentru a promova eficiența energetică și utilizarea eficientă a resurselor, pentru a spori autoconsumul de energie din surse regenerabile și pentru a combate sărăcia energetică. </w:t>
      </w:r>
    </w:p>
    <w:p w14:paraId="3E17583F" w14:textId="77777777" w:rsidR="00A15990" w:rsidRDefault="00686A62">
      <w:pPr>
        <w:pStyle w:val="P68B1DB1-Normal4"/>
        <w:keepNext/>
        <w:spacing w:before="40" w:after="0" w:line="259" w:lineRule="auto"/>
        <w:jc w:val="both"/>
        <w:rPr>
          <w:rFonts w:eastAsiaTheme="minorEastAsia" w:cs="Times New Roman"/>
          <w:noProof/>
        </w:rPr>
      </w:pPr>
      <w:r>
        <w:rPr>
          <w:noProof/>
        </w:rPr>
        <w:t>Investiția constă în următoarele măsuri:</w:t>
      </w:r>
    </w:p>
    <w:p w14:paraId="20A1328B" w14:textId="77777777" w:rsidR="00A15990" w:rsidRDefault="00686A62">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Sprijinirea costului proiectelor (de obicei între 50 % și 70 % din costul total) care promovează renovarea, eficiența energetică, decarbonizarea, utilizarea eficientă a apei și economia circulară în clădiri. Acest lucru se realizează prin anunțuri lansate anual.</w:t>
      </w:r>
    </w:p>
    <w:p w14:paraId="631CC72D" w14:textId="77777777" w:rsidR="00A15990" w:rsidRDefault="00686A62">
      <w:pPr>
        <w:pStyle w:val="P68B1DB1-Normal4"/>
        <w:keepNext/>
        <w:widowControl w:val="0"/>
        <w:numPr>
          <w:ilvl w:val="0"/>
          <w:numId w:val="59"/>
        </w:numPr>
        <w:spacing w:before="40" w:after="136" w:line="240" w:lineRule="auto"/>
        <w:jc w:val="both"/>
        <w:rPr>
          <w:rFonts w:ascii="Calibri" w:eastAsia="Calibri" w:hAnsi="Calibri" w:cs="Calibri"/>
          <w:noProof/>
          <w:sz w:val="21"/>
        </w:rPr>
      </w:pPr>
      <w:r>
        <w:rPr>
          <w:noProof/>
        </w:rPr>
        <w:t xml:space="preserve">Pentru gospodăriile cu venituri mici aflate în situație de sărăcie energetică (în care pot fi subvenționate până la 100 % din costuri), astfel de acțiuni necesită o colaborare mai strânsă între autoritățile centrale și locale și alți actori, cum ar fi asociațiile locale. </w:t>
      </w:r>
      <w:r>
        <w:rPr>
          <w:i/>
          <w:noProof/>
        </w:rPr>
        <w:t>Vales eficiência</w:t>
      </w:r>
      <w:r>
        <w:rPr>
          <w:noProof/>
        </w:rPr>
        <w:t xml:space="preserve"> sau bonuri pentru eficiență energetică, în valoare medie de 1 300 EUR fiecare, se emit și se livrează gospodăriilor afectate de sărăcie energetică, ceea ce dă dreptul beneficiarului la anumite lucrări, la soluții eficiente din punct de vedere energetic, la echipamente și la electrificarea utilizărilor energetice.</w:t>
      </w:r>
    </w:p>
    <w:p w14:paraId="6211EA87" w14:textId="77777777" w:rsidR="00A15990" w:rsidRDefault="00686A62">
      <w:pPr>
        <w:pStyle w:val="P68B1DB1-Normal4"/>
        <w:keepNext/>
        <w:numPr>
          <w:ilvl w:val="0"/>
          <w:numId w:val="60"/>
        </w:numPr>
        <w:spacing w:before="40" w:after="160" w:line="259" w:lineRule="auto"/>
        <w:contextualSpacing/>
        <w:jc w:val="both"/>
        <w:rPr>
          <w:rFonts w:eastAsiaTheme="minorEastAsia" w:cs="Times New Roman"/>
          <w:noProof/>
        </w:rPr>
      </w:pPr>
      <w:r>
        <w:rPr>
          <w:noProof/>
        </w:rPr>
        <w:t xml:space="preserve">Materialele de sprijin sunt diseminate pentru a contribui la luarea deciziilor privind cele mai bune măsuri de eficiență energetică care trebuie luate. </w:t>
      </w:r>
    </w:p>
    <w:p w14:paraId="645F2D6F" w14:textId="77777777" w:rsidR="00A15990" w:rsidRDefault="00686A62">
      <w:pPr>
        <w:pStyle w:val="P68B1DB1-Normal4"/>
        <w:keepNext/>
        <w:numPr>
          <w:ilvl w:val="0"/>
          <w:numId w:val="60"/>
        </w:numPr>
        <w:spacing w:before="40" w:after="160" w:line="259" w:lineRule="auto"/>
        <w:contextualSpacing/>
        <w:jc w:val="both"/>
        <w:rPr>
          <w:rFonts w:eastAsiaTheme="minorEastAsia" w:cs="Times New Roman"/>
          <w:noProof/>
        </w:rPr>
      </w:pPr>
      <w:r>
        <w:rPr>
          <w:noProof/>
        </w:rPr>
        <w:t>De asemenea, vor fi puse la dispoziție canale de comunicare și ghișee unice pentru a contribui la clarificarea îndoielilor cu privire la modul de obținere a acestui sprijin, în coordonare cu diverse entități naționale și locale, astfel încât consumatorii să poată lua cele mai bune decizii de investiții.</w:t>
      </w:r>
    </w:p>
    <w:p w14:paraId="325EE6D9" w14:textId="77777777" w:rsidR="00A15990" w:rsidRDefault="00686A62">
      <w:pPr>
        <w:pStyle w:val="P68B1DB1-Normal4"/>
        <w:keepNext/>
        <w:spacing w:before="40" w:after="0" w:line="259" w:lineRule="auto"/>
        <w:jc w:val="both"/>
        <w:rPr>
          <w:rFonts w:eastAsiaTheme="minorEastAsia" w:cs="Times New Roman"/>
          <w:noProof/>
        </w:rPr>
      </w:pPr>
      <w:r>
        <w:rPr>
          <w:noProof/>
        </w:rPr>
        <w:t>Investiția planificată vizează realizarea unei economii medii de aproximativ 200 ktep de energie primară și a unei reduceri de aproximativ 150 kt de reducere a emisiilor de CO2.</w:t>
      </w:r>
    </w:p>
    <w:p w14:paraId="7DCADF68"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6AE98B0B" w14:textId="77777777" w:rsidR="00A15990" w:rsidRDefault="00686A62">
      <w:pPr>
        <w:pStyle w:val="P68B1DB1-Normal5"/>
        <w:spacing w:before="240" w:after="0" w:line="240" w:lineRule="auto"/>
        <w:ind w:left="851"/>
        <w:jc w:val="both"/>
        <w:outlineLvl w:val="2"/>
        <w:rPr>
          <w:rFonts w:eastAsiaTheme="minorEastAsia" w:cs="Times New Roman"/>
          <w:noProof/>
        </w:rPr>
      </w:pPr>
      <w:r>
        <w:rPr>
          <w:noProof/>
        </w:rPr>
        <w:t>Investiții TC-C13-I02: Eficiența energetică a clădirilor administrației centrale</w:t>
      </w:r>
    </w:p>
    <w:p w14:paraId="1C88255A" w14:textId="77777777" w:rsidR="00A15990" w:rsidRDefault="00686A62">
      <w:pPr>
        <w:pStyle w:val="P68B1DB1-Normal19"/>
        <w:keepNext/>
        <w:spacing w:before="40" w:after="0" w:line="259" w:lineRule="auto"/>
        <w:jc w:val="both"/>
        <w:rPr>
          <w:rFonts w:eastAsiaTheme="minorEastAsia" w:cs="Times New Roman"/>
          <w:noProof/>
          <w:sz w:val="16"/>
        </w:rPr>
      </w:pPr>
      <w:r>
        <w:rPr>
          <w:noProof/>
          <w:sz w:val="24"/>
        </w:rPr>
        <w:t>Obiectivul acestei investiții este de a promova</w:t>
      </w:r>
      <w:r>
        <w:rPr>
          <w:noProof/>
          <w:sz w:val="24"/>
          <w:shd w:val="clear" w:color="auto" w:fill="FFFFFF"/>
        </w:rPr>
        <w:t xml:space="preserve"> renovarea energetică a clădirilor administrației centrale, de a</w:t>
      </w:r>
      <w:r>
        <w:rPr>
          <w:noProof/>
          <w:sz w:val="24"/>
        </w:rPr>
        <w:t xml:space="preserve"> promova eficiența energetică și utilizarea eficientă a resurselor și de a spori autoconsumul de energie din surse regenerabile</w:t>
      </w:r>
      <w:r>
        <w:rPr>
          <w:noProof/>
          <w:sz w:val="16"/>
        </w:rPr>
        <w:t xml:space="preserve">. </w:t>
      </w:r>
    </w:p>
    <w:p w14:paraId="2E0DA704"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măsuri de promovare a renovării, a eficienței energetice, a decarbonizării, a utilizării eficiente a apei și a economiei circulare a clădirilor. </w:t>
      </w:r>
    </w:p>
    <w:p w14:paraId="5CCD1C91" w14:textId="77777777" w:rsidR="00A15990" w:rsidRDefault="00686A62">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Se lansează anual anunțuri pentru diferitele tipuri de intervenții în domeniul construcțiilor, care urmează să fie identificate în planurile de eficiență care urmează să fie elaborate, în cadrul Planului european de acțiune privind ecoinovarea ECO.AP 2030. ECO.AP 2030 este, de asemenea, disponibil pentru a oferi sprijin tehnic autorităților publice centrale în identificarea proiectelor și în promovarea punerii lor în aplicare. </w:t>
      </w:r>
    </w:p>
    <w:p w14:paraId="43CDD7E4" w14:textId="77777777" w:rsidR="00A15990" w:rsidRDefault="00686A62">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Materialele de sprijin sunt diseminate funcționarilor administrației publice pentru a-i ajuta să decidă cu privire la cele mai bune măsuri de eficiență energetică care trebuie luate. </w:t>
      </w:r>
    </w:p>
    <w:p w14:paraId="4AE03146" w14:textId="77777777" w:rsidR="00A15990" w:rsidRDefault="00686A62">
      <w:pPr>
        <w:pStyle w:val="P68B1DB1-Normal4"/>
        <w:keepNext/>
        <w:spacing w:before="40" w:after="0" w:line="259" w:lineRule="auto"/>
        <w:jc w:val="both"/>
        <w:rPr>
          <w:rFonts w:eastAsiaTheme="minorEastAsia" w:cs="Times New Roman"/>
          <w:noProof/>
        </w:rPr>
      </w:pPr>
      <w:r>
        <w:rPr>
          <w:noProof/>
        </w:rPr>
        <w:t>Investiția planificată vizează realizarea unei economii medii de aproximativ 185 ktep de energie primară și a unei reduceri de aproximativ 140 kt de reducere a emisiilor de CO</w:t>
      </w:r>
      <w:r>
        <w:rPr>
          <w:noProof/>
          <w:vertAlign w:val="subscript"/>
        </w:rPr>
        <w:t>2</w:t>
      </w:r>
      <w:r>
        <w:rPr>
          <w:noProof/>
        </w:rPr>
        <w:t>.</w:t>
      </w:r>
    </w:p>
    <w:p w14:paraId="15CF3667"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4966DD71" w14:textId="77777777" w:rsidR="00A15990" w:rsidRDefault="00686A62">
      <w:pPr>
        <w:pStyle w:val="P68B1DB1-Normal5"/>
        <w:spacing w:before="240" w:after="0" w:line="240" w:lineRule="auto"/>
        <w:ind w:left="851"/>
        <w:jc w:val="both"/>
        <w:outlineLvl w:val="2"/>
        <w:rPr>
          <w:rFonts w:eastAsiaTheme="minorEastAsia" w:cs="Times New Roman"/>
          <w:noProof/>
        </w:rPr>
      </w:pPr>
      <w:r>
        <w:rPr>
          <w:noProof/>
        </w:rPr>
        <w:t>Investiții TC-C13-I03: Eficiența energetică a clădirilor utilizate de sectorul serviciilor</w:t>
      </w:r>
    </w:p>
    <w:p w14:paraId="0A4A1198" w14:textId="77777777" w:rsidR="00A15990" w:rsidRDefault="00686A62">
      <w:pPr>
        <w:pStyle w:val="P68B1DB1-Normal4"/>
        <w:spacing w:before="40" w:after="0" w:line="240" w:lineRule="auto"/>
        <w:jc w:val="both"/>
        <w:rPr>
          <w:rFonts w:eastAsiaTheme="minorEastAsia" w:cs="Times New Roman"/>
          <w:noProof/>
        </w:rPr>
      </w:pPr>
      <w:r>
        <w:rPr>
          <w:noProof/>
        </w:rPr>
        <w:t xml:space="preserve">Obiectivul acestei investiții este de a promova </w:t>
      </w:r>
      <w:r>
        <w:rPr>
          <w:noProof/>
          <w:shd w:val="clear" w:color="auto" w:fill="FFFFFF"/>
        </w:rPr>
        <w:t>renovarea energetică a clădirilor utilizate de sectorul serviciilor, de a</w:t>
      </w:r>
      <w:r>
        <w:rPr>
          <w:noProof/>
        </w:rPr>
        <w:t xml:space="preserve"> promova eficiența energetică și utilizarea eficientă a resurselor, de a spori producția de energie din surse regenerabile pentru autoconsum. </w:t>
      </w:r>
    </w:p>
    <w:p w14:paraId="5691AA04" w14:textId="77777777" w:rsidR="00A15990" w:rsidRDefault="00686A62">
      <w:pPr>
        <w:pStyle w:val="P68B1DB1-Normal4"/>
        <w:spacing w:before="40" w:after="0" w:line="240" w:lineRule="auto"/>
        <w:jc w:val="both"/>
        <w:rPr>
          <w:rFonts w:eastAsiaTheme="minorEastAsia" w:cs="Times New Roman"/>
          <w:noProof/>
        </w:rPr>
      </w:pPr>
      <w:r>
        <w:rPr>
          <w:noProof/>
        </w:rPr>
        <w:t>Această investiție constă în următoarele măsuri:</w:t>
      </w:r>
    </w:p>
    <w:p w14:paraId="2D344554" w14:textId="77777777" w:rsidR="00A15990" w:rsidRDefault="00686A62">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Notificările se lansează anual pentru a solicita sprijin (de obicei între 50 % și 70 % din costul total) pentru a partaja aceste costuri în diferitele tipuri de intervenții ale clădirilor în vederea îmbunătățirii performanței lor energetice și de mediu. </w:t>
      </w:r>
    </w:p>
    <w:p w14:paraId="4954743E" w14:textId="77777777" w:rsidR="00A15990" w:rsidRDefault="00686A62">
      <w:pPr>
        <w:pStyle w:val="P68B1DB1-Normal4"/>
        <w:keepNext/>
        <w:numPr>
          <w:ilvl w:val="0"/>
          <w:numId w:val="30"/>
        </w:numPr>
        <w:spacing w:before="40" w:after="160" w:line="240" w:lineRule="auto"/>
        <w:contextualSpacing/>
        <w:jc w:val="both"/>
        <w:rPr>
          <w:rFonts w:eastAsiaTheme="minorEastAsia" w:cs="Times New Roman"/>
          <w:noProof/>
        </w:rPr>
      </w:pPr>
      <w:r>
        <w:rPr>
          <w:noProof/>
        </w:rPr>
        <w:t xml:space="preserve">Materialele de sprijin sunt diseminate pentru a contribui la luarea deciziilor privind cele mai bune măsuri de eficiență energetică care trebuie luate. </w:t>
      </w:r>
    </w:p>
    <w:p w14:paraId="47FC485D" w14:textId="77777777" w:rsidR="00A15990" w:rsidRDefault="00686A62">
      <w:pPr>
        <w:pStyle w:val="P68B1DB1-Normal4"/>
        <w:keepNext/>
        <w:numPr>
          <w:ilvl w:val="0"/>
          <w:numId w:val="30"/>
        </w:numPr>
        <w:spacing w:before="40" w:after="160" w:line="240" w:lineRule="auto"/>
        <w:contextualSpacing/>
        <w:jc w:val="both"/>
        <w:rPr>
          <w:rFonts w:eastAsiaTheme="minorEastAsia" w:cs="Times New Roman"/>
          <w:noProof/>
        </w:rPr>
      </w:pPr>
      <w:r>
        <w:rPr>
          <w:noProof/>
        </w:rPr>
        <w:t>De asemenea, vor fi puse la dispoziție canale de comunicare care să contribuie la clarificarea îndoielilor cu privire la modul de obținere a acestui sprijin, în coordonare cu diverse entități naționale și locale, astfel încât consumatorii să poată lua cele mai bune decizii de investiții.</w:t>
      </w:r>
    </w:p>
    <w:p w14:paraId="3470E975" w14:textId="77777777" w:rsidR="00A15990" w:rsidRDefault="00686A62">
      <w:pPr>
        <w:pStyle w:val="P68B1DB1-Normal4"/>
        <w:spacing w:before="40" w:after="0" w:line="240" w:lineRule="auto"/>
        <w:jc w:val="both"/>
        <w:rPr>
          <w:rFonts w:eastAsiaTheme="minorEastAsia" w:cs="Times New Roman"/>
          <w:noProof/>
        </w:rPr>
      </w:pPr>
      <w:r>
        <w:rPr>
          <w:noProof/>
        </w:rPr>
        <w:t>Investiția planificată vizează realizarea unei economii medii de aproximativ 50 ktep de energie primară și a unei reduceri de aproximativ 30 kt de reducere a emisiilor de CO</w:t>
      </w:r>
      <w:r>
        <w:rPr>
          <w:noProof/>
          <w:vertAlign w:val="subscript"/>
        </w:rPr>
        <w:t>2</w:t>
      </w:r>
      <w:r>
        <w:rPr>
          <w:noProof/>
        </w:rPr>
        <w:t>.</w:t>
      </w:r>
    </w:p>
    <w:p w14:paraId="55C9613B" w14:textId="77777777" w:rsidR="00A15990" w:rsidRDefault="00686A62">
      <w:pPr>
        <w:pStyle w:val="P68B1DB1-Normal4"/>
        <w:spacing w:before="40" w:after="0" w:line="240" w:lineRule="auto"/>
        <w:jc w:val="both"/>
        <w:rPr>
          <w:rFonts w:eastAsiaTheme="minorEastAsia" w:cs="Times New Roman"/>
          <w:noProof/>
        </w:rPr>
        <w:sectPr w:rsidR="00A15990" w:rsidSect="00E00EDD">
          <w:headerReference w:type="even" r:id="rId258"/>
          <w:headerReference w:type="default" r:id="rId259"/>
          <w:footerReference w:type="even" r:id="rId260"/>
          <w:footerReference w:type="default" r:id="rId261"/>
          <w:headerReference w:type="first" r:id="rId262"/>
          <w:footerReference w:type="first" r:id="rId263"/>
          <w:pgSz w:w="11907" w:h="16839"/>
          <w:pgMar w:top="1134" w:right="1134" w:bottom="1134" w:left="1134" w:header="567" w:footer="567" w:gutter="0"/>
          <w:cols w:space="720"/>
          <w:docGrid w:linePitch="360"/>
        </w:sectPr>
      </w:pPr>
      <w:r>
        <w:rPr>
          <w:noProof/>
        </w:rPr>
        <w:t>Punerea în aplicare a investiției se va finaliza până la 31 decembrie 2025.</w:t>
      </w:r>
    </w:p>
    <w:p w14:paraId="29A3F2EB"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M.2. Obiective de etapă, ținte, indicatori și calendar pentru monitorizarea și punerea în aplicare a sprijinului financiar nerambursabil</w:t>
      </w:r>
    </w:p>
    <w:p w14:paraId="11AAFD16"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850"/>
        <w:gridCol w:w="992"/>
        <w:gridCol w:w="426"/>
        <w:gridCol w:w="708"/>
        <w:gridCol w:w="3969"/>
      </w:tblGrid>
      <w:tr w:rsidR="00A15990" w14:paraId="0E0C05EE" w14:textId="77777777">
        <w:trPr>
          <w:trHeight w:val="910"/>
          <w:tblHeader/>
        </w:trPr>
        <w:tc>
          <w:tcPr>
            <w:tcW w:w="1135" w:type="dxa"/>
            <w:vMerge w:val="restart"/>
            <w:shd w:val="clear" w:color="auto" w:fill="BDD6EE"/>
            <w:vAlign w:val="center"/>
            <w:hideMark/>
          </w:tcPr>
          <w:p w14:paraId="67BBF50E"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30B4FF8A"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2ABC28BA" w14:textId="261C90FD" w:rsidR="00A15990" w:rsidRDefault="004976DE">
            <w:pPr>
              <w:pStyle w:val="P68B1DB1-Normal6"/>
              <w:spacing w:after="0" w:line="240" w:lineRule="auto"/>
              <w:jc w:val="center"/>
              <w:rPr>
                <w:rFonts w:eastAsia="Times New Roman" w:cs="Times New Roman"/>
                <w:noProof/>
                <w:sz w:val="14"/>
              </w:rPr>
            </w:pPr>
            <w:r>
              <w:rPr>
                <w:noProof/>
              </w:rPr>
              <w:t>Jalon</w:t>
            </w:r>
            <w:r w:rsidR="00686A62">
              <w:rPr>
                <w:noProof/>
              </w:rPr>
              <w:t>/</w:t>
            </w:r>
            <w:r>
              <w:rPr>
                <w:noProof/>
              </w:rPr>
              <w:t>Țintă</w:t>
            </w:r>
          </w:p>
        </w:tc>
        <w:tc>
          <w:tcPr>
            <w:tcW w:w="1701" w:type="dxa"/>
            <w:vMerge w:val="restart"/>
            <w:shd w:val="clear" w:color="auto" w:fill="BDD6EE"/>
            <w:vAlign w:val="center"/>
            <w:hideMark/>
          </w:tcPr>
          <w:p w14:paraId="0F732803"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4FD2B6A8"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835" w:type="dxa"/>
            <w:gridSpan w:val="3"/>
            <w:shd w:val="clear" w:color="auto" w:fill="BDD6EE"/>
            <w:vAlign w:val="center"/>
            <w:hideMark/>
          </w:tcPr>
          <w:p w14:paraId="61B63461"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134" w:type="dxa"/>
            <w:gridSpan w:val="2"/>
            <w:shd w:val="clear" w:color="auto" w:fill="BDD6EE"/>
            <w:vAlign w:val="center"/>
            <w:hideMark/>
          </w:tcPr>
          <w:p w14:paraId="260455EA"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0F60C256"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3FAB00E2" w14:textId="77777777">
        <w:trPr>
          <w:trHeight w:val="470"/>
          <w:tblHeader/>
        </w:trPr>
        <w:tc>
          <w:tcPr>
            <w:tcW w:w="1135" w:type="dxa"/>
            <w:vMerge/>
            <w:vAlign w:val="center"/>
            <w:hideMark/>
          </w:tcPr>
          <w:p w14:paraId="7E4C4723"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4F51F516"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16343213" w14:textId="293593C9" w:rsidR="00A15990" w:rsidRDefault="00A15990">
            <w:pPr>
              <w:spacing w:after="0" w:line="240" w:lineRule="auto"/>
              <w:jc w:val="center"/>
              <w:rPr>
                <w:rFonts w:ascii="Times New Roman" w:eastAsia="Times New Roman" w:hAnsi="Times New Roman" w:cs="Times New Roman"/>
                <w:b/>
                <w:noProof/>
                <w:sz w:val="14"/>
              </w:rPr>
            </w:pPr>
          </w:p>
        </w:tc>
        <w:tc>
          <w:tcPr>
            <w:tcW w:w="1701" w:type="dxa"/>
            <w:vMerge/>
            <w:vAlign w:val="center"/>
            <w:hideMark/>
          </w:tcPr>
          <w:p w14:paraId="6B71B7A6"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049F56B7"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FCE643F"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850" w:type="dxa"/>
            <w:shd w:val="clear" w:color="auto" w:fill="BDD6EE"/>
            <w:vAlign w:val="center"/>
            <w:hideMark/>
          </w:tcPr>
          <w:p w14:paraId="5BE8C6D0" w14:textId="77777777" w:rsidR="00A15990" w:rsidRDefault="00686A62">
            <w:pPr>
              <w:pStyle w:val="P68B1DB1-Normal6"/>
              <w:spacing w:after="0" w:line="240" w:lineRule="auto"/>
              <w:jc w:val="center"/>
              <w:rPr>
                <w:rFonts w:eastAsia="Times New Roman" w:cs="Times New Roman"/>
                <w:noProof/>
              </w:rPr>
            </w:pPr>
            <w:r>
              <w:rPr>
                <w:noProof/>
              </w:rPr>
              <w:t>Linie de bază</w:t>
            </w:r>
          </w:p>
        </w:tc>
        <w:tc>
          <w:tcPr>
            <w:tcW w:w="992" w:type="dxa"/>
            <w:shd w:val="clear" w:color="auto" w:fill="BDD6EE"/>
            <w:vAlign w:val="center"/>
            <w:hideMark/>
          </w:tcPr>
          <w:p w14:paraId="0C1FF235"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426" w:type="dxa"/>
            <w:shd w:val="clear" w:color="auto" w:fill="BDD6EE"/>
            <w:vAlign w:val="center"/>
            <w:hideMark/>
          </w:tcPr>
          <w:p w14:paraId="409B8A29"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2A10157F"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4615715E" w14:textId="77777777" w:rsidR="00A15990" w:rsidRDefault="00A15990">
            <w:pPr>
              <w:spacing w:after="0" w:line="240" w:lineRule="auto"/>
              <w:rPr>
                <w:rFonts w:ascii="Times New Roman" w:eastAsia="Times New Roman" w:hAnsi="Times New Roman" w:cs="Times New Roman"/>
                <w:b/>
                <w:noProof/>
                <w:sz w:val="18"/>
              </w:rPr>
            </w:pPr>
          </w:p>
        </w:tc>
      </w:tr>
      <w:tr w:rsidR="00A15990" w14:paraId="606EC8F0" w14:textId="77777777">
        <w:trPr>
          <w:trHeight w:val="420"/>
        </w:trPr>
        <w:tc>
          <w:tcPr>
            <w:tcW w:w="1135" w:type="dxa"/>
            <w:shd w:val="clear" w:color="auto" w:fill="C4EFCE"/>
            <w:vAlign w:val="center"/>
            <w:hideMark/>
          </w:tcPr>
          <w:p w14:paraId="1E4DC0DC" w14:textId="77777777" w:rsidR="00A15990" w:rsidRDefault="00686A62">
            <w:pPr>
              <w:pStyle w:val="P68B1DB1-Normal7"/>
              <w:spacing w:after="0" w:line="240" w:lineRule="auto"/>
              <w:jc w:val="center"/>
              <w:rPr>
                <w:rFonts w:eastAsia="Times New Roman" w:cs="Calibri"/>
                <w:noProof/>
              </w:rPr>
            </w:pPr>
            <w:r>
              <w:rPr>
                <w:noProof/>
              </w:rPr>
              <w:t>13.1</w:t>
            </w:r>
          </w:p>
        </w:tc>
        <w:tc>
          <w:tcPr>
            <w:tcW w:w="1276" w:type="dxa"/>
            <w:shd w:val="clear" w:color="auto" w:fill="C4EFCE"/>
            <w:noWrap/>
            <w:vAlign w:val="center"/>
            <w:hideMark/>
          </w:tcPr>
          <w:p w14:paraId="27EC7AD6" w14:textId="77777777" w:rsidR="00A15990" w:rsidRDefault="00686A62">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36311F16"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5826370" w14:textId="77777777" w:rsidR="00A15990" w:rsidRDefault="00686A62">
            <w:pPr>
              <w:pStyle w:val="P68B1DB1-Normal8"/>
              <w:spacing w:after="0" w:line="240" w:lineRule="auto"/>
              <w:rPr>
                <w:rFonts w:eastAsia="Times New Roman" w:cs="Calibri"/>
                <w:noProof/>
              </w:rPr>
            </w:pPr>
            <w:r>
              <w:rPr>
                <w:noProof/>
              </w:rPr>
              <w:t>Renovarea clădirilor rezidențiale private din punctul de vedere al eficienței energetice</w:t>
            </w:r>
          </w:p>
        </w:tc>
        <w:tc>
          <w:tcPr>
            <w:tcW w:w="1275" w:type="dxa"/>
            <w:shd w:val="clear" w:color="auto" w:fill="C4EFCE"/>
            <w:noWrap/>
            <w:vAlign w:val="center"/>
            <w:hideMark/>
          </w:tcPr>
          <w:p w14:paraId="462D8E5D"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CBB54FC" w14:textId="77777777" w:rsidR="00A15990" w:rsidRDefault="00686A62">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9B8212A"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47DD0506" w14:textId="77777777" w:rsidR="00A15990" w:rsidRDefault="00686A62">
            <w:pPr>
              <w:pStyle w:val="P68B1DB1-Normal8"/>
              <w:spacing w:after="0" w:line="240" w:lineRule="auto"/>
              <w:jc w:val="both"/>
              <w:rPr>
                <w:rFonts w:eastAsia="Times New Roman" w:cs="Calibri"/>
                <w:noProof/>
              </w:rPr>
            </w:pPr>
            <w:r>
              <w:rPr>
                <w:noProof/>
              </w:rPr>
              <w:t>830 000</w:t>
            </w:r>
          </w:p>
        </w:tc>
        <w:tc>
          <w:tcPr>
            <w:tcW w:w="426" w:type="dxa"/>
            <w:shd w:val="clear" w:color="auto" w:fill="C4EFCE"/>
            <w:noWrap/>
            <w:vAlign w:val="center"/>
            <w:hideMark/>
          </w:tcPr>
          <w:p w14:paraId="05169CF0" w14:textId="77777777" w:rsidR="00A15990" w:rsidRDefault="00686A62">
            <w:pPr>
              <w:pStyle w:val="P68B1DB1-Normal8"/>
              <w:spacing w:after="0" w:line="240" w:lineRule="auto"/>
              <w:jc w:val="both"/>
              <w:rPr>
                <w:rFonts w:eastAsia="Times New Roman" w:cs="Calibri"/>
                <w:noProof/>
              </w:rPr>
            </w:pPr>
            <w:r>
              <w:rPr>
                <w:noProof/>
              </w:rPr>
              <w:t>TRIMESTRUL 2</w:t>
            </w:r>
          </w:p>
        </w:tc>
        <w:tc>
          <w:tcPr>
            <w:tcW w:w="708" w:type="dxa"/>
            <w:shd w:val="clear" w:color="auto" w:fill="C4EFCE"/>
            <w:noWrap/>
            <w:vAlign w:val="center"/>
            <w:hideMark/>
          </w:tcPr>
          <w:p w14:paraId="4F8F49ED" w14:textId="77777777" w:rsidR="00A15990" w:rsidRDefault="00686A62">
            <w:pPr>
              <w:pStyle w:val="P68B1DB1-Normal8"/>
              <w:spacing w:after="0" w:line="240" w:lineRule="auto"/>
              <w:jc w:val="both"/>
              <w:rPr>
                <w:rFonts w:eastAsia="Times New Roman" w:cs="Calibri"/>
                <w:noProof/>
              </w:rPr>
            </w:pPr>
            <w:r>
              <w:rPr>
                <w:noProof/>
              </w:rPr>
              <w:t>2024</w:t>
            </w:r>
          </w:p>
        </w:tc>
        <w:tc>
          <w:tcPr>
            <w:tcW w:w="3969" w:type="dxa"/>
            <w:shd w:val="clear" w:color="auto" w:fill="C4EFCE"/>
            <w:vAlign w:val="center"/>
            <w:hideMark/>
          </w:tcPr>
          <w:p w14:paraId="4713DF6A" w14:textId="77777777" w:rsidR="00A15990" w:rsidRDefault="00686A62">
            <w:pPr>
              <w:pStyle w:val="P68B1DB1-Normal8"/>
              <w:spacing w:after="0" w:line="240" w:lineRule="auto"/>
              <w:jc w:val="both"/>
              <w:rPr>
                <w:rFonts w:eastAsia="Times New Roman" w:cs="Calibri"/>
                <w:noProof/>
              </w:rPr>
            </w:pPr>
            <w:r>
              <w:rPr>
                <w:noProof/>
              </w:rPr>
              <w:t>Suprafața clădirilor rezidențiale private renovate. Renovările vizând eficiența energetică realizează, în medie, cel puțin o renovare de amploare medie, astfel cum este definită în Recomandarea Comisiei privind renovarea clădirilor (UE) 2019/786.</w:t>
            </w:r>
          </w:p>
        </w:tc>
      </w:tr>
      <w:tr w:rsidR="00A15990" w14:paraId="1017303B" w14:textId="77777777">
        <w:trPr>
          <w:trHeight w:val="420"/>
        </w:trPr>
        <w:tc>
          <w:tcPr>
            <w:tcW w:w="1135" w:type="dxa"/>
            <w:shd w:val="clear" w:color="auto" w:fill="C4EFCE"/>
            <w:vAlign w:val="center"/>
            <w:hideMark/>
          </w:tcPr>
          <w:p w14:paraId="10D598D6" w14:textId="77777777" w:rsidR="00A15990" w:rsidRDefault="00686A62">
            <w:pPr>
              <w:pStyle w:val="P68B1DB1-Normal7"/>
              <w:spacing w:after="0" w:line="240" w:lineRule="auto"/>
              <w:jc w:val="center"/>
              <w:rPr>
                <w:rFonts w:eastAsia="Times New Roman" w:cs="Calibri"/>
                <w:noProof/>
              </w:rPr>
            </w:pPr>
            <w:r>
              <w:rPr>
                <w:noProof/>
              </w:rPr>
              <w:t>13.2</w:t>
            </w:r>
          </w:p>
        </w:tc>
        <w:tc>
          <w:tcPr>
            <w:tcW w:w="1276" w:type="dxa"/>
            <w:shd w:val="clear" w:color="auto" w:fill="C4EFCE"/>
            <w:noWrap/>
            <w:vAlign w:val="center"/>
            <w:hideMark/>
          </w:tcPr>
          <w:p w14:paraId="6D5511F8" w14:textId="77777777" w:rsidR="00A15990" w:rsidRDefault="00686A62">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739F5B31"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37A49A2" w14:textId="77777777" w:rsidR="00A15990" w:rsidRDefault="00686A62">
            <w:pPr>
              <w:pStyle w:val="P68B1DB1-Normal8"/>
              <w:spacing w:after="0" w:line="240" w:lineRule="auto"/>
              <w:rPr>
                <w:rFonts w:eastAsia="Times New Roman" w:cs="Calibri"/>
                <w:noProof/>
              </w:rPr>
            </w:pPr>
            <w:r>
              <w:rPr>
                <w:noProof/>
              </w:rPr>
              <w:t xml:space="preserve">Renovarea clădirilor rezidențiale private din punctul de vedere al eficienței energetice </w:t>
            </w:r>
          </w:p>
        </w:tc>
        <w:tc>
          <w:tcPr>
            <w:tcW w:w="1275" w:type="dxa"/>
            <w:shd w:val="clear" w:color="auto" w:fill="C4EFCE"/>
            <w:noWrap/>
            <w:vAlign w:val="center"/>
            <w:hideMark/>
          </w:tcPr>
          <w:p w14:paraId="456795CE"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1EAE464" w14:textId="77777777" w:rsidR="00A15990" w:rsidRDefault="00686A62">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B48A107" w14:textId="77777777" w:rsidR="00A15990" w:rsidRDefault="00686A62">
            <w:pPr>
              <w:pStyle w:val="P68B1DB1-Normal8"/>
              <w:spacing w:after="0" w:line="240" w:lineRule="auto"/>
              <w:jc w:val="center"/>
              <w:rPr>
                <w:rFonts w:eastAsia="Times New Roman" w:cs="Calibri"/>
                <w:noProof/>
              </w:rPr>
            </w:pPr>
            <w:r>
              <w:rPr>
                <w:noProof/>
              </w:rPr>
              <w:t>830 000</w:t>
            </w:r>
          </w:p>
        </w:tc>
        <w:tc>
          <w:tcPr>
            <w:tcW w:w="992" w:type="dxa"/>
            <w:shd w:val="clear" w:color="auto" w:fill="C4EFCE"/>
            <w:noWrap/>
            <w:vAlign w:val="center"/>
            <w:hideMark/>
          </w:tcPr>
          <w:p w14:paraId="4C565512" w14:textId="77777777" w:rsidR="00A15990" w:rsidRDefault="00686A62">
            <w:pPr>
              <w:pStyle w:val="P68B1DB1-Normal8"/>
              <w:spacing w:after="0" w:line="240" w:lineRule="auto"/>
              <w:jc w:val="both"/>
              <w:rPr>
                <w:rFonts w:eastAsia="Times New Roman" w:cs="Calibri"/>
                <w:noProof/>
              </w:rPr>
            </w:pPr>
            <w:r>
              <w:rPr>
                <w:noProof/>
              </w:rPr>
              <w:t>1 020 000</w:t>
            </w:r>
          </w:p>
        </w:tc>
        <w:tc>
          <w:tcPr>
            <w:tcW w:w="426" w:type="dxa"/>
            <w:shd w:val="clear" w:color="auto" w:fill="C4EFCE"/>
            <w:noWrap/>
            <w:vAlign w:val="center"/>
            <w:hideMark/>
          </w:tcPr>
          <w:p w14:paraId="270A70FA" w14:textId="77777777" w:rsidR="00A15990" w:rsidRDefault="00686A62">
            <w:pPr>
              <w:pStyle w:val="P68B1DB1-Normal8"/>
              <w:spacing w:after="0" w:line="240" w:lineRule="auto"/>
              <w:jc w:val="both"/>
              <w:rPr>
                <w:rFonts w:eastAsia="Times New Roman" w:cs="Calibri"/>
                <w:noProof/>
              </w:rPr>
            </w:pPr>
            <w:r>
              <w:rPr>
                <w:noProof/>
              </w:rPr>
              <w:t>TRIMESTRUL 2</w:t>
            </w:r>
          </w:p>
        </w:tc>
        <w:tc>
          <w:tcPr>
            <w:tcW w:w="708" w:type="dxa"/>
            <w:shd w:val="clear" w:color="auto" w:fill="C4EFCE"/>
            <w:noWrap/>
            <w:vAlign w:val="center"/>
            <w:hideMark/>
          </w:tcPr>
          <w:p w14:paraId="569CEDB4"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D57E5C9" w14:textId="77777777" w:rsidR="00A15990" w:rsidRDefault="00686A62">
            <w:pPr>
              <w:pStyle w:val="P68B1DB1-Normal8"/>
              <w:spacing w:after="0" w:line="240" w:lineRule="auto"/>
              <w:jc w:val="both"/>
              <w:rPr>
                <w:rFonts w:eastAsia="Times New Roman" w:cs="Calibri"/>
                <w:noProof/>
              </w:rPr>
            </w:pPr>
            <w:r>
              <w:rPr>
                <w:noProof/>
              </w:rPr>
              <w:t>Suprafața clădirilor rezidențiale private renovate. Renovările vizând eficiența energetică realizează, în medie, cel puțin o renovare de amploare medie, astfel cum este definită în Recomandarea Comisiei privind renovarea clădirilor (UE) 2019/786.</w:t>
            </w:r>
          </w:p>
        </w:tc>
      </w:tr>
      <w:tr w:rsidR="00A15990" w14:paraId="2393B3AE" w14:textId="77777777">
        <w:trPr>
          <w:trHeight w:val="1060"/>
        </w:trPr>
        <w:tc>
          <w:tcPr>
            <w:tcW w:w="1135" w:type="dxa"/>
            <w:shd w:val="clear" w:color="auto" w:fill="C4EFCE"/>
            <w:vAlign w:val="center"/>
            <w:hideMark/>
          </w:tcPr>
          <w:p w14:paraId="67D8B225" w14:textId="77777777" w:rsidR="00A15990" w:rsidRDefault="00686A62">
            <w:pPr>
              <w:pStyle w:val="P68B1DB1-Normal7"/>
              <w:spacing w:after="0" w:line="240" w:lineRule="auto"/>
              <w:jc w:val="center"/>
              <w:rPr>
                <w:rFonts w:eastAsia="Times New Roman" w:cs="Calibri"/>
                <w:noProof/>
              </w:rPr>
            </w:pPr>
            <w:r>
              <w:rPr>
                <w:noProof/>
              </w:rPr>
              <w:t>13.3</w:t>
            </w:r>
          </w:p>
        </w:tc>
        <w:tc>
          <w:tcPr>
            <w:tcW w:w="1276" w:type="dxa"/>
            <w:shd w:val="clear" w:color="auto" w:fill="C4EFCE"/>
            <w:noWrap/>
            <w:vAlign w:val="center"/>
            <w:hideMark/>
          </w:tcPr>
          <w:p w14:paraId="7F372A8D" w14:textId="77777777" w:rsidR="00A15990" w:rsidRDefault="00686A62">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02685FC2"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92E44C1" w14:textId="77777777" w:rsidR="00A15990" w:rsidRDefault="00686A62">
            <w:pPr>
              <w:pStyle w:val="P68B1DB1-Normal8"/>
              <w:spacing w:after="0" w:line="240" w:lineRule="auto"/>
              <w:rPr>
                <w:rFonts w:eastAsia="Times New Roman" w:cs="Calibri"/>
                <w:noProof/>
              </w:rPr>
            </w:pPr>
            <w:r>
              <w:rPr>
                <w:noProof/>
              </w:rPr>
              <w:t>„Vouchere pentru eficiență” distribuite gospodăriilor afectate de sărăcia energetică pentru a înlocui echipamentele vechi și a adopta soluții eficiente din punct de vedere energetic</w:t>
            </w:r>
          </w:p>
        </w:tc>
        <w:tc>
          <w:tcPr>
            <w:tcW w:w="1275" w:type="dxa"/>
            <w:shd w:val="clear" w:color="auto" w:fill="C4EFCE"/>
            <w:noWrap/>
            <w:vAlign w:val="center"/>
            <w:hideMark/>
          </w:tcPr>
          <w:p w14:paraId="7F10918E"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9ACE5A7" w14:textId="77777777" w:rsidR="00A15990" w:rsidRDefault="00686A62">
            <w:pPr>
              <w:pStyle w:val="P68B1DB1-Normal8"/>
              <w:spacing w:after="0" w:line="240" w:lineRule="auto"/>
              <w:jc w:val="center"/>
              <w:rPr>
                <w:rFonts w:eastAsia="Times New Roman" w:cs="Calibri"/>
                <w:noProof/>
              </w:rPr>
            </w:pPr>
            <w:r>
              <w:rPr>
                <w:noProof/>
              </w:rPr>
              <w:t>Numărul</w:t>
            </w:r>
          </w:p>
        </w:tc>
        <w:tc>
          <w:tcPr>
            <w:tcW w:w="850" w:type="dxa"/>
            <w:shd w:val="clear" w:color="auto" w:fill="C4EFCE"/>
            <w:noWrap/>
            <w:vAlign w:val="center"/>
            <w:hideMark/>
          </w:tcPr>
          <w:p w14:paraId="38F31541"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6083336E" w14:textId="77777777" w:rsidR="00A15990" w:rsidRDefault="00686A62">
            <w:pPr>
              <w:pStyle w:val="P68B1DB1-Normal8"/>
              <w:spacing w:after="0" w:line="240" w:lineRule="auto"/>
              <w:jc w:val="both"/>
              <w:rPr>
                <w:rFonts w:eastAsia="Times New Roman" w:cs="Calibri"/>
                <w:noProof/>
              </w:rPr>
            </w:pPr>
            <w:r>
              <w:rPr>
                <w:noProof/>
              </w:rPr>
              <w:t>100 000</w:t>
            </w:r>
          </w:p>
        </w:tc>
        <w:tc>
          <w:tcPr>
            <w:tcW w:w="426" w:type="dxa"/>
            <w:shd w:val="clear" w:color="auto" w:fill="C4EFCE"/>
            <w:noWrap/>
            <w:vAlign w:val="center"/>
            <w:hideMark/>
          </w:tcPr>
          <w:p w14:paraId="2458F47B" w14:textId="77777777" w:rsidR="00A15990" w:rsidRDefault="00686A62">
            <w:pPr>
              <w:pStyle w:val="P68B1DB1-Normal8"/>
              <w:spacing w:after="0" w:line="240" w:lineRule="auto"/>
              <w:jc w:val="both"/>
              <w:rPr>
                <w:rFonts w:eastAsia="Times New Roman" w:cs="Calibri"/>
                <w:noProof/>
              </w:rPr>
            </w:pPr>
            <w:r>
              <w:rPr>
                <w:noProof/>
              </w:rPr>
              <w:t>TRIMESTRUL 3</w:t>
            </w:r>
          </w:p>
        </w:tc>
        <w:tc>
          <w:tcPr>
            <w:tcW w:w="708" w:type="dxa"/>
            <w:shd w:val="clear" w:color="auto" w:fill="C4EFCE"/>
            <w:noWrap/>
            <w:vAlign w:val="center"/>
            <w:hideMark/>
          </w:tcPr>
          <w:p w14:paraId="03A7CD48"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577AF848" w14:textId="77777777" w:rsidR="00A15990" w:rsidRDefault="00686A62">
            <w:pPr>
              <w:pStyle w:val="P68B1DB1-Normal8"/>
              <w:spacing w:after="0" w:line="240" w:lineRule="auto"/>
              <w:jc w:val="both"/>
              <w:rPr>
                <w:rFonts w:eastAsia="Times New Roman" w:cs="Calibri"/>
                <w:noProof/>
              </w:rPr>
            </w:pPr>
            <w:r>
              <w:rPr>
                <w:noProof/>
              </w:rPr>
              <w:t>Numărul de „vouchere pentru eficiență” în valoare, în medie, de 1300/voucher EUR, distribuite gospodăriilor afectate de sărăcia energetică (din universul gospodăriilor care beneficiază de tariful social la energie), pentru a achiziționa echipamente eficiente din punct de vedere energetic, cum ar fi pompele de căldură, precum și pentru a efectua lucrări de îmbunătățire a performanței energetice a gospodăriei înseși. Aceasta include serviciile de instalare și colectarea echipamentelor anterioare (expedierea acestora către o destinație finală responsabilă din punct de vedere ecologic).</w:t>
            </w:r>
          </w:p>
        </w:tc>
      </w:tr>
      <w:tr w:rsidR="00A15990" w14:paraId="0B0E361D" w14:textId="77777777">
        <w:trPr>
          <w:trHeight w:val="640"/>
        </w:trPr>
        <w:tc>
          <w:tcPr>
            <w:tcW w:w="1135" w:type="dxa"/>
            <w:shd w:val="clear" w:color="auto" w:fill="C4EFCE"/>
            <w:vAlign w:val="center"/>
            <w:hideMark/>
          </w:tcPr>
          <w:p w14:paraId="7460E5A9" w14:textId="77777777" w:rsidR="00A15990" w:rsidRDefault="00686A62">
            <w:pPr>
              <w:pStyle w:val="P68B1DB1-Normal7"/>
              <w:spacing w:after="0" w:line="240" w:lineRule="auto"/>
              <w:jc w:val="center"/>
              <w:rPr>
                <w:rFonts w:eastAsia="Times New Roman" w:cs="Calibri"/>
                <w:noProof/>
              </w:rPr>
            </w:pPr>
            <w:r>
              <w:rPr>
                <w:noProof/>
              </w:rPr>
              <w:t>13.4</w:t>
            </w:r>
          </w:p>
        </w:tc>
        <w:tc>
          <w:tcPr>
            <w:tcW w:w="1276" w:type="dxa"/>
            <w:shd w:val="clear" w:color="auto" w:fill="C4EFCE"/>
            <w:noWrap/>
            <w:vAlign w:val="center"/>
            <w:hideMark/>
          </w:tcPr>
          <w:p w14:paraId="4457813A" w14:textId="77777777" w:rsidR="00A15990" w:rsidRDefault="00686A62">
            <w:pPr>
              <w:pStyle w:val="P68B1DB1-Normal8"/>
              <w:spacing w:after="0" w:line="240" w:lineRule="auto"/>
              <w:jc w:val="both"/>
              <w:rPr>
                <w:rFonts w:eastAsia="Times New Roman" w:cs="Calibri"/>
                <w:noProof/>
              </w:rPr>
            </w:pPr>
            <w:r>
              <w:rPr>
                <w:noProof/>
              </w:rPr>
              <w:t>TC-C13-I01</w:t>
            </w:r>
          </w:p>
        </w:tc>
        <w:tc>
          <w:tcPr>
            <w:tcW w:w="1134" w:type="dxa"/>
            <w:shd w:val="clear" w:color="auto" w:fill="C4EFCE"/>
            <w:noWrap/>
            <w:vAlign w:val="center"/>
            <w:hideMark/>
          </w:tcPr>
          <w:p w14:paraId="6C055939"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243CC0AB" w14:textId="77777777" w:rsidR="00A15990" w:rsidRDefault="00686A62">
            <w:pPr>
              <w:pStyle w:val="P68B1DB1-Normal8"/>
              <w:spacing w:after="0" w:line="240" w:lineRule="auto"/>
              <w:rPr>
                <w:rFonts w:eastAsia="Times New Roman" w:cs="Calibri"/>
                <w:noProof/>
              </w:rPr>
            </w:pPr>
            <w:r>
              <w:rPr>
                <w:noProof/>
              </w:rPr>
              <w:t>Capacitate suplimentară de producție de energie din surse regenerabile pentru autoconsum și pentru utilizare în comunitățile de energie din surse regenerabile din sectorul rezidențial privat</w:t>
            </w:r>
          </w:p>
        </w:tc>
        <w:tc>
          <w:tcPr>
            <w:tcW w:w="1275" w:type="dxa"/>
            <w:shd w:val="clear" w:color="auto" w:fill="C4EFCE"/>
            <w:noWrap/>
            <w:vAlign w:val="center"/>
            <w:hideMark/>
          </w:tcPr>
          <w:p w14:paraId="49B81565"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3619A327" w14:textId="77777777" w:rsidR="00A15990" w:rsidRDefault="00686A62">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1094D262"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3857AA75" w14:textId="77777777" w:rsidR="00A15990" w:rsidRDefault="00686A62">
            <w:pPr>
              <w:pStyle w:val="P68B1DB1-Normal8"/>
              <w:spacing w:after="0" w:line="240" w:lineRule="auto"/>
              <w:jc w:val="both"/>
              <w:rPr>
                <w:rFonts w:eastAsia="Times New Roman" w:cs="Calibri"/>
                <w:noProof/>
              </w:rPr>
            </w:pPr>
            <w:r>
              <w:rPr>
                <w:noProof/>
              </w:rPr>
              <w:t>35</w:t>
            </w:r>
          </w:p>
        </w:tc>
        <w:tc>
          <w:tcPr>
            <w:tcW w:w="426" w:type="dxa"/>
            <w:shd w:val="clear" w:color="auto" w:fill="C4EFCE"/>
            <w:noWrap/>
            <w:vAlign w:val="center"/>
            <w:hideMark/>
          </w:tcPr>
          <w:p w14:paraId="16330E77" w14:textId="77777777" w:rsidR="00A15990" w:rsidRDefault="00686A62">
            <w:pPr>
              <w:pStyle w:val="P68B1DB1-Normal8"/>
              <w:spacing w:after="0" w:line="240" w:lineRule="auto"/>
              <w:jc w:val="both"/>
              <w:rPr>
                <w:rFonts w:eastAsia="Times New Roman" w:cs="Calibri"/>
                <w:noProof/>
              </w:rPr>
            </w:pPr>
            <w:r>
              <w:rPr>
                <w:noProof/>
              </w:rPr>
              <w:t>TRIMESTRUL 4</w:t>
            </w:r>
          </w:p>
        </w:tc>
        <w:tc>
          <w:tcPr>
            <w:tcW w:w="708" w:type="dxa"/>
            <w:shd w:val="clear" w:color="auto" w:fill="C4EFCE"/>
            <w:noWrap/>
            <w:vAlign w:val="center"/>
            <w:hideMark/>
          </w:tcPr>
          <w:p w14:paraId="3FBEBB67"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132845E6" w14:textId="77777777" w:rsidR="00A15990" w:rsidRDefault="00686A62">
            <w:pPr>
              <w:pStyle w:val="P68B1DB1-Normal8"/>
              <w:spacing w:after="0" w:line="240" w:lineRule="auto"/>
              <w:jc w:val="both"/>
              <w:rPr>
                <w:rFonts w:eastAsia="Times New Roman" w:cs="Calibri"/>
                <w:noProof/>
              </w:rPr>
            </w:pPr>
            <w:r>
              <w:rPr>
                <w:noProof/>
              </w:rPr>
              <w:t>Capacitate suplimentară de producție de energie din surse regenerabile (cum ar fi panourile fotovoltaice și bateriile, întrucât această ultimă tehnologie ajunge la maturitate) instalată pentru autoconsum și pentru utilizare în comunitățile de energie din surse regenerabile din sectorul rezidențial privat.</w:t>
            </w:r>
          </w:p>
        </w:tc>
      </w:tr>
      <w:tr w:rsidR="00A15990" w14:paraId="72822A32" w14:textId="77777777">
        <w:trPr>
          <w:trHeight w:val="420"/>
        </w:trPr>
        <w:tc>
          <w:tcPr>
            <w:tcW w:w="1135" w:type="dxa"/>
            <w:shd w:val="clear" w:color="auto" w:fill="C4EFCE"/>
            <w:vAlign w:val="center"/>
            <w:hideMark/>
          </w:tcPr>
          <w:p w14:paraId="3B3EBACC" w14:textId="77777777" w:rsidR="00A15990" w:rsidRDefault="00686A62">
            <w:pPr>
              <w:pStyle w:val="P68B1DB1-Normal7"/>
              <w:spacing w:after="0" w:line="240" w:lineRule="auto"/>
              <w:jc w:val="center"/>
              <w:rPr>
                <w:rFonts w:eastAsia="Times New Roman" w:cs="Calibri"/>
                <w:noProof/>
              </w:rPr>
            </w:pPr>
            <w:r>
              <w:rPr>
                <w:noProof/>
              </w:rPr>
              <w:t>13.5</w:t>
            </w:r>
          </w:p>
        </w:tc>
        <w:tc>
          <w:tcPr>
            <w:tcW w:w="1276" w:type="dxa"/>
            <w:shd w:val="clear" w:color="auto" w:fill="C4EFCE"/>
            <w:noWrap/>
            <w:vAlign w:val="center"/>
            <w:hideMark/>
          </w:tcPr>
          <w:p w14:paraId="7090E9CA" w14:textId="77777777" w:rsidR="00A15990" w:rsidRDefault="00686A62">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0265E7BE"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A781328" w14:textId="77777777" w:rsidR="00A15990" w:rsidRDefault="00686A62">
            <w:pPr>
              <w:pStyle w:val="P68B1DB1-Normal8"/>
              <w:spacing w:after="0" w:line="240" w:lineRule="auto"/>
              <w:jc w:val="both"/>
              <w:rPr>
                <w:rFonts w:eastAsia="Times New Roman" w:cs="Calibri"/>
                <w:noProof/>
              </w:rPr>
            </w:pPr>
            <w:r>
              <w:rPr>
                <w:noProof/>
              </w:rPr>
              <w:t>Renovarea clădirilor administrației centrale din punctul de vedere al eficienței energetice</w:t>
            </w:r>
          </w:p>
        </w:tc>
        <w:tc>
          <w:tcPr>
            <w:tcW w:w="1275" w:type="dxa"/>
            <w:shd w:val="clear" w:color="auto" w:fill="C4EFCE"/>
            <w:noWrap/>
            <w:vAlign w:val="center"/>
            <w:hideMark/>
          </w:tcPr>
          <w:p w14:paraId="0B83A2AE"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40499B8" w14:textId="77777777" w:rsidR="00A15990" w:rsidRDefault="00686A62">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4F89FDA3"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7BD42F3A" w14:textId="77777777" w:rsidR="00A15990" w:rsidRDefault="00686A62">
            <w:pPr>
              <w:pStyle w:val="P68B1DB1-Normal8"/>
              <w:spacing w:after="0" w:line="240" w:lineRule="auto"/>
              <w:jc w:val="both"/>
              <w:rPr>
                <w:rFonts w:eastAsia="Times New Roman" w:cs="Calibri"/>
                <w:noProof/>
              </w:rPr>
            </w:pPr>
            <w:r>
              <w:rPr>
                <w:noProof/>
              </w:rPr>
              <w:t>1 065 000</w:t>
            </w:r>
          </w:p>
        </w:tc>
        <w:tc>
          <w:tcPr>
            <w:tcW w:w="426" w:type="dxa"/>
            <w:shd w:val="clear" w:color="auto" w:fill="C4EFCE"/>
            <w:noWrap/>
            <w:vAlign w:val="center"/>
            <w:hideMark/>
          </w:tcPr>
          <w:p w14:paraId="1624BC2F" w14:textId="77777777" w:rsidR="00A15990" w:rsidRDefault="00686A62">
            <w:pPr>
              <w:pStyle w:val="P68B1DB1-Normal8"/>
              <w:spacing w:after="0" w:line="240" w:lineRule="auto"/>
              <w:jc w:val="both"/>
              <w:rPr>
                <w:rFonts w:eastAsia="Times New Roman" w:cs="Calibri"/>
                <w:noProof/>
              </w:rPr>
            </w:pPr>
            <w:r>
              <w:rPr>
                <w:noProof/>
              </w:rPr>
              <w:t>TRIMESTRUL 1</w:t>
            </w:r>
          </w:p>
        </w:tc>
        <w:tc>
          <w:tcPr>
            <w:tcW w:w="708" w:type="dxa"/>
            <w:shd w:val="clear" w:color="auto" w:fill="C4EFCE"/>
            <w:noWrap/>
            <w:vAlign w:val="center"/>
            <w:hideMark/>
          </w:tcPr>
          <w:p w14:paraId="1A541125"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26228984" w14:textId="77777777" w:rsidR="00A15990" w:rsidRDefault="00A15990">
            <w:pPr>
              <w:spacing w:after="0" w:line="240" w:lineRule="auto"/>
              <w:jc w:val="both"/>
              <w:rPr>
                <w:rFonts w:ascii="Calibri" w:eastAsia="Times New Roman" w:hAnsi="Calibri" w:cs="Calibri"/>
                <w:noProof/>
                <w:sz w:val="16"/>
              </w:rPr>
            </w:pPr>
          </w:p>
          <w:p w14:paraId="160254F6" w14:textId="77777777" w:rsidR="00A15990" w:rsidRDefault="00686A62">
            <w:pPr>
              <w:pStyle w:val="P68B1DB1-Normal8"/>
              <w:spacing w:after="0" w:line="240" w:lineRule="auto"/>
              <w:jc w:val="both"/>
              <w:rPr>
                <w:rFonts w:eastAsia="Times New Roman" w:cs="Calibri"/>
                <w:noProof/>
              </w:rPr>
            </w:pPr>
            <w:r>
              <w:rPr>
                <w:noProof/>
              </w:rPr>
              <w:t>Suprafața clădirilor administrației centrale renovate. Renovările vizând eficiența energetică realizează, în medie, cel puțin o renovare de amploare medie, astfel cum este definită în Recomandarea Comisiei privind renovarea clădirilor (UE) 2019/786.</w:t>
            </w:r>
          </w:p>
        </w:tc>
      </w:tr>
      <w:tr w:rsidR="00A15990" w14:paraId="3AB1A080" w14:textId="77777777">
        <w:trPr>
          <w:trHeight w:val="420"/>
        </w:trPr>
        <w:tc>
          <w:tcPr>
            <w:tcW w:w="1135" w:type="dxa"/>
            <w:shd w:val="clear" w:color="auto" w:fill="C4EFCE"/>
            <w:vAlign w:val="center"/>
            <w:hideMark/>
          </w:tcPr>
          <w:p w14:paraId="60E0C01F" w14:textId="77777777" w:rsidR="00A15990" w:rsidRDefault="00686A62">
            <w:pPr>
              <w:pStyle w:val="P68B1DB1-Normal7"/>
              <w:spacing w:after="0" w:line="240" w:lineRule="auto"/>
              <w:jc w:val="center"/>
              <w:rPr>
                <w:rFonts w:eastAsia="Times New Roman" w:cs="Calibri"/>
                <w:noProof/>
              </w:rPr>
            </w:pPr>
            <w:r>
              <w:rPr>
                <w:noProof/>
              </w:rPr>
              <w:t>13.6</w:t>
            </w:r>
          </w:p>
        </w:tc>
        <w:tc>
          <w:tcPr>
            <w:tcW w:w="1276" w:type="dxa"/>
            <w:shd w:val="clear" w:color="auto" w:fill="C4EFCE"/>
            <w:noWrap/>
            <w:vAlign w:val="center"/>
            <w:hideMark/>
          </w:tcPr>
          <w:p w14:paraId="293744CC" w14:textId="77777777" w:rsidR="00A15990" w:rsidRDefault="00686A62">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4857104A"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4F18B9FA" w14:textId="77777777" w:rsidR="00A15990" w:rsidRDefault="00686A62">
            <w:pPr>
              <w:pStyle w:val="P68B1DB1-Normal8"/>
              <w:spacing w:after="0" w:line="240" w:lineRule="auto"/>
              <w:jc w:val="both"/>
              <w:rPr>
                <w:rFonts w:eastAsia="Times New Roman" w:cs="Calibri"/>
                <w:noProof/>
              </w:rPr>
            </w:pPr>
            <w:r>
              <w:rPr>
                <w:noProof/>
              </w:rPr>
              <w:t xml:space="preserve">Renovarea clădirilor administrației centrale din punctul de vedere al eficienței energetice </w:t>
            </w:r>
          </w:p>
        </w:tc>
        <w:tc>
          <w:tcPr>
            <w:tcW w:w="1275" w:type="dxa"/>
            <w:shd w:val="clear" w:color="auto" w:fill="C4EFCE"/>
            <w:noWrap/>
            <w:vAlign w:val="center"/>
            <w:hideMark/>
          </w:tcPr>
          <w:p w14:paraId="02A39686"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58D238F8" w14:textId="77777777" w:rsidR="00A15990" w:rsidRDefault="00686A62">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13E054F8" w14:textId="62C82D65" w:rsidR="00A15990" w:rsidRDefault="00686A62">
            <w:pPr>
              <w:pStyle w:val="P68B1DB1-Normal8"/>
              <w:spacing w:after="0" w:line="240" w:lineRule="auto"/>
              <w:jc w:val="center"/>
              <w:rPr>
                <w:rFonts w:eastAsia="Times New Roman" w:cs="Calibri"/>
                <w:noProof/>
              </w:rPr>
            </w:pPr>
            <w:r>
              <w:rPr>
                <w:noProof/>
              </w:rPr>
              <w:t>1 065 000</w:t>
            </w:r>
          </w:p>
        </w:tc>
        <w:tc>
          <w:tcPr>
            <w:tcW w:w="992" w:type="dxa"/>
            <w:shd w:val="clear" w:color="auto" w:fill="C4EFCE"/>
            <w:noWrap/>
            <w:vAlign w:val="center"/>
            <w:hideMark/>
          </w:tcPr>
          <w:p w14:paraId="20287487" w14:textId="77777777" w:rsidR="00A15990" w:rsidRDefault="00686A62">
            <w:pPr>
              <w:pStyle w:val="P68B1DB1-Normal8"/>
              <w:spacing w:after="0" w:line="240" w:lineRule="auto"/>
              <w:jc w:val="both"/>
              <w:rPr>
                <w:rFonts w:eastAsia="Times New Roman" w:cs="Calibri"/>
                <w:noProof/>
              </w:rPr>
            </w:pPr>
            <w:r>
              <w:rPr>
                <w:noProof/>
              </w:rPr>
              <w:t>1 255 000</w:t>
            </w:r>
          </w:p>
        </w:tc>
        <w:tc>
          <w:tcPr>
            <w:tcW w:w="426" w:type="dxa"/>
            <w:shd w:val="clear" w:color="auto" w:fill="C4EFCE"/>
            <w:noWrap/>
            <w:vAlign w:val="center"/>
            <w:hideMark/>
          </w:tcPr>
          <w:p w14:paraId="4B0B2EFE" w14:textId="77777777" w:rsidR="00A15990" w:rsidRDefault="00686A62">
            <w:pPr>
              <w:pStyle w:val="P68B1DB1-Normal8"/>
              <w:spacing w:after="0" w:line="240" w:lineRule="auto"/>
              <w:jc w:val="both"/>
              <w:rPr>
                <w:rFonts w:eastAsia="Times New Roman" w:cs="Calibri"/>
                <w:noProof/>
              </w:rPr>
            </w:pPr>
            <w:r>
              <w:rPr>
                <w:noProof/>
              </w:rPr>
              <w:t>TRIMESTRUL 4</w:t>
            </w:r>
          </w:p>
        </w:tc>
        <w:tc>
          <w:tcPr>
            <w:tcW w:w="708" w:type="dxa"/>
            <w:shd w:val="clear" w:color="auto" w:fill="C4EFCE"/>
            <w:noWrap/>
            <w:vAlign w:val="center"/>
            <w:hideMark/>
          </w:tcPr>
          <w:p w14:paraId="071698D9"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8F276C1" w14:textId="77777777" w:rsidR="00A15990" w:rsidRDefault="00A15990">
            <w:pPr>
              <w:spacing w:after="0" w:line="240" w:lineRule="auto"/>
              <w:jc w:val="both"/>
              <w:rPr>
                <w:rFonts w:ascii="Calibri" w:eastAsia="Times New Roman" w:hAnsi="Calibri" w:cs="Calibri"/>
                <w:noProof/>
                <w:sz w:val="16"/>
              </w:rPr>
            </w:pPr>
          </w:p>
          <w:p w14:paraId="58C28D3F" w14:textId="77777777" w:rsidR="00A15990" w:rsidRDefault="00686A62">
            <w:pPr>
              <w:pStyle w:val="P68B1DB1-Normal8"/>
              <w:spacing w:after="0" w:line="240" w:lineRule="auto"/>
              <w:jc w:val="both"/>
              <w:rPr>
                <w:rFonts w:eastAsia="Times New Roman" w:cs="Calibri"/>
                <w:noProof/>
              </w:rPr>
            </w:pPr>
            <w:r>
              <w:rPr>
                <w:noProof/>
              </w:rPr>
              <w:t>Suprafața clădirilor administrației centrale renovate. Renovările vizând eficiența energetică realizează, în medie, cel puțin o renovare de amploare medie, astfel cum este definită în Recomandarea Comisiei privind renovarea clădirilor (UE) 2019/786.</w:t>
            </w:r>
          </w:p>
        </w:tc>
      </w:tr>
      <w:tr w:rsidR="00A15990" w14:paraId="6107EFB2" w14:textId="77777777">
        <w:trPr>
          <w:trHeight w:val="1791"/>
        </w:trPr>
        <w:tc>
          <w:tcPr>
            <w:tcW w:w="1135" w:type="dxa"/>
            <w:shd w:val="clear" w:color="auto" w:fill="C4EFCE"/>
            <w:vAlign w:val="center"/>
            <w:hideMark/>
          </w:tcPr>
          <w:p w14:paraId="6E63D5C7" w14:textId="77777777" w:rsidR="00A15990" w:rsidRDefault="00686A62">
            <w:pPr>
              <w:pStyle w:val="P68B1DB1-Normal7"/>
              <w:spacing w:after="0" w:line="240" w:lineRule="auto"/>
              <w:jc w:val="center"/>
              <w:rPr>
                <w:rFonts w:eastAsia="Times New Roman" w:cs="Calibri"/>
                <w:noProof/>
              </w:rPr>
            </w:pPr>
            <w:r>
              <w:rPr>
                <w:noProof/>
              </w:rPr>
              <w:t>13.7</w:t>
            </w:r>
          </w:p>
        </w:tc>
        <w:tc>
          <w:tcPr>
            <w:tcW w:w="1276" w:type="dxa"/>
            <w:shd w:val="clear" w:color="auto" w:fill="C4EFCE"/>
            <w:noWrap/>
            <w:vAlign w:val="center"/>
            <w:hideMark/>
          </w:tcPr>
          <w:p w14:paraId="070D1DC5" w14:textId="77777777" w:rsidR="00A15990" w:rsidRDefault="00686A62">
            <w:pPr>
              <w:pStyle w:val="P68B1DB1-Normal8"/>
              <w:spacing w:after="0" w:line="240" w:lineRule="auto"/>
              <w:jc w:val="both"/>
              <w:rPr>
                <w:rFonts w:eastAsia="Times New Roman" w:cs="Calibri"/>
                <w:noProof/>
              </w:rPr>
            </w:pPr>
            <w:r>
              <w:rPr>
                <w:noProof/>
              </w:rPr>
              <w:t>TC-C13-I02</w:t>
            </w:r>
          </w:p>
        </w:tc>
        <w:tc>
          <w:tcPr>
            <w:tcW w:w="1134" w:type="dxa"/>
            <w:shd w:val="clear" w:color="auto" w:fill="C4EFCE"/>
            <w:noWrap/>
            <w:vAlign w:val="center"/>
            <w:hideMark/>
          </w:tcPr>
          <w:p w14:paraId="1D3BC664"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936AA2B" w14:textId="77777777" w:rsidR="00A15990" w:rsidRDefault="00686A62">
            <w:pPr>
              <w:pStyle w:val="P68B1DB1-Normal8"/>
              <w:spacing w:after="0" w:line="240" w:lineRule="auto"/>
              <w:jc w:val="both"/>
              <w:rPr>
                <w:rFonts w:eastAsia="Times New Roman" w:cs="Calibri"/>
                <w:noProof/>
              </w:rPr>
            </w:pPr>
            <w:r>
              <w:rPr>
                <w:noProof/>
              </w:rPr>
              <w:t xml:space="preserve">Capacitate suplimentară de producție de energie din surse regenerabile pentru autoconsum și pentru utilizare în comunitățile de energie din surse regenerabile din clădirile administrației centrale </w:t>
            </w:r>
          </w:p>
        </w:tc>
        <w:tc>
          <w:tcPr>
            <w:tcW w:w="1275" w:type="dxa"/>
            <w:shd w:val="clear" w:color="auto" w:fill="C4EFCE"/>
            <w:noWrap/>
            <w:vAlign w:val="center"/>
            <w:hideMark/>
          </w:tcPr>
          <w:p w14:paraId="612B042B"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4A4BC993" w14:textId="77777777" w:rsidR="00A15990" w:rsidRDefault="00686A62">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5880F214"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65D3D5C3" w14:textId="77777777" w:rsidR="00A15990" w:rsidRDefault="00686A62">
            <w:pPr>
              <w:pStyle w:val="P68B1DB1-Normal8"/>
              <w:spacing w:after="0" w:line="240" w:lineRule="auto"/>
              <w:jc w:val="both"/>
              <w:rPr>
                <w:rFonts w:eastAsia="Times New Roman" w:cs="Calibri"/>
                <w:noProof/>
              </w:rPr>
            </w:pPr>
            <w:r>
              <w:rPr>
                <w:noProof/>
              </w:rPr>
              <w:t>28</w:t>
            </w:r>
          </w:p>
        </w:tc>
        <w:tc>
          <w:tcPr>
            <w:tcW w:w="426" w:type="dxa"/>
            <w:shd w:val="clear" w:color="auto" w:fill="C4EFCE"/>
            <w:noWrap/>
            <w:vAlign w:val="center"/>
            <w:hideMark/>
          </w:tcPr>
          <w:p w14:paraId="0ABC7448" w14:textId="77777777" w:rsidR="00A15990" w:rsidRDefault="00686A62">
            <w:pPr>
              <w:pStyle w:val="P68B1DB1-Normal8"/>
              <w:spacing w:after="0" w:line="240" w:lineRule="auto"/>
              <w:jc w:val="both"/>
              <w:rPr>
                <w:rFonts w:eastAsia="Times New Roman" w:cs="Calibri"/>
                <w:noProof/>
              </w:rPr>
            </w:pPr>
            <w:r>
              <w:rPr>
                <w:noProof/>
              </w:rPr>
              <w:t>TRIMESTRUL 4</w:t>
            </w:r>
          </w:p>
        </w:tc>
        <w:tc>
          <w:tcPr>
            <w:tcW w:w="708" w:type="dxa"/>
            <w:shd w:val="clear" w:color="auto" w:fill="C4EFCE"/>
            <w:noWrap/>
            <w:vAlign w:val="center"/>
            <w:hideMark/>
          </w:tcPr>
          <w:p w14:paraId="7AC5AAD8"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0C38259F" w14:textId="77777777" w:rsidR="00A15990" w:rsidRDefault="00686A62">
            <w:pPr>
              <w:pStyle w:val="P68B1DB1-Normal8"/>
              <w:spacing w:after="0" w:line="240" w:lineRule="auto"/>
              <w:jc w:val="both"/>
              <w:rPr>
                <w:rFonts w:eastAsia="Times New Roman" w:cs="Calibri"/>
                <w:noProof/>
              </w:rPr>
            </w:pPr>
            <w:r>
              <w:rPr>
                <w:noProof/>
              </w:rPr>
              <w:t xml:space="preserve">Capacitate suplimentară de producție de energie din surse regenerabile (cum ar fi panourile fotovoltaice și bateriile, întrucât această ultimă tehnologie ajunge la maturitate) pentru consumul propriu și pentru utilizarea în comunitățile de energie din surse regenerabile din clădirile administrației centrale. </w:t>
            </w:r>
          </w:p>
        </w:tc>
      </w:tr>
      <w:tr w:rsidR="00A15990" w14:paraId="315A0896" w14:textId="77777777">
        <w:trPr>
          <w:trHeight w:val="630"/>
        </w:trPr>
        <w:tc>
          <w:tcPr>
            <w:tcW w:w="1135" w:type="dxa"/>
            <w:shd w:val="clear" w:color="auto" w:fill="C4EFCE"/>
            <w:vAlign w:val="center"/>
            <w:hideMark/>
          </w:tcPr>
          <w:p w14:paraId="08835C94" w14:textId="77777777" w:rsidR="00A15990" w:rsidRDefault="00686A62">
            <w:pPr>
              <w:pStyle w:val="P68B1DB1-Normal7"/>
              <w:spacing w:after="0" w:line="240" w:lineRule="auto"/>
              <w:jc w:val="center"/>
              <w:rPr>
                <w:rFonts w:eastAsia="Times New Roman" w:cs="Calibri"/>
                <w:noProof/>
              </w:rPr>
            </w:pPr>
            <w:r>
              <w:rPr>
                <w:noProof/>
              </w:rPr>
              <w:t>13.8</w:t>
            </w:r>
          </w:p>
        </w:tc>
        <w:tc>
          <w:tcPr>
            <w:tcW w:w="1276" w:type="dxa"/>
            <w:shd w:val="clear" w:color="auto" w:fill="C4EFCE"/>
            <w:noWrap/>
            <w:vAlign w:val="center"/>
            <w:hideMark/>
          </w:tcPr>
          <w:p w14:paraId="3283563C" w14:textId="77777777" w:rsidR="00A15990" w:rsidRDefault="00686A62">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39005AC"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77369B6E" w14:textId="77777777" w:rsidR="00A15990" w:rsidRDefault="00686A62">
            <w:pPr>
              <w:pStyle w:val="P68B1DB1-Normal8"/>
              <w:spacing w:after="0" w:line="240" w:lineRule="auto"/>
              <w:jc w:val="both"/>
              <w:rPr>
                <w:rFonts w:eastAsia="Times New Roman" w:cs="Calibri"/>
                <w:noProof/>
              </w:rPr>
            </w:pPr>
            <w:r>
              <w:rPr>
                <w:noProof/>
              </w:rPr>
              <w:t>Renovarea clădirilor de servicii private din punctul de vedere al eficienței energetice</w:t>
            </w:r>
          </w:p>
        </w:tc>
        <w:tc>
          <w:tcPr>
            <w:tcW w:w="1275" w:type="dxa"/>
            <w:shd w:val="clear" w:color="auto" w:fill="C4EFCE"/>
            <w:noWrap/>
            <w:vAlign w:val="center"/>
            <w:hideMark/>
          </w:tcPr>
          <w:p w14:paraId="04F5C639"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63C2248A" w14:textId="77777777" w:rsidR="00A15990" w:rsidRDefault="00686A62">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2A00A5F0"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75EABFED" w14:textId="77777777" w:rsidR="00A15990" w:rsidRDefault="00686A62">
            <w:pPr>
              <w:pStyle w:val="P68B1DB1-Normal8"/>
              <w:spacing w:after="0" w:line="240" w:lineRule="auto"/>
              <w:jc w:val="both"/>
              <w:rPr>
                <w:rFonts w:eastAsia="Times New Roman" w:cs="Calibri"/>
                <w:noProof/>
              </w:rPr>
            </w:pPr>
            <w:r>
              <w:rPr>
                <w:noProof/>
              </w:rPr>
              <w:t>315 000</w:t>
            </w:r>
          </w:p>
        </w:tc>
        <w:tc>
          <w:tcPr>
            <w:tcW w:w="426" w:type="dxa"/>
            <w:shd w:val="clear" w:color="auto" w:fill="C4EFCE"/>
            <w:noWrap/>
            <w:vAlign w:val="center"/>
            <w:hideMark/>
          </w:tcPr>
          <w:p w14:paraId="49D1DBD6" w14:textId="77777777" w:rsidR="00A15990" w:rsidRDefault="00686A62">
            <w:pPr>
              <w:pStyle w:val="P68B1DB1-Normal8"/>
              <w:spacing w:after="0" w:line="240" w:lineRule="auto"/>
              <w:jc w:val="both"/>
              <w:rPr>
                <w:rFonts w:eastAsia="Times New Roman" w:cs="Calibri"/>
                <w:noProof/>
              </w:rPr>
            </w:pPr>
            <w:r>
              <w:rPr>
                <w:noProof/>
              </w:rPr>
              <w:t>TRIMESTRUL 1</w:t>
            </w:r>
          </w:p>
        </w:tc>
        <w:tc>
          <w:tcPr>
            <w:tcW w:w="708" w:type="dxa"/>
            <w:shd w:val="clear" w:color="auto" w:fill="C4EFCE"/>
            <w:noWrap/>
            <w:vAlign w:val="center"/>
            <w:hideMark/>
          </w:tcPr>
          <w:p w14:paraId="12EB7A96"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6ECA77CC" w14:textId="77777777" w:rsidR="00A15990" w:rsidRDefault="00A15990">
            <w:pPr>
              <w:spacing w:after="0" w:line="240" w:lineRule="auto"/>
              <w:jc w:val="both"/>
              <w:rPr>
                <w:rFonts w:ascii="Calibri" w:eastAsia="Times New Roman" w:hAnsi="Calibri" w:cs="Calibri"/>
                <w:noProof/>
                <w:sz w:val="16"/>
              </w:rPr>
            </w:pPr>
          </w:p>
          <w:p w14:paraId="6862CCDC" w14:textId="77777777" w:rsidR="00A15990" w:rsidRDefault="00686A62">
            <w:pPr>
              <w:pStyle w:val="P68B1DB1-Normal8"/>
              <w:spacing w:after="0" w:line="240" w:lineRule="auto"/>
              <w:jc w:val="both"/>
              <w:rPr>
                <w:rFonts w:eastAsia="Times New Roman" w:cs="Calibri"/>
                <w:noProof/>
              </w:rPr>
            </w:pPr>
            <w:r>
              <w:rPr>
                <w:noProof/>
              </w:rPr>
              <w:t>Suprafața clădirilor renovate utilizate de serviciile private. Renovările vizând eficiența energetică realizează, în medie, cel puțin o renovare de amploare medie, astfel cum este definită în Recomandarea Comisiei privind renovarea clădirilor (UE) 2019/786.</w:t>
            </w:r>
          </w:p>
        </w:tc>
      </w:tr>
      <w:tr w:rsidR="00A15990" w14:paraId="7CEEEEA3" w14:textId="77777777">
        <w:trPr>
          <w:trHeight w:val="630"/>
        </w:trPr>
        <w:tc>
          <w:tcPr>
            <w:tcW w:w="1135" w:type="dxa"/>
            <w:shd w:val="clear" w:color="auto" w:fill="C4EFCE"/>
            <w:vAlign w:val="center"/>
            <w:hideMark/>
          </w:tcPr>
          <w:p w14:paraId="1558A3B7" w14:textId="77777777" w:rsidR="00A15990" w:rsidRDefault="00686A62">
            <w:pPr>
              <w:pStyle w:val="P68B1DB1-Normal7"/>
              <w:spacing w:after="0" w:line="240" w:lineRule="auto"/>
              <w:jc w:val="center"/>
              <w:rPr>
                <w:rFonts w:eastAsia="Times New Roman" w:cs="Calibri"/>
                <w:noProof/>
              </w:rPr>
            </w:pPr>
            <w:r>
              <w:rPr>
                <w:noProof/>
              </w:rPr>
              <w:t>13.9</w:t>
            </w:r>
          </w:p>
        </w:tc>
        <w:tc>
          <w:tcPr>
            <w:tcW w:w="1276" w:type="dxa"/>
            <w:shd w:val="clear" w:color="auto" w:fill="C4EFCE"/>
            <w:noWrap/>
            <w:vAlign w:val="center"/>
            <w:hideMark/>
          </w:tcPr>
          <w:p w14:paraId="048D644C" w14:textId="77777777" w:rsidR="00A15990" w:rsidRDefault="00686A62">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3F4D6FA8"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18C154C7" w14:textId="77777777" w:rsidR="00A15990" w:rsidRDefault="00686A62">
            <w:pPr>
              <w:pStyle w:val="P68B1DB1-Normal8"/>
              <w:spacing w:after="0" w:line="240" w:lineRule="auto"/>
              <w:jc w:val="both"/>
              <w:rPr>
                <w:rFonts w:eastAsia="Times New Roman" w:cs="Calibri"/>
                <w:noProof/>
              </w:rPr>
            </w:pPr>
            <w:r>
              <w:rPr>
                <w:noProof/>
              </w:rPr>
              <w:t>Renovarea clădirilor de servicii private din punctul de vedere al eficienței energetice</w:t>
            </w:r>
          </w:p>
        </w:tc>
        <w:tc>
          <w:tcPr>
            <w:tcW w:w="1275" w:type="dxa"/>
            <w:shd w:val="clear" w:color="auto" w:fill="C4EFCE"/>
            <w:noWrap/>
            <w:vAlign w:val="center"/>
            <w:hideMark/>
          </w:tcPr>
          <w:p w14:paraId="4BDE1A7A"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22AA9F67" w14:textId="77777777" w:rsidR="00A15990" w:rsidRDefault="00686A62">
            <w:pPr>
              <w:pStyle w:val="P68B1DB1-Normal8"/>
              <w:spacing w:after="0" w:line="240" w:lineRule="auto"/>
              <w:jc w:val="center"/>
              <w:rPr>
                <w:rFonts w:eastAsia="Times New Roman" w:cs="Calibri"/>
                <w:noProof/>
              </w:rPr>
            </w:pPr>
            <w:r>
              <w:rPr>
                <w:noProof/>
              </w:rPr>
              <w:t>m²</w:t>
            </w:r>
          </w:p>
        </w:tc>
        <w:tc>
          <w:tcPr>
            <w:tcW w:w="850" w:type="dxa"/>
            <w:shd w:val="clear" w:color="auto" w:fill="C4EFCE"/>
            <w:noWrap/>
            <w:vAlign w:val="center"/>
            <w:hideMark/>
          </w:tcPr>
          <w:p w14:paraId="06B1E72C" w14:textId="77777777" w:rsidR="00A15990" w:rsidRDefault="00686A62">
            <w:pPr>
              <w:pStyle w:val="P68B1DB1-Normal8"/>
              <w:spacing w:after="0" w:line="240" w:lineRule="auto"/>
              <w:jc w:val="center"/>
              <w:rPr>
                <w:rFonts w:eastAsia="Times New Roman" w:cs="Calibri"/>
                <w:noProof/>
              </w:rPr>
            </w:pPr>
            <w:r>
              <w:rPr>
                <w:noProof/>
              </w:rPr>
              <w:t>315 000</w:t>
            </w:r>
          </w:p>
        </w:tc>
        <w:tc>
          <w:tcPr>
            <w:tcW w:w="992" w:type="dxa"/>
            <w:shd w:val="clear" w:color="auto" w:fill="C4EFCE"/>
            <w:noWrap/>
            <w:vAlign w:val="center"/>
            <w:hideMark/>
          </w:tcPr>
          <w:p w14:paraId="71FE31A9" w14:textId="77777777" w:rsidR="00A15990" w:rsidRDefault="00686A62">
            <w:pPr>
              <w:pStyle w:val="P68B1DB1-Normal8"/>
              <w:spacing w:after="0" w:line="240" w:lineRule="auto"/>
              <w:jc w:val="both"/>
              <w:rPr>
                <w:rFonts w:eastAsia="Times New Roman" w:cs="Calibri"/>
                <w:noProof/>
              </w:rPr>
            </w:pPr>
            <w:r>
              <w:rPr>
                <w:noProof/>
              </w:rPr>
              <w:t>360 000</w:t>
            </w:r>
          </w:p>
        </w:tc>
        <w:tc>
          <w:tcPr>
            <w:tcW w:w="426" w:type="dxa"/>
            <w:shd w:val="clear" w:color="auto" w:fill="C4EFCE"/>
            <w:noWrap/>
            <w:vAlign w:val="center"/>
            <w:hideMark/>
          </w:tcPr>
          <w:p w14:paraId="3FC426D1" w14:textId="77777777" w:rsidR="00A15990" w:rsidRDefault="00686A62">
            <w:pPr>
              <w:pStyle w:val="P68B1DB1-Normal8"/>
              <w:spacing w:after="0" w:line="240" w:lineRule="auto"/>
              <w:jc w:val="both"/>
              <w:rPr>
                <w:rFonts w:eastAsia="Times New Roman" w:cs="Calibri"/>
                <w:noProof/>
              </w:rPr>
            </w:pPr>
            <w:r>
              <w:rPr>
                <w:noProof/>
              </w:rPr>
              <w:t>TRIMESTRUL 4</w:t>
            </w:r>
          </w:p>
        </w:tc>
        <w:tc>
          <w:tcPr>
            <w:tcW w:w="708" w:type="dxa"/>
            <w:shd w:val="clear" w:color="auto" w:fill="C4EFCE"/>
            <w:noWrap/>
            <w:vAlign w:val="center"/>
            <w:hideMark/>
          </w:tcPr>
          <w:p w14:paraId="6311F4AB"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42E42EAB" w14:textId="77777777" w:rsidR="00A15990" w:rsidRDefault="00A15990">
            <w:pPr>
              <w:spacing w:after="0" w:line="240" w:lineRule="auto"/>
              <w:jc w:val="both"/>
              <w:rPr>
                <w:rFonts w:ascii="Calibri" w:eastAsia="Times New Roman" w:hAnsi="Calibri" w:cs="Calibri"/>
                <w:noProof/>
                <w:sz w:val="16"/>
              </w:rPr>
            </w:pPr>
          </w:p>
          <w:p w14:paraId="46DF3B33" w14:textId="77777777" w:rsidR="00A15990" w:rsidRDefault="00686A62">
            <w:pPr>
              <w:pStyle w:val="P68B1DB1-Normal8"/>
              <w:spacing w:after="0" w:line="240" w:lineRule="auto"/>
              <w:jc w:val="both"/>
              <w:rPr>
                <w:rFonts w:eastAsia="Times New Roman" w:cs="Calibri"/>
                <w:noProof/>
              </w:rPr>
            </w:pPr>
            <w:r>
              <w:rPr>
                <w:noProof/>
              </w:rPr>
              <w:t>Suprafața clădirilor renovate utilizate de sectorul serviciilor private. Renovările vizând eficiența energetică realizează, în medie, cel puțin o renovare de amploare medie, astfel cum este definită în Recomandarea Comisiei privind renovarea clădirilor (UE) 2019/786.</w:t>
            </w:r>
          </w:p>
        </w:tc>
      </w:tr>
      <w:tr w:rsidR="00A15990" w14:paraId="5F36D45E" w14:textId="77777777">
        <w:trPr>
          <w:trHeight w:val="1995"/>
        </w:trPr>
        <w:tc>
          <w:tcPr>
            <w:tcW w:w="1135" w:type="dxa"/>
            <w:shd w:val="clear" w:color="auto" w:fill="C4EFCE"/>
            <w:vAlign w:val="center"/>
            <w:hideMark/>
          </w:tcPr>
          <w:p w14:paraId="4985012C" w14:textId="77777777" w:rsidR="00A15990" w:rsidRDefault="00686A62">
            <w:pPr>
              <w:pStyle w:val="P68B1DB1-Normal7"/>
              <w:spacing w:after="0" w:line="240" w:lineRule="auto"/>
              <w:jc w:val="center"/>
              <w:rPr>
                <w:rFonts w:eastAsia="Times New Roman" w:cs="Calibri"/>
                <w:noProof/>
              </w:rPr>
            </w:pPr>
            <w:r>
              <w:rPr>
                <w:noProof/>
              </w:rPr>
              <w:t>13.10</w:t>
            </w:r>
          </w:p>
        </w:tc>
        <w:tc>
          <w:tcPr>
            <w:tcW w:w="1276" w:type="dxa"/>
            <w:shd w:val="clear" w:color="auto" w:fill="C4EFCE"/>
            <w:noWrap/>
            <w:vAlign w:val="center"/>
            <w:hideMark/>
          </w:tcPr>
          <w:p w14:paraId="0E8ACC47" w14:textId="77777777" w:rsidR="00A15990" w:rsidRDefault="00686A62">
            <w:pPr>
              <w:pStyle w:val="P68B1DB1-Normal8"/>
              <w:spacing w:after="0" w:line="240" w:lineRule="auto"/>
              <w:jc w:val="both"/>
              <w:rPr>
                <w:rFonts w:eastAsia="Times New Roman" w:cs="Calibri"/>
                <w:noProof/>
              </w:rPr>
            </w:pPr>
            <w:r>
              <w:rPr>
                <w:noProof/>
              </w:rPr>
              <w:t>TC-C13-I03</w:t>
            </w:r>
          </w:p>
        </w:tc>
        <w:tc>
          <w:tcPr>
            <w:tcW w:w="1134" w:type="dxa"/>
            <w:shd w:val="clear" w:color="auto" w:fill="C4EFCE"/>
            <w:noWrap/>
            <w:vAlign w:val="center"/>
            <w:hideMark/>
          </w:tcPr>
          <w:p w14:paraId="7DCB8AB8" w14:textId="77777777" w:rsidR="00A15990" w:rsidRDefault="00686A62">
            <w:pPr>
              <w:pStyle w:val="P68B1DB1-Normal8"/>
              <w:spacing w:after="0" w:line="240" w:lineRule="auto"/>
              <w:jc w:val="both"/>
              <w:rPr>
                <w:rFonts w:eastAsia="Times New Roman" w:cs="Calibri"/>
                <w:noProof/>
              </w:rPr>
            </w:pPr>
            <w:r>
              <w:rPr>
                <w:noProof/>
              </w:rPr>
              <w:t>T</w:t>
            </w:r>
          </w:p>
        </w:tc>
        <w:tc>
          <w:tcPr>
            <w:tcW w:w="1701" w:type="dxa"/>
            <w:shd w:val="clear" w:color="auto" w:fill="C4EFCE"/>
            <w:noWrap/>
            <w:vAlign w:val="center"/>
            <w:hideMark/>
          </w:tcPr>
          <w:p w14:paraId="0495A743" w14:textId="77777777" w:rsidR="00A15990" w:rsidRDefault="00686A62">
            <w:pPr>
              <w:pStyle w:val="P68B1DB1-Normal8"/>
              <w:spacing w:after="0" w:line="240" w:lineRule="auto"/>
              <w:jc w:val="both"/>
              <w:rPr>
                <w:rFonts w:eastAsia="Times New Roman" w:cs="Calibri"/>
                <w:noProof/>
              </w:rPr>
            </w:pPr>
            <w:r>
              <w:rPr>
                <w:noProof/>
              </w:rPr>
              <w:t xml:space="preserve">Capacitate suplimentară de producție de energie din surse regenerabile pentru autoconsum și pentru utilizare în comunitățile de energie din surse regenerabile din sectorul serviciilor private </w:t>
            </w:r>
          </w:p>
        </w:tc>
        <w:tc>
          <w:tcPr>
            <w:tcW w:w="1275" w:type="dxa"/>
            <w:shd w:val="clear" w:color="auto" w:fill="C4EFCE"/>
            <w:noWrap/>
            <w:vAlign w:val="center"/>
            <w:hideMark/>
          </w:tcPr>
          <w:p w14:paraId="7C3E76E6" w14:textId="77777777" w:rsidR="00A15990" w:rsidRDefault="00686A62">
            <w:pPr>
              <w:pStyle w:val="P68B1DB1-Normal8"/>
              <w:spacing w:after="0" w:line="240" w:lineRule="auto"/>
              <w:jc w:val="both"/>
              <w:rPr>
                <w:rFonts w:eastAsia="Times New Roman" w:cs="Calibri"/>
                <w:noProof/>
              </w:rPr>
            </w:pPr>
            <w:r>
              <w:rPr>
                <w:noProof/>
              </w:rPr>
              <w:t> </w:t>
            </w:r>
          </w:p>
        </w:tc>
        <w:tc>
          <w:tcPr>
            <w:tcW w:w="993" w:type="dxa"/>
            <w:shd w:val="clear" w:color="auto" w:fill="C4EFCE"/>
            <w:noWrap/>
            <w:vAlign w:val="center"/>
            <w:hideMark/>
          </w:tcPr>
          <w:p w14:paraId="0364534A" w14:textId="77777777" w:rsidR="00A15990" w:rsidRDefault="00686A62">
            <w:pPr>
              <w:pStyle w:val="P68B1DB1-Normal8"/>
              <w:spacing w:after="0" w:line="240" w:lineRule="auto"/>
              <w:jc w:val="center"/>
              <w:rPr>
                <w:rFonts w:eastAsia="Times New Roman" w:cs="Calibri"/>
                <w:noProof/>
              </w:rPr>
            </w:pPr>
            <w:r>
              <w:rPr>
                <w:noProof/>
              </w:rPr>
              <w:t>MW</w:t>
            </w:r>
          </w:p>
        </w:tc>
        <w:tc>
          <w:tcPr>
            <w:tcW w:w="850" w:type="dxa"/>
            <w:shd w:val="clear" w:color="auto" w:fill="C4EFCE"/>
            <w:noWrap/>
            <w:vAlign w:val="center"/>
            <w:hideMark/>
          </w:tcPr>
          <w:p w14:paraId="3ADBE991" w14:textId="77777777" w:rsidR="00A15990" w:rsidRDefault="00686A62">
            <w:pPr>
              <w:pStyle w:val="P68B1DB1-Normal8"/>
              <w:spacing w:after="0" w:line="240" w:lineRule="auto"/>
              <w:jc w:val="both"/>
              <w:rPr>
                <w:rFonts w:eastAsia="Times New Roman" w:cs="Calibri"/>
                <w:noProof/>
              </w:rPr>
            </w:pPr>
            <w:r>
              <w:rPr>
                <w:noProof/>
              </w:rPr>
              <w:t>0</w:t>
            </w:r>
          </w:p>
        </w:tc>
        <w:tc>
          <w:tcPr>
            <w:tcW w:w="992" w:type="dxa"/>
            <w:shd w:val="clear" w:color="auto" w:fill="C4EFCE"/>
            <w:noWrap/>
            <w:vAlign w:val="center"/>
            <w:hideMark/>
          </w:tcPr>
          <w:p w14:paraId="219C358C" w14:textId="77777777" w:rsidR="00A15990" w:rsidRDefault="00686A62">
            <w:pPr>
              <w:pStyle w:val="P68B1DB1-Normal8"/>
              <w:spacing w:after="0" w:line="240" w:lineRule="auto"/>
              <w:jc w:val="both"/>
              <w:rPr>
                <w:rFonts w:eastAsia="Times New Roman" w:cs="Calibri"/>
                <w:noProof/>
              </w:rPr>
            </w:pPr>
            <w:r>
              <w:rPr>
                <w:noProof/>
              </w:rPr>
              <w:t>30</w:t>
            </w:r>
          </w:p>
        </w:tc>
        <w:tc>
          <w:tcPr>
            <w:tcW w:w="426" w:type="dxa"/>
            <w:shd w:val="clear" w:color="auto" w:fill="C4EFCE"/>
            <w:noWrap/>
            <w:vAlign w:val="center"/>
            <w:hideMark/>
          </w:tcPr>
          <w:p w14:paraId="00BEF57C" w14:textId="77777777" w:rsidR="00A15990" w:rsidRDefault="00686A62">
            <w:pPr>
              <w:pStyle w:val="P68B1DB1-Normal8"/>
              <w:spacing w:after="0" w:line="240" w:lineRule="auto"/>
              <w:jc w:val="both"/>
              <w:rPr>
                <w:rFonts w:eastAsia="Times New Roman" w:cs="Calibri"/>
                <w:noProof/>
              </w:rPr>
            </w:pPr>
            <w:r>
              <w:rPr>
                <w:noProof/>
              </w:rPr>
              <w:t>TRIMESTRUL 4</w:t>
            </w:r>
          </w:p>
        </w:tc>
        <w:tc>
          <w:tcPr>
            <w:tcW w:w="708" w:type="dxa"/>
            <w:shd w:val="clear" w:color="auto" w:fill="C4EFCE"/>
            <w:noWrap/>
            <w:vAlign w:val="center"/>
            <w:hideMark/>
          </w:tcPr>
          <w:p w14:paraId="38DC3D4F" w14:textId="77777777" w:rsidR="00A15990" w:rsidRDefault="00686A62">
            <w:pPr>
              <w:pStyle w:val="P68B1DB1-Normal8"/>
              <w:spacing w:after="0" w:line="240" w:lineRule="auto"/>
              <w:jc w:val="both"/>
              <w:rPr>
                <w:rFonts w:eastAsia="Times New Roman" w:cs="Calibri"/>
                <w:noProof/>
              </w:rPr>
            </w:pPr>
            <w:r>
              <w:rPr>
                <w:noProof/>
              </w:rPr>
              <w:t>2025</w:t>
            </w:r>
          </w:p>
        </w:tc>
        <w:tc>
          <w:tcPr>
            <w:tcW w:w="3969" w:type="dxa"/>
            <w:shd w:val="clear" w:color="auto" w:fill="C4EFCE"/>
            <w:vAlign w:val="center"/>
            <w:hideMark/>
          </w:tcPr>
          <w:p w14:paraId="7428E06E" w14:textId="77777777" w:rsidR="00A15990" w:rsidRDefault="00686A62">
            <w:pPr>
              <w:pStyle w:val="P68B1DB1-Normal8"/>
              <w:spacing w:after="0" w:line="240" w:lineRule="auto"/>
              <w:jc w:val="both"/>
              <w:rPr>
                <w:rFonts w:eastAsia="Times New Roman" w:cs="Calibri"/>
                <w:noProof/>
              </w:rPr>
            </w:pPr>
            <w:r>
              <w:rPr>
                <w:noProof/>
              </w:rPr>
              <w:t>Capacitate suplimentară de producție de energie din surse regenerabile (cum ar fi panourile fotovoltaice și bateriile, întrucât această ultimă tehnologie ajunge la maturitate) pentru consumul propriu și pentru utilizarea în comunitățile de energie din surse regenerabile din sectorul serviciilor private.</w:t>
            </w:r>
          </w:p>
        </w:tc>
      </w:tr>
    </w:tbl>
    <w:p w14:paraId="557E1674" w14:textId="77777777" w:rsidR="00A15990" w:rsidRDefault="00A15990">
      <w:pPr>
        <w:spacing w:before="40" w:after="0" w:line="259" w:lineRule="auto"/>
        <w:jc w:val="both"/>
        <w:rPr>
          <w:rFonts w:ascii="Times New Roman" w:eastAsiaTheme="minorEastAsia" w:hAnsi="Times New Roman" w:cs="Times New Roman"/>
          <w:noProof/>
          <w:sz w:val="24"/>
        </w:rPr>
      </w:pPr>
    </w:p>
    <w:p w14:paraId="61304717" w14:textId="77777777" w:rsidR="00A15990" w:rsidRDefault="00A15990">
      <w:pPr>
        <w:spacing w:before="40" w:after="0" w:line="259" w:lineRule="auto"/>
        <w:jc w:val="both"/>
        <w:rPr>
          <w:rFonts w:ascii="Times New Roman" w:eastAsiaTheme="minorEastAsia" w:hAnsi="Times New Roman" w:cs="Times New Roman"/>
          <w:noProof/>
          <w:sz w:val="24"/>
        </w:rPr>
      </w:pPr>
    </w:p>
    <w:p w14:paraId="2EA2F20F" w14:textId="77777777" w:rsidR="00A15990" w:rsidRDefault="00A15990">
      <w:pPr>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264"/>
          <w:headerReference w:type="default" r:id="rId265"/>
          <w:footerReference w:type="even" r:id="rId266"/>
          <w:footerReference w:type="default" r:id="rId267"/>
          <w:headerReference w:type="first" r:id="rId268"/>
          <w:footerReference w:type="first" r:id="rId269"/>
          <w:pgSz w:w="16839" w:h="11907" w:orient="landscape"/>
          <w:pgMar w:top="1134" w:right="1134" w:bottom="1134" w:left="1134" w:header="567" w:footer="567" w:gutter="0"/>
          <w:cols w:space="720"/>
          <w:docGrid w:linePitch="360"/>
        </w:sectPr>
      </w:pPr>
    </w:p>
    <w:p w14:paraId="3C2CFB1F"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N. COMPONENTA 14: Hidrogen și surse regenerabile de energie</w:t>
      </w:r>
    </w:p>
    <w:p w14:paraId="24AAADA7" w14:textId="77777777" w:rsidR="00A15990" w:rsidRDefault="00686A62">
      <w:pPr>
        <w:pStyle w:val="P68B1DB1-Normal4"/>
        <w:spacing w:before="40" w:after="0" w:line="259" w:lineRule="auto"/>
        <w:jc w:val="both"/>
        <w:rPr>
          <w:rFonts w:eastAsiaTheme="minorEastAsia" w:cs="Times New Roman"/>
          <w:noProof/>
        </w:rPr>
      </w:pPr>
      <w:r>
        <w:rPr>
          <w:noProof/>
        </w:rPr>
        <w:t>Portugalia și-a luat angajamentul de a atinge neutralitatea emisiilor de dioxid de carbon până în 2050, poziționând țara printre cei care preiau rolul de lider în lupta împotriva schimbărilor climatice în temeiul Acordului de la Paris. Foaia de parcurs privind neutralitatea emisiilor de dioxid de carbon 2050 (RNC 2050) stabilește drept obiective de decarbonizare care trebuie atinse o reducere a emisiilor cu peste 85 % în comparație cu emisiile din 2005 și o capacitate de sechestrare a carbonului de 13 000 000 de tone. Componenta abordează așa-numitele sectoare greu de redus, prin promovarea utilizării hidrogenului din surse regenerabile.</w:t>
      </w:r>
    </w:p>
    <w:p w14:paraId="42D4ADE5" w14:textId="77777777" w:rsidR="00A15990" w:rsidRDefault="00686A62">
      <w:pPr>
        <w:pStyle w:val="P68B1DB1-Normal4"/>
        <w:spacing w:before="40" w:after="0" w:line="259" w:lineRule="auto"/>
        <w:jc w:val="both"/>
        <w:rPr>
          <w:rFonts w:eastAsiaTheme="minorEastAsia" w:cs="Times New Roman"/>
          <w:noProof/>
        </w:rPr>
      </w:pPr>
      <w:r>
        <w:rPr>
          <w:noProof/>
        </w:rPr>
        <w:t>Obiectivele componentei sunt de a promova tranziția energetică și decarbonizarea industriei și a transporturilor, cu un accent puternic pe producția de hidrogen din surse regenerabile și de alte gaze din surse regenerabile. În cazul regiunilor autonome, accentul se pune pe utilizarea energiei din surse regenerabile (geotermală, eoliană, fotovoltaică și hidroelectrică) și pe stocare. Această componentă este esențială pentru reducerea dependenței energetice naționale prin producerea de energie din surse locale, pentru îmbunătățirea balanței comerciale și pentru sporirea rezilienței economiei interne.</w:t>
      </w:r>
    </w:p>
    <w:p w14:paraId="741FF5F1" w14:textId="77777777" w:rsidR="00A15990" w:rsidRDefault="00686A62">
      <w:pPr>
        <w:pStyle w:val="P68B1DB1-Normal4"/>
        <w:spacing w:before="40" w:after="0" w:line="259" w:lineRule="auto"/>
        <w:jc w:val="both"/>
        <w:rPr>
          <w:rFonts w:eastAsiaTheme="minorEastAsia" w:cs="Times New Roman"/>
          <w:noProof/>
        </w:rPr>
      </w:pPr>
      <w:r>
        <w:rPr>
          <w:noProof/>
        </w:rPr>
        <w:t>Componenta sprijină abordarea recomandării specifice fiecărei țări de a concentra investițiile asupra tranziției climatice, cu accent pe producția de energie din surse regenerabile (recomandările specifice fiecărei țări 3 2019 și 2020).</w:t>
      </w:r>
    </w:p>
    <w:p w14:paraId="092B10E5"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5433DBDC"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N.1. Descrierea reformelor și a investițiilor pentru sprijinul financiar nerambursabil</w:t>
      </w:r>
    </w:p>
    <w:p w14:paraId="64866960"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Reforma CC 29: Strategia națională privind hidrogenul (EN-H2)</w:t>
      </w:r>
    </w:p>
    <w:p w14:paraId="13857BA4" w14:textId="77777777" w:rsidR="00A15990" w:rsidRDefault="00686A62">
      <w:pPr>
        <w:pStyle w:val="P68B1DB1-Normal4"/>
        <w:spacing w:before="40" w:after="0" w:line="259" w:lineRule="auto"/>
        <w:jc w:val="both"/>
        <w:rPr>
          <w:rFonts w:eastAsiaTheme="minorEastAsia" w:cs="Times New Roman"/>
          <w:noProof/>
        </w:rPr>
      </w:pPr>
      <w:r>
        <w:rPr>
          <w:noProof/>
        </w:rPr>
        <w:t>Obiectivul măsurii este de a introduce un element de stimulare și stabilitate pentru sectorul energetic, promovând introducerea treptată a hidrogenului din surse regenerabile ca pilon durabil al unei strategii mai cuprinzătoare de tranziție către o economie decarbonizată. Această strategie definește rolul actual și viitor al hidrogenului în sistemul energetic și propune un set de măsuri și obiective pentru integrarea hidrogenului în diferitele sectoare ale economiei. Aceasta include, de asemenea, crearea condițiilor necesare pentru această schimbare, inclusiv legislația și reglementările, siguranța, standardele, inovarea și dezvoltarea, precum și finanțarea, printre altele. Măsura vizează reglementarea modificată a Rețelei Naționale de Transport al Gazelor și Reglementarea Rețelei Naționale de Distribuire a Gazelor, care urmează să fie aprobate de Direcția Generală Energie și Geologie. Regulamentul modificat permite stabilirea condițiilor pentru racordarea la infrastructurile de transport al gazelor, în special pentru injectarea gazelor de origine din surse regenerabile, inclusiv a hidrogenului din surse regenerabile și a gazelor cu conținut scăzut de carbon, precum și stabilirea procentelor minime și maxime de injectare a acestor gaze în rețele. În plus, regulamentul modificat include revizuirile necesare ale standardelor tehnice care asigură calitatea serviciului și utilizarea în condiții de siguranță a acestor infrastructuri pentru toți utilizatorii.</w:t>
      </w:r>
    </w:p>
    <w:p w14:paraId="02E50E69" w14:textId="77777777" w:rsidR="00A15990" w:rsidRDefault="00686A62">
      <w:pPr>
        <w:pStyle w:val="P68B1DB1-Normal4"/>
        <w:spacing w:before="40" w:after="0" w:line="259" w:lineRule="auto"/>
        <w:jc w:val="both"/>
        <w:rPr>
          <w:rFonts w:eastAsiaTheme="minorEastAsia" w:cs="Times New Roman"/>
          <w:noProof/>
        </w:rPr>
      </w:pPr>
      <w:r>
        <w:rPr>
          <w:noProof/>
        </w:rPr>
        <w:t>Punerea în aplicare a reformei se finalizează până la 30 septembrie 2021.</w:t>
      </w:r>
    </w:p>
    <w:p w14:paraId="28667EBB"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Investiții TC-C14-I01: Hidrogen și gaze din surse regenerabile</w:t>
      </w:r>
    </w:p>
    <w:p w14:paraId="7F188255" w14:textId="77777777" w:rsidR="00A15990" w:rsidRDefault="00686A62">
      <w:pPr>
        <w:pStyle w:val="P68B1DB1-Normal4"/>
        <w:spacing w:before="40" w:after="0" w:line="259" w:lineRule="auto"/>
        <w:jc w:val="both"/>
        <w:rPr>
          <w:rFonts w:eastAsiaTheme="minorEastAsia" w:cs="Times New Roman"/>
          <w:noProof/>
        </w:rPr>
      </w:pPr>
      <w:r>
        <w:rPr>
          <w:noProof/>
        </w:rPr>
        <w:t>Obiectivul măsurii este de a sprijini proiectele private pentru producția de hidrogen din surse regenerabile și de alte gaze de origine din surse regenerabile pentru consumul propriu sau injectarea în rețea.</w:t>
      </w:r>
    </w:p>
    <w:p w14:paraId="6A4CE2C6" w14:textId="77777777" w:rsidR="00A15990" w:rsidRDefault="00686A62">
      <w:pPr>
        <w:pStyle w:val="P68B1DB1-Normal4"/>
        <w:spacing w:before="40" w:after="0" w:line="259" w:lineRule="auto"/>
        <w:jc w:val="both"/>
        <w:rPr>
          <w:rFonts w:eastAsiaTheme="minorEastAsia" w:cs="Times New Roman"/>
          <w:noProof/>
        </w:rPr>
      </w:pPr>
      <w:r>
        <w:rPr>
          <w:noProof/>
        </w:rPr>
        <w:t xml:space="preserve">Investițiile constau în acțiuni de favorizare a producției, stocării, transportului și distribuției de gaze din surse regenerabile, cu scopul de a crește contribuția gazelor din surse regenerabile la consumul de energie, de a reduce emisiile de gaze cu efect de seră, de a reduce dependența energetică și de a îmbunătăți securitatea aprovizionării cu energie. Sunt sprijinite diverse aplicații, cum ar fi utilizarea gazelor din surse regenerabile pentru transport și injectarea de gaze din surse regenerabile în rețeaua de gaze naturale. </w:t>
      </w:r>
    </w:p>
    <w:p w14:paraId="22A4B55A" w14:textId="77777777" w:rsidR="00A15990" w:rsidRDefault="00686A62">
      <w:pPr>
        <w:pStyle w:val="P68B1DB1-Normal4"/>
        <w:spacing w:before="40" w:after="0" w:line="259" w:lineRule="auto"/>
        <w:jc w:val="both"/>
        <w:rPr>
          <w:rFonts w:eastAsiaTheme="minorEastAsia" w:cs="Times New Roman"/>
          <w:noProof/>
        </w:rPr>
      </w:pPr>
      <w:r>
        <w:rPr>
          <w:noProof/>
        </w:rPr>
        <w:t>Producția de gaze din surse regenerabile, cum ar fi hidrogenul din surse regenerabile sau biometanul, exclusiv din surse regenerabile de energie, poate utiliza o serie de tehnologii, cum ar fi: Electroliza; Procese termochimice și hidrotermice; Procese biologice (biophotoliză și fermentație); Îmbogățirea cu biogaz prin digestia anaerobă a materialelor din biomasă (cu excepția producției de biogaz); și metanarea (hidrogen regenerabil combinat cu dioxid de carbon reciclat).</w:t>
      </w:r>
    </w:p>
    <w:p w14:paraId="23CDF4FF" w14:textId="348261AB" w:rsidR="00A15990" w:rsidRDefault="00686A62">
      <w:pPr>
        <w:pStyle w:val="P68B1DB1-Normal4"/>
        <w:spacing w:before="40" w:after="0" w:line="259" w:lineRule="auto"/>
        <w:jc w:val="both"/>
        <w:rPr>
          <w:rFonts w:eastAsiaTheme="minorEastAsia" w:cs="Times New Roman"/>
          <w:noProof/>
        </w:rPr>
      </w:pPr>
      <w:r>
        <w:rPr>
          <w:noProof/>
        </w:rPr>
        <w:t>Investițiile trebuie să pună un accent foarte specific și să vizeze creșterea capacității instalate pentru producția de hidrogen din surse regenerabile și de alte gaze din surse regenerabile, inclusiv capacitatea instalată în electrolizoare pentru producția de hidrogen din surse regenerabile. Proiectul este pus în aplicare prin intermediul unor cereri de oferte deschise și nediscriminatorii, cu scopul de a sprijini proiecte cu o sumă maximă de 15 000 000 EUR pe proiect.</w:t>
      </w:r>
    </w:p>
    <w:p w14:paraId="2F3C9010" w14:textId="0A561EF2"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martie 2026.</w:t>
      </w:r>
    </w:p>
    <w:p w14:paraId="416F7CD8"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Investiția TC-C14-i02-RAM: Potențialul de energie electrică din surse regenerabile în Arhipelagul Madeira</w:t>
      </w:r>
    </w:p>
    <w:p w14:paraId="6D154BCC"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măsurii este de a sprijini producerea, stocarea, transportul și distribuția energiei din surse regenerabile. Proiectele incluse în această investiție permit creșterea ponderii energiei electrice din surse regenerabile care va fi disponibilă pe fiecare insulă. Această investiție contribuie la strategia de decarbonizare a producției de energie electrică, sporind reziliența economiei interne. </w:t>
      </w:r>
    </w:p>
    <w:p w14:paraId="6509CF70" w14:textId="77777777" w:rsidR="00A15990" w:rsidRDefault="00686A62">
      <w:pPr>
        <w:pStyle w:val="P68B1DB1-Normal4"/>
        <w:spacing w:before="40" w:after="0" w:line="259" w:lineRule="auto"/>
        <w:jc w:val="both"/>
        <w:rPr>
          <w:rFonts w:eastAsiaTheme="minorEastAsia" w:cs="Times New Roman"/>
          <w:noProof/>
        </w:rPr>
      </w:pPr>
      <w:r>
        <w:rPr>
          <w:noProof/>
        </w:rPr>
        <w:t xml:space="preserve">Investiția constă în următoarele subinvestiții: </w:t>
      </w:r>
    </w:p>
    <w:p w14:paraId="4467DF1E" w14:textId="77777777"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Renovarea și renovarea completă a hidrocentralei hidroelectrice de apă Serra și a centralei hidroelectrice Calheta I, revitalizarea a 6,2 MW de energie instalată și creșterea capacității instalate prin adăugarea a 4 MW;</w:t>
      </w:r>
    </w:p>
    <w:p w14:paraId="5FE75D29" w14:textId="77777777"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Să crească capacitatea instalată în sistemele de stocare a bateriilor prin adăugarea unei capacități de stocare de cel puțin 21 MW/27MWh;</w:t>
      </w:r>
    </w:p>
    <w:p w14:paraId="49EDD0E0" w14:textId="77777777"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Să instaleze un nou compensator sincron cu o putere de cel puțin 15 MVAr;</w:t>
      </w:r>
    </w:p>
    <w:p w14:paraId="4372F931" w14:textId="77777777"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Creșterea capacității rețelei de energie electrică de a integra o nouă putere instalată de cel puțin 48 MW în sursele regenerabile de energie din sistemele de energie electrică (40 MW Madeira + 8 MW Porto Santo);</w:t>
      </w:r>
    </w:p>
    <w:p w14:paraId="2CCEA225" w14:textId="77777777"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Instalarea a 130 000 de contoare inteligente conectate și înlocuirea a 8 750 de puncte de iluminat stradal cu soluții cu consum redus de energie (inclusiv modernizarea gestionării iluminatului stradal).</w:t>
      </w:r>
    </w:p>
    <w:p w14:paraId="0E2F3B03" w14:textId="77777777"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decembrie 2025.</w:t>
      </w:r>
    </w:p>
    <w:p w14:paraId="44F7A633"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Investiții TC-C14-i03-RAA: Tranziția energetică în Azore</w:t>
      </w:r>
    </w:p>
    <w:p w14:paraId="6BAFD0A3" w14:textId="77777777" w:rsidR="00A15990" w:rsidRDefault="00686A62">
      <w:pPr>
        <w:pStyle w:val="P68B1DB1-Normal4"/>
        <w:spacing w:before="40" w:after="0" w:line="259" w:lineRule="auto"/>
        <w:jc w:val="both"/>
        <w:rPr>
          <w:rFonts w:eastAsiaTheme="minorEastAsia" w:cs="Times New Roman"/>
          <w:noProof/>
        </w:rPr>
      </w:pPr>
      <w:r>
        <w:rPr>
          <w:noProof/>
        </w:rPr>
        <w:t>Obiectivul măsurii este de a dezvolta o infrastructură de energie electrică de ultimă generație și de a pune în aplicare proiecte cu soluții tehnice inovatoare pentru a spori autonomia energetică. În Insulele Azore, producția de energie electrică din surse regenerabile reprezintă în prezent aproximativ 40 % din valoarea totală a regiunii, din care aproximativ 24 % provine din energie geotermală în cele mai mari două insule ale arhipelagului. Restul de 60 % din energia electrică este produsă din combustibili fosili, păcură și motorină, ceea ce reprezintă o factură anuală ridicată, nu numai din cauza valorii de achiziție a combustibililor, ci și din cauza transportului lor maritim de la continent la insule și a distribuției interinsulare. Acest tip de producție, pe lângă costurile ridicate asociate, reprezintă o dependență externă puternică care, în situații de criză națională sau internațională, poate pune în pericol capacitatea de a satisface nevoile energetice ale arhipelagului.</w:t>
      </w:r>
    </w:p>
    <w:p w14:paraId="52E3DC73" w14:textId="77777777" w:rsidR="00A15990" w:rsidRDefault="00686A62">
      <w:pPr>
        <w:pStyle w:val="P68B1DB1-Normal4"/>
        <w:spacing w:before="40" w:after="0" w:line="259" w:lineRule="auto"/>
        <w:jc w:val="both"/>
        <w:rPr>
          <w:rFonts w:eastAsiaTheme="minorEastAsia" w:cs="Times New Roman"/>
          <w:noProof/>
        </w:rPr>
      </w:pPr>
      <w:r>
        <w:rPr>
          <w:noProof/>
        </w:rPr>
        <w:t>Investiția constă în următoarele subinvestiții:</w:t>
      </w:r>
    </w:p>
    <w:p w14:paraId="0A8CFC86" w14:textId="77777777"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Creșterea capacității instalate de producere a energiei din surse regenerabile, în principal geotermale, cu 12 MW și revitalizarea centralei electrice geotermale deja instalate cu 5 MW;</w:t>
      </w:r>
    </w:p>
    <w:p w14:paraId="5DC064DD" w14:textId="24EDE81B"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Creșterea capacității instalate de producere a energiei electrice din surse regenerabile pe insula Corvo prin instalarea unui parc fotovoltaic și eolian cu 850 kW;</w:t>
      </w:r>
    </w:p>
    <w:p w14:paraId="38EA575D" w14:textId="77777777"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Instalarea de noi sisteme de stocare a energiei electrice pe insulele Santa Maria, São Jorge, Pico, Faial, Flores și Corvo cu cel puțin 20 MW;</w:t>
      </w:r>
    </w:p>
    <w:p w14:paraId="112665E7" w14:textId="55EE2481" w:rsidR="00A15990" w:rsidRDefault="00686A62">
      <w:pPr>
        <w:pStyle w:val="P68B1DB1-Normal4"/>
        <w:keepNext/>
        <w:numPr>
          <w:ilvl w:val="0"/>
          <w:numId w:val="31"/>
        </w:numPr>
        <w:spacing w:before="40" w:after="160" w:line="259" w:lineRule="auto"/>
        <w:contextualSpacing/>
        <w:jc w:val="both"/>
        <w:rPr>
          <w:rFonts w:eastAsiaTheme="minorEastAsia" w:cs="Times New Roman"/>
          <w:noProof/>
        </w:rPr>
      </w:pPr>
      <w:r>
        <w:rPr>
          <w:noProof/>
        </w:rPr>
        <w:t>Instalarea de noi unități mici de producere a energiei electrice fotovoltaice pentru producția și consumul descentralizate, pentru un echivalent total de 11,2 MW.</w:t>
      </w:r>
    </w:p>
    <w:p w14:paraId="091FFD9A" w14:textId="64D57B8C"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30 iunie 2026.</w:t>
      </w:r>
    </w:p>
    <w:p w14:paraId="151D3F34" w14:textId="77777777" w:rsidR="00A15990" w:rsidRDefault="00A15990">
      <w:pPr>
        <w:spacing w:before="40" w:after="0" w:line="259" w:lineRule="auto"/>
        <w:jc w:val="both"/>
        <w:rPr>
          <w:rFonts w:ascii="Times New Roman" w:eastAsiaTheme="minorEastAsia" w:hAnsi="Times New Roman" w:cs="Times New Roman"/>
          <w:noProof/>
          <w:sz w:val="24"/>
        </w:rPr>
        <w:sectPr w:rsidR="00A15990" w:rsidSect="00E00EDD">
          <w:headerReference w:type="even" r:id="rId270"/>
          <w:headerReference w:type="default" r:id="rId271"/>
          <w:footerReference w:type="even" r:id="rId272"/>
          <w:footerReference w:type="default" r:id="rId273"/>
          <w:headerReference w:type="first" r:id="rId274"/>
          <w:footerReference w:type="first" r:id="rId275"/>
          <w:pgSz w:w="11907" w:h="16839"/>
          <w:pgMar w:top="1134" w:right="1134" w:bottom="1134" w:left="1134" w:header="567" w:footer="567" w:gutter="0"/>
          <w:cols w:space="720"/>
          <w:docGrid w:linePitch="360"/>
        </w:sectPr>
      </w:pPr>
    </w:p>
    <w:p w14:paraId="1E0E5F58"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N.2. Obiective de etapă, ținte, indicatori și calendar pentru monitorizarea și punerea în aplicare a sprijinului financiar nerambursabil</w:t>
      </w:r>
    </w:p>
    <w:p w14:paraId="286C8850" w14:textId="77777777" w:rsidR="00A15990" w:rsidRDefault="00A15990">
      <w:pPr>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709"/>
        <w:gridCol w:w="567"/>
        <w:gridCol w:w="708"/>
        <w:gridCol w:w="3969"/>
      </w:tblGrid>
      <w:tr w:rsidR="00A15990" w14:paraId="3CFBE898" w14:textId="77777777">
        <w:trPr>
          <w:trHeight w:val="830"/>
          <w:tblHeader/>
        </w:trPr>
        <w:tc>
          <w:tcPr>
            <w:tcW w:w="1135" w:type="dxa"/>
            <w:vMerge w:val="restart"/>
            <w:shd w:val="clear" w:color="auto" w:fill="BDD6EE"/>
            <w:vAlign w:val="center"/>
            <w:hideMark/>
          </w:tcPr>
          <w:p w14:paraId="66B63AA1"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77F41CF5"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05EA6259" w14:textId="256BDF7A" w:rsidR="00A15990" w:rsidRDefault="008D37D6">
            <w:pPr>
              <w:pStyle w:val="P68B1DB1-Normal6"/>
              <w:spacing w:after="0" w:line="240" w:lineRule="auto"/>
              <w:jc w:val="center"/>
              <w:rPr>
                <w:rFonts w:ascii="Calibri" w:eastAsia="Times New Roman" w:hAnsi="Calibri" w:cs="Calibri"/>
                <w:noProof/>
                <w:sz w:val="16"/>
              </w:rPr>
            </w:pPr>
            <w:r>
              <w:rPr>
                <w:noProof/>
              </w:rPr>
              <w:t>Jalon</w:t>
            </w:r>
            <w:r w:rsidR="00686A62">
              <w:rPr>
                <w:noProof/>
              </w:rPr>
              <w:t>/</w:t>
            </w:r>
          </w:p>
          <w:p w14:paraId="6B07E77A" w14:textId="0BCBAF46" w:rsidR="00A15990" w:rsidRDefault="00686A62">
            <w:pPr>
              <w:pStyle w:val="P68B1DB1-Normal6"/>
              <w:spacing w:after="0" w:line="240" w:lineRule="auto"/>
              <w:jc w:val="center"/>
              <w:rPr>
                <w:rFonts w:ascii="Calibri" w:eastAsia="Times New Roman" w:hAnsi="Calibri" w:cs="Calibri"/>
                <w:noProof/>
                <w:sz w:val="16"/>
              </w:rPr>
            </w:pPr>
            <w:r>
              <w:rPr>
                <w:noProof/>
              </w:rPr>
              <w:t>Țintă</w:t>
            </w:r>
          </w:p>
        </w:tc>
        <w:tc>
          <w:tcPr>
            <w:tcW w:w="1701" w:type="dxa"/>
            <w:vMerge w:val="restart"/>
            <w:shd w:val="clear" w:color="auto" w:fill="BDD6EE"/>
            <w:vAlign w:val="center"/>
            <w:hideMark/>
          </w:tcPr>
          <w:p w14:paraId="2948128E" w14:textId="77777777" w:rsidR="00A15990" w:rsidRDefault="00686A62">
            <w:pPr>
              <w:pStyle w:val="P68B1DB1-Normal6"/>
              <w:spacing w:after="0" w:line="240" w:lineRule="auto"/>
              <w:jc w:val="center"/>
              <w:rPr>
                <w:rFonts w:ascii="Calibri" w:eastAsia="Times New Roman" w:hAnsi="Calibri" w:cs="Calibri"/>
                <w:noProof/>
                <w:sz w:val="16"/>
              </w:rPr>
            </w:pPr>
            <w:r>
              <w:rPr>
                <w:noProof/>
              </w:rPr>
              <w:t>Nume</w:t>
            </w:r>
          </w:p>
        </w:tc>
        <w:tc>
          <w:tcPr>
            <w:tcW w:w="1275" w:type="dxa"/>
            <w:vMerge w:val="restart"/>
            <w:shd w:val="clear" w:color="auto" w:fill="BDD6EE"/>
            <w:vAlign w:val="center"/>
            <w:hideMark/>
          </w:tcPr>
          <w:p w14:paraId="4CFCA654" w14:textId="77777777" w:rsidR="00A15990" w:rsidRDefault="00686A62">
            <w:pPr>
              <w:pStyle w:val="P68B1DB1-Normal6"/>
              <w:spacing w:after="0" w:line="240" w:lineRule="auto"/>
              <w:jc w:val="center"/>
              <w:rPr>
                <w:rFonts w:ascii="Calibri" w:eastAsia="Times New Roman" w:hAnsi="Calibri" w:cs="Calibri"/>
                <w:noProof/>
                <w:sz w:val="16"/>
              </w:rPr>
            </w:pPr>
            <w:r>
              <w:rPr>
                <w:noProof/>
              </w:rPr>
              <w:t>Indicatori calitativi (pentru obiectivele de etapă)</w:t>
            </w:r>
          </w:p>
        </w:tc>
        <w:tc>
          <w:tcPr>
            <w:tcW w:w="2694" w:type="dxa"/>
            <w:gridSpan w:val="3"/>
            <w:shd w:val="clear" w:color="auto" w:fill="BDD6EE"/>
            <w:vAlign w:val="center"/>
            <w:hideMark/>
          </w:tcPr>
          <w:p w14:paraId="1385CF11"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0F657DE5"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439B6EF1" w14:textId="77777777" w:rsidR="00A15990" w:rsidRDefault="00686A62">
            <w:pPr>
              <w:pStyle w:val="P68B1DB1-Normal6"/>
              <w:spacing w:after="0" w:line="240" w:lineRule="auto"/>
              <w:jc w:val="center"/>
              <w:rPr>
                <w:rFonts w:ascii="Calibri" w:eastAsia="Times New Roman" w:hAnsi="Calibri" w:cs="Calibri"/>
                <w:noProof/>
                <w:sz w:val="16"/>
              </w:rPr>
            </w:pPr>
            <w:r>
              <w:rPr>
                <w:noProof/>
              </w:rPr>
              <w:t>Descrierea și definiția clară a fiecărui obiectiv de etapă și a fiecărei ținte</w:t>
            </w:r>
          </w:p>
        </w:tc>
      </w:tr>
      <w:tr w:rsidR="00A15990" w14:paraId="55300FC2" w14:textId="77777777">
        <w:trPr>
          <w:trHeight w:val="430"/>
          <w:tblHeader/>
        </w:trPr>
        <w:tc>
          <w:tcPr>
            <w:tcW w:w="1135" w:type="dxa"/>
            <w:vMerge/>
            <w:vAlign w:val="center"/>
            <w:hideMark/>
          </w:tcPr>
          <w:p w14:paraId="2716EF47"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35E64B63" w14:textId="77777777" w:rsidR="00A15990" w:rsidRDefault="00A15990">
            <w:pPr>
              <w:spacing w:after="0" w:line="240" w:lineRule="auto"/>
              <w:rPr>
                <w:rFonts w:ascii="Calibri" w:eastAsia="Times New Roman" w:hAnsi="Calibri" w:cs="Calibri"/>
                <w:b/>
                <w:noProof/>
                <w:sz w:val="16"/>
              </w:rPr>
            </w:pPr>
          </w:p>
        </w:tc>
        <w:tc>
          <w:tcPr>
            <w:tcW w:w="1134" w:type="dxa"/>
            <w:vMerge/>
            <w:shd w:val="clear" w:color="auto" w:fill="BDD6EE"/>
            <w:vAlign w:val="center"/>
            <w:hideMark/>
          </w:tcPr>
          <w:p w14:paraId="5EE6F193" w14:textId="4E289509" w:rsidR="00A15990" w:rsidRDefault="00A15990">
            <w:pPr>
              <w:spacing w:after="0" w:line="240" w:lineRule="auto"/>
              <w:jc w:val="center"/>
              <w:rPr>
                <w:rFonts w:ascii="Calibri" w:eastAsia="Times New Roman" w:hAnsi="Calibri" w:cs="Calibri"/>
                <w:b/>
                <w:noProof/>
                <w:sz w:val="16"/>
              </w:rPr>
            </w:pPr>
          </w:p>
        </w:tc>
        <w:tc>
          <w:tcPr>
            <w:tcW w:w="1701" w:type="dxa"/>
            <w:vMerge/>
            <w:vAlign w:val="center"/>
            <w:hideMark/>
          </w:tcPr>
          <w:p w14:paraId="5CCE81B9" w14:textId="77777777" w:rsidR="00A15990" w:rsidRDefault="00A15990">
            <w:pPr>
              <w:spacing w:after="0" w:line="240" w:lineRule="auto"/>
              <w:rPr>
                <w:rFonts w:ascii="Calibri" w:eastAsia="Times New Roman" w:hAnsi="Calibri" w:cs="Calibri"/>
                <w:b/>
                <w:noProof/>
                <w:sz w:val="16"/>
              </w:rPr>
            </w:pPr>
          </w:p>
        </w:tc>
        <w:tc>
          <w:tcPr>
            <w:tcW w:w="1275" w:type="dxa"/>
            <w:vMerge/>
            <w:vAlign w:val="center"/>
            <w:hideMark/>
          </w:tcPr>
          <w:p w14:paraId="79537091" w14:textId="77777777" w:rsidR="00A15990" w:rsidRDefault="00A15990">
            <w:pPr>
              <w:spacing w:after="0" w:line="240" w:lineRule="auto"/>
              <w:rPr>
                <w:rFonts w:ascii="Calibri" w:eastAsia="Times New Roman" w:hAnsi="Calibri" w:cs="Calibri"/>
                <w:b/>
                <w:noProof/>
                <w:sz w:val="16"/>
              </w:rPr>
            </w:pPr>
          </w:p>
        </w:tc>
        <w:tc>
          <w:tcPr>
            <w:tcW w:w="993" w:type="dxa"/>
            <w:shd w:val="clear" w:color="auto" w:fill="BDD6EE"/>
            <w:vAlign w:val="center"/>
            <w:hideMark/>
          </w:tcPr>
          <w:p w14:paraId="11126D21"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0AF1479C"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vAlign w:val="center"/>
            <w:hideMark/>
          </w:tcPr>
          <w:p w14:paraId="6554DD1F"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03B3E9F9"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2823A4AA"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7A70D1DD" w14:textId="77777777" w:rsidR="00A15990" w:rsidRDefault="00A15990">
            <w:pPr>
              <w:spacing w:after="0" w:line="240" w:lineRule="auto"/>
              <w:rPr>
                <w:rFonts w:ascii="Calibri" w:eastAsia="Times New Roman" w:hAnsi="Calibri" w:cs="Calibri"/>
                <w:b/>
                <w:noProof/>
                <w:sz w:val="16"/>
              </w:rPr>
            </w:pPr>
          </w:p>
        </w:tc>
      </w:tr>
      <w:tr w:rsidR="00A15990" w14:paraId="152A9A27" w14:textId="77777777">
        <w:trPr>
          <w:trHeight w:val="840"/>
        </w:trPr>
        <w:tc>
          <w:tcPr>
            <w:tcW w:w="1135" w:type="dxa"/>
            <w:shd w:val="clear" w:color="auto" w:fill="C4EFCE"/>
            <w:vAlign w:val="center"/>
            <w:hideMark/>
          </w:tcPr>
          <w:p w14:paraId="2FD964B6" w14:textId="77777777" w:rsidR="00A15990" w:rsidRDefault="00686A62">
            <w:pPr>
              <w:pStyle w:val="P68B1DB1-Normal7"/>
              <w:spacing w:after="0" w:line="240" w:lineRule="auto"/>
              <w:jc w:val="center"/>
              <w:rPr>
                <w:rFonts w:eastAsia="Times New Roman" w:cs="Calibri"/>
                <w:noProof/>
              </w:rPr>
            </w:pPr>
            <w:r>
              <w:rPr>
                <w:noProof/>
              </w:rPr>
              <w:t>14.1</w:t>
            </w:r>
          </w:p>
        </w:tc>
        <w:tc>
          <w:tcPr>
            <w:tcW w:w="1276" w:type="dxa"/>
            <w:shd w:val="clear" w:color="auto" w:fill="C4EFCE"/>
            <w:noWrap/>
            <w:vAlign w:val="center"/>
            <w:hideMark/>
          </w:tcPr>
          <w:p w14:paraId="41F96EC9" w14:textId="77777777" w:rsidR="00A15990" w:rsidRDefault="00686A62">
            <w:pPr>
              <w:pStyle w:val="P68B1DB1-Normal8"/>
              <w:spacing w:after="0" w:line="240" w:lineRule="auto"/>
              <w:jc w:val="center"/>
              <w:rPr>
                <w:rFonts w:eastAsia="Times New Roman" w:cs="Calibri"/>
                <w:noProof/>
              </w:rPr>
            </w:pPr>
            <w:r>
              <w:rPr>
                <w:noProof/>
              </w:rPr>
              <w:t>TC-C14-r29</w:t>
            </w:r>
          </w:p>
        </w:tc>
        <w:tc>
          <w:tcPr>
            <w:tcW w:w="1134" w:type="dxa"/>
            <w:shd w:val="clear" w:color="auto" w:fill="C4EFCE"/>
            <w:noWrap/>
            <w:vAlign w:val="center"/>
            <w:hideMark/>
          </w:tcPr>
          <w:p w14:paraId="191BF89A"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611CEEC8" w14:textId="77777777" w:rsidR="00A15990" w:rsidRDefault="00686A62">
            <w:pPr>
              <w:pStyle w:val="P68B1DB1-Normal8"/>
              <w:spacing w:after="0" w:line="240" w:lineRule="auto"/>
              <w:jc w:val="center"/>
              <w:rPr>
                <w:rFonts w:eastAsia="Times New Roman" w:cs="Calibri"/>
                <w:noProof/>
              </w:rPr>
            </w:pPr>
            <w:r>
              <w:rPr>
                <w:noProof/>
              </w:rPr>
              <w:t>Intrarea în vigoare a Regulamentului privind Rețeaua Națională de Transport al Gazelor și a Reglementării Rețelei Naționale de Distribuire a Gazelor</w:t>
            </w:r>
          </w:p>
        </w:tc>
        <w:tc>
          <w:tcPr>
            <w:tcW w:w="1275" w:type="dxa"/>
            <w:shd w:val="clear" w:color="auto" w:fill="C4EFCE"/>
            <w:noWrap/>
            <w:vAlign w:val="center"/>
            <w:hideMark/>
          </w:tcPr>
          <w:p w14:paraId="2E014965" w14:textId="77777777" w:rsidR="00A15990" w:rsidRDefault="00686A62">
            <w:pPr>
              <w:pStyle w:val="P68B1DB1-Normal8"/>
              <w:spacing w:after="0" w:line="240" w:lineRule="auto"/>
              <w:jc w:val="center"/>
              <w:rPr>
                <w:rFonts w:eastAsia="Times New Roman" w:cs="Calibri"/>
                <w:noProof/>
              </w:rPr>
            </w:pPr>
            <w:r>
              <w:rPr>
                <w:noProof/>
              </w:rPr>
              <w:t>Intrarea în vigoare a Regulamentului privind Rețeaua Națională de Transport al Gazelor și a Reglementării Rețelei Naționale de Distribuire a Gazelor</w:t>
            </w:r>
          </w:p>
        </w:tc>
        <w:tc>
          <w:tcPr>
            <w:tcW w:w="993" w:type="dxa"/>
            <w:shd w:val="clear" w:color="auto" w:fill="C4EFCE"/>
            <w:noWrap/>
            <w:vAlign w:val="center"/>
            <w:hideMark/>
          </w:tcPr>
          <w:p w14:paraId="02698043"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46A3247"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1917A085"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A75C6D0"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5358F1C1"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004872AD" w14:textId="77777777" w:rsidR="00A15990" w:rsidRDefault="00686A62">
            <w:pPr>
              <w:pStyle w:val="P68B1DB1-Normal8"/>
              <w:spacing w:after="0" w:line="240" w:lineRule="auto"/>
              <w:jc w:val="both"/>
              <w:rPr>
                <w:rFonts w:eastAsia="Times New Roman" w:cs="Calibri"/>
                <w:noProof/>
              </w:rPr>
            </w:pPr>
            <w:r>
              <w:rPr>
                <w:noProof/>
              </w:rPr>
              <w:t xml:space="preserve">Intrarea în vigoare a Regulamentului modificat privind rețeaua națională de transport al gazelor naturale și a Regulamentului privind rețeaua națională de distribuție a gazelor naturale. Modificările aduse Regulamentului Rețelei Naționale de Transport al Gazelor și Reglementării Rețelei Naționale de Distribuire a Gazelor se aprobă de către Direcția Generală Energie și Geologie. </w:t>
            </w:r>
          </w:p>
          <w:p w14:paraId="163F4AF0" w14:textId="0CC86E9F" w:rsidR="00A15990" w:rsidRDefault="00686A62">
            <w:pPr>
              <w:pStyle w:val="P68B1DB1-Normal8"/>
              <w:spacing w:after="0" w:line="240" w:lineRule="auto"/>
              <w:jc w:val="both"/>
              <w:rPr>
                <w:rFonts w:eastAsia="Times New Roman" w:cs="Calibri"/>
                <w:noProof/>
              </w:rPr>
            </w:pPr>
            <w:r>
              <w:rPr>
                <w:noProof/>
              </w:rPr>
              <w:t>Regulamentele fac posibilă stabilirea condițiilor pentru racordarea la infrastructurile de transport al gazelor, în special pentru injectarea gazelor de origine regenerabilă, inclusiv a hidrogenului din surse regenerabile, precum și stabilirea procentelor minime și maxime de injectare a acestor gaze în rețele. În plus, acestea includ revizuirile necesare ale standardelor tehnice care asigură calitatea serviciului și utilizarea în condiții de siguranță a acestor infrastructuri pentru toți utilizatorii.</w:t>
            </w:r>
          </w:p>
        </w:tc>
      </w:tr>
      <w:tr w:rsidR="00A15990" w14:paraId="67119968" w14:textId="77777777">
        <w:trPr>
          <w:trHeight w:val="430"/>
        </w:trPr>
        <w:tc>
          <w:tcPr>
            <w:tcW w:w="1135" w:type="dxa"/>
            <w:shd w:val="clear" w:color="auto" w:fill="C4EFCE"/>
            <w:vAlign w:val="center"/>
            <w:hideMark/>
          </w:tcPr>
          <w:p w14:paraId="57E1192A" w14:textId="77777777" w:rsidR="00A15990" w:rsidRDefault="00686A62">
            <w:pPr>
              <w:pStyle w:val="P68B1DB1-Normal7"/>
              <w:spacing w:after="0" w:line="240" w:lineRule="auto"/>
              <w:jc w:val="center"/>
              <w:rPr>
                <w:rFonts w:eastAsia="Times New Roman" w:cs="Calibri"/>
                <w:noProof/>
              </w:rPr>
            </w:pPr>
            <w:r>
              <w:rPr>
                <w:noProof/>
              </w:rPr>
              <w:t>14.2</w:t>
            </w:r>
          </w:p>
        </w:tc>
        <w:tc>
          <w:tcPr>
            <w:tcW w:w="1276" w:type="dxa"/>
            <w:shd w:val="clear" w:color="auto" w:fill="C4EFCE"/>
            <w:noWrap/>
            <w:vAlign w:val="center"/>
            <w:hideMark/>
          </w:tcPr>
          <w:p w14:paraId="718F4CD4" w14:textId="77777777" w:rsidR="00A15990" w:rsidRDefault="00686A62">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2183426D"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4398082B" w14:textId="77777777" w:rsidR="00A15990" w:rsidRDefault="00686A62">
            <w:pPr>
              <w:pStyle w:val="P68B1DB1-Normal8"/>
              <w:spacing w:after="0" w:line="240" w:lineRule="auto"/>
              <w:jc w:val="center"/>
              <w:rPr>
                <w:rFonts w:eastAsia="Times New Roman" w:cs="Calibri"/>
                <w:noProof/>
              </w:rPr>
            </w:pPr>
            <w:r>
              <w:rPr>
                <w:noProof/>
              </w:rPr>
              <w:t>Prima cerere de oferte pentru proiecte de producere a gazelor din surse regenerabile</w:t>
            </w:r>
          </w:p>
        </w:tc>
        <w:tc>
          <w:tcPr>
            <w:tcW w:w="1275" w:type="dxa"/>
            <w:shd w:val="clear" w:color="auto" w:fill="C4EFCE"/>
            <w:noWrap/>
            <w:vAlign w:val="center"/>
            <w:hideMark/>
          </w:tcPr>
          <w:p w14:paraId="3A7E38C8" w14:textId="77777777" w:rsidR="00A15990" w:rsidRDefault="00686A62">
            <w:pPr>
              <w:pStyle w:val="P68B1DB1-Normal8"/>
              <w:spacing w:after="0" w:line="240" w:lineRule="auto"/>
              <w:jc w:val="center"/>
              <w:rPr>
                <w:rFonts w:eastAsia="Times New Roman" w:cs="Calibri"/>
                <w:noProof/>
              </w:rPr>
            </w:pPr>
            <w:r>
              <w:rPr>
                <w:noProof/>
              </w:rPr>
              <w:t>A fost deschisă prima cerere de oferte</w:t>
            </w:r>
          </w:p>
        </w:tc>
        <w:tc>
          <w:tcPr>
            <w:tcW w:w="993" w:type="dxa"/>
            <w:shd w:val="clear" w:color="auto" w:fill="C4EFCE"/>
            <w:noWrap/>
            <w:vAlign w:val="center"/>
            <w:hideMark/>
          </w:tcPr>
          <w:p w14:paraId="17551E5C"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7A70C3" w14:textId="77777777" w:rsidR="00A15990" w:rsidRDefault="00686A62">
            <w:pPr>
              <w:pStyle w:val="P68B1DB1-Normal8"/>
              <w:spacing w:after="0" w:line="240" w:lineRule="auto"/>
              <w:jc w:val="center"/>
              <w:rPr>
                <w:rFonts w:eastAsia="Times New Roman" w:cs="Calibri"/>
                <w:noProof/>
              </w:rPr>
            </w:pPr>
            <w:r>
              <w:rPr>
                <w:noProof/>
              </w:rPr>
              <w:t> </w:t>
            </w:r>
          </w:p>
        </w:tc>
        <w:tc>
          <w:tcPr>
            <w:tcW w:w="709" w:type="dxa"/>
            <w:shd w:val="clear" w:color="auto" w:fill="C4EFCE"/>
            <w:noWrap/>
            <w:vAlign w:val="center"/>
            <w:hideMark/>
          </w:tcPr>
          <w:p w14:paraId="6F44AB4C"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386C873C"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368CCFC1"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530AF97A" w14:textId="77777777" w:rsidR="00A15990" w:rsidRDefault="00686A62">
            <w:pPr>
              <w:pStyle w:val="P68B1DB1-Normal8"/>
              <w:spacing w:after="0" w:line="240" w:lineRule="auto"/>
              <w:jc w:val="both"/>
              <w:rPr>
                <w:rFonts w:eastAsia="Times New Roman" w:cs="Calibri"/>
                <w:noProof/>
              </w:rPr>
            </w:pPr>
            <w:r>
              <w:rPr>
                <w:noProof/>
              </w:rPr>
              <w:t>Deschiderea primei cereri de propuneri pentru selectarea proiectelor care urmează să fie sprijinite pentru o capacitate nouă instalată de producere a hidrogenului din surse regenerabile și a gazelor din surse regenerabile de cel puțin 88 MW, cu emisii de GES zero sau aproape egale cu zero pe durata ciclului de viață.</w:t>
            </w:r>
          </w:p>
        </w:tc>
      </w:tr>
      <w:tr w:rsidR="00A15990" w14:paraId="54E877CC" w14:textId="77777777">
        <w:trPr>
          <w:trHeight w:val="430"/>
        </w:trPr>
        <w:tc>
          <w:tcPr>
            <w:tcW w:w="1135" w:type="dxa"/>
            <w:shd w:val="clear" w:color="auto" w:fill="C4EFCE"/>
            <w:vAlign w:val="center"/>
            <w:hideMark/>
          </w:tcPr>
          <w:p w14:paraId="29370DB0" w14:textId="77777777" w:rsidR="00A15990" w:rsidRDefault="00686A62">
            <w:pPr>
              <w:pStyle w:val="P68B1DB1-Normal7"/>
              <w:spacing w:after="0" w:line="240" w:lineRule="auto"/>
              <w:jc w:val="center"/>
              <w:rPr>
                <w:rFonts w:eastAsia="Times New Roman" w:cs="Calibri"/>
                <w:noProof/>
              </w:rPr>
            </w:pPr>
            <w:r>
              <w:rPr>
                <w:noProof/>
              </w:rPr>
              <w:t>14.3</w:t>
            </w:r>
          </w:p>
        </w:tc>
        <w:tc>
          <w:tcPr>
            <w:tcW w:w="1276" w:type="dxa"/>
            <w:shd w:val="clear" w:color="auto" w:fill="C4EFCE"/>
            <w:noWrap/>
            <w:vAlign w:val="center"/>
            <w:hideMark/>
          </w:tcPr>
          <w:p w14:paraId="4014E9C9" w14:textId="77777777" w:rsidR="00A15990" w:rsidRDefault="00686A62">
            <w:pPr>
              <w:pStyle w:val="P68B1DB1-Normal8"/>
              <w:spacing w:after="0" w:line="240" w:lineRule="auto"/>
              <w:jc w:val="center"/>
              <w:rPr>
                <w:rFonts w:eastAsia="Times New Roman" w:cs="Calibri"/>
                <w:noProof/>
              </w:rPr>
            </w:pPr>
            <w:r>
              <w:rPr>
                <w:noProof/>
              </w:rPr>
              <w:t>TC-C14-I01</w:t>
            </w:r>
          </w:p>
        </w:tc>
        <w:tc>
          <w:tcPr>
            <w:tcW w:w="1134" w:type="dxa"/>
            <w:shd w:val="clear" w:color="auto" w:fill="C4EFCE"/>
            <w:noWrap/>
            <w:vAlign w:val="center"/>
            <w:hideMark/>
          </w:tcPr>
          <w:p w14:paraId="7D599D7B"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1FB733D" w14:textId="77777777" w:rsidR="00A15990" w:rsidRDefault="00686A62">
            <w:pPr>
              <w:pStyle w:val="P68B1DB1-Normal8"/>
              <w:spacing w:after="0" w:line="240" w:lineRule="auto"/>
              <w:jc w:val="center"/>
              <w:rPr>
                <w:rFonts w:eastAsia="Times New Roman" w:cs="Calibri"/>
                <w:noProof/>
              </w:rPr>
            </w:pPr>
            <w:r>
              <w:rPr>
                <w:noProof/>
              </w:rPr>
              <w:t>Capacitate suplimentară de producție de hidrogen din surse regenerabile și de gaze din surse regenerabile</w:t>
            </w:r>
          </w:p>
        </w:tc>
        <w:tc>
          <w:tcPr>
            <w:tcW w:w="1275" w:type="dxa"/>
            <w:shd w:val="clear" w:color="auto" w:fill="C4EFCE"/>
            <w:noWrap/>
            <w:vAlign w:val="center"/>
            <w:hideMark/>
          </w:tcPr>
          <w:p w14:paraId="5680D93B"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81A7FD5"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BA6C83A"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85C153C" w14:textId="6CF1971A" w:rsidR="00A15990" w:rsidRDefault="00686A62">
            <w:pPr>
              <w:pStyle w:val="P68B1DB1-Normal8"/>
              <w:spacing w:after="0" w:line="240" w:lineRule="auto"/>
              <w:jc w:val="center"/>
              <w:rPr>
                <w:rFonts w:eastAsia="Times New Roman" w:cs="Calibri"/>
                <w:noProof/>
              </w:rPr>
            </w:pPr>
            <w:r>
              <w:rPr>
                <w:noProof/>
              </w:rPr>
              <w:t>200</w:t>
            </w:r>
          </w:p>
        </w:tc>
        <w:tc>
          <w:tcPr>
            <w:tcW w:w="567" w:type="dxa"/>
            <w:shd w:val="clear" w:color="auto" w:fill="C4EFCE"/>
            <w:noWrap/>
            <w:vAlign w:val="center"/>
            <w:hideMark/>
          </w:tcPr>
          <w:p w14:paraId="2FA79988" w14:textId="0B3EBA35"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4BB9BE1D" w14:textId="007A3D2D"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2FBF31DB" w14:textId="77777777" w:rsidR="00A15990" w:rsidRDefault="00686A62">
            <w:pPr>
              <w:pStyle w:val="P68B1DB1-Normal8"/>
              <w:spacing w:after="0" w:line="240" w:lineRule="auto"/>
              <w:jc w:val="both"/>
              <w:rPr>
                <w:rFonts w:eastAsia="Times New Roman" w:cs="Calibri"/>
                <w:noProof/>
              </w:rPr>
            </w:pPr>
            <w:r>
              <w:rPr>
                <w:noProof/>
              </w:rPr>
              <w:t xml:space="preserve">Capacitate suplimentară de producție a hidrogenului din surse regenerabile și a gazelor din surse regenerabile instalată cu emisii de GES zero sau aproape egale cu zero pe durata ciclului de viață. </w:t>
            </w:r>
          </w:p>
        </w:tc>
      </w:tr>
      <w:tr w:rsidR="00A15990" w14:paraId="4E5061F1" w14:textId="77777777">
        <w:trPr>
          <w:trHeight w:val="473"/>
        </w:trPr>
        <w:tc>
          <w:tcPr>
            <w:tcW w:w="1135" w:type="dxa"/>
            <w:shd w:val="clear" w:color="auto" w:fill="C4EFCE"/>
            <w:vAlign w:val="center"/>
            <w:hideMark/>
          </w:tcPr>
          <w:p w14:paraId="7548B3C2" w14:textId="77777777" w:rsidR="00A15990" w:rsidRDefault="00686A62">
            <w:pPr>
              <w:pStyle w:val="P68B1DB1-Normal7"/>
              <w:spacing w:after="0" w:line="240" w:lineRule="auto"/>
              <w:jc w:val="center"/>
              <w:rPr>
                <w:rFonts w:eastAsia="Times New Roman" w:cs="Calibri"/>
                <w:noProof/>
              </w:rPr>
            </w:pPr>
            <w:r>
              <w:rPr>
                <w:noProof/>
              </w:rPr>
              <w:t>14.4</w:t>
            </w:r>
          </w:p>
        </w:tc>
        <w:tc>
          <w:tcPr>
            <w:tcW w:w="1276" w:type="dxa"/>
            <w:shd w:val="clear" w:color="auto" w:fill="C4EFCE"/>
            <w:noWrap/>
            <w:vAlign w:val="center"/>
            <w:hideMark/>
          </w:tcPr>
          <w:p w14:paraId="012513D7" w14:textId="77777777" w:rsidR="00A15990" w:rsidRDefault="00686A62">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0676C40D"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54BC8E5" w14:textId="77777777" w:rsidR="00A15990" w:rsidRDefault="00686A62">
            <w:pPr>
              <w:pStyle w:val="P68B1DB1-Normal8"/>
              <w:spacing w:after="0" w:line="240" w:lineRule="auto"/>
              <w:jc w:val="center"/>
              <w:rPr>
                <w:rFonts w:eastAsia="Times New Roman" w:cs="Calibri"/>
                <w:noProof/>
              </w:rPr>
            </w:pPr>
            <w:r>
              <w:rPr>
                <w:noProof/>
              </w:rPr>
              <w:t xml:space="preserve">Instalarea unui nou compensator sincron </w:t>
            </w:r>
          </w:p>
        </w:tc>
        <w:tc>
          <w:tcPr>
            <w:tcW w:w="1275" w:type="dxa"/>
            <w:shd w:val="clear" w:color="auto" w:fill="C4EFCE"/>
            <w:noWrap/>
            <w:vAlign w:val="center"/>
            <w:hideMark/>
          </w:tcPr>
          <w:p w14:paraId="1766B193" w14:textId="6C89AA7B" w:rsidR="00A15990" w:rsidRDefault="00686A62">
            <w:pPr>
              <w:pStyle w:val="P68B1DB1-Normal8"/>
              <w:spacing w:after="0" w:line="240" w:lineRule="auto"/>
              <w:jc w:val="center"/>
              <w:rPr>
                <w:rFonts w:eastAsia="Times New Roman" w:cs="Calibri"/>
                <w:noProof/>
              </w:rPr>
            </w:pPr>
            <w:r>
              <w:rPr>
                <w:noProof/>
              </w:rPr>
              <w:t>Instalarea unui nou compensator sincron</w:t>
            </w:r>
          </w:p>
        </w:tc>
        <w:tc>
          <w:tcPr>
            <w:tcW w:w="993" w:type="dxa"/>
            <w:shd w:val="clear" w:color="auto" w:fill="C4EFCE"/>
            <w:noWrap/>
            <w:vAlign w:val="center"/>
            <w:hideMark/>
          </w:tcPr>
          <w:p w14:paraId="59B70755" w14:textId="77777777" w:rsidR="00A15990" w:rsidRDefault="00686A62">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5DA13D59" w14:textId="77777777" w:rsidR="00A15990" w:rsidRDefault="00686A62">
            <w:pPr>
              <w:pStyle w:val="P68B1DB1-Normal9"/>
              <w:spacing w:after="0" w:line="240" w:lineRule="auto"/>
              <w:rPr>
                <w:rFonts w:eastAsia="Times New Roman" w:cs="Calibri"/>
                <w:noProof/>
              </w:rPr>
            </w:pPr>
            <w:r>
              <w:rPr>
                <w:noProof/>
              </w:rPr>
              <w:t> </w:t>
            </w:r>
          </w:p>
        </w:tc>
        <w:tc>
          <w:tcPr>
            <w:tcW w:w="709" w:type="dxa"/>
            <w:shd w:val="clear" w:color="auto" w:fill="C4EFCE"/>
            <w:noWrap/>
            <w:vAlign w:val="center"/>
            <w:hideMark/>
          </w:tcPr>
          <w:p w14:paraId="0DBB59D9" w14:textId="77777777" w:rsidR="00A15990" w:rsidRDefault="00686A62">
            <w:pPr>
              <w:pStyle w:val="P68B1DB1-Normal9"/>
              <w:spacing w:after="0" w:line="240" w:lineRule="auto"/>
              <w:rPr>
                <w:rFonts w:eastAsia="Times New Roman" w:cs="Calibri"/>
                <w:noProof/>
              </w:rPr>
            </w:pPr>
            <w:r>
              <w:rPr>
                <w:noProof/>
              </w:rPr>
              <w:t> </w:t>
            </w:r>
          </w:p>
        </w:tc>
        <w:tc>
          <w:tcPr>
            <w:tcW w:w="567" w:type="dxa"/>
            <w:shd w:val="clear" w:color="auto" w:fill="C4EFCE"/>
            <w:noWrap/>
            <w:vAlign w:val="center"/>
            <w:hideMark/>
          </w:tcPr>
          <w:p w14:paraId="67729D7D"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3310C570" w14:textId="785E274B"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5732B49" w14:textId="77777777" w:rsidR="00A15990" w:rsidRDefault="00686A62">
            <w:pPr>
              <w:pStyle w:val="P68B1DB1-Normal8"/>
              <w:spacing w:after="0" w:line="240" w:lineRule="auto"/>
              <w:jc w:val="both"/>
              <w:rPr>
                <w:rFonts w:eastAsia="Times New Roman" w:cs="Calibri"/>
                <w:noProof/>
              </w:rPr>
            </w:pPr>
            <w:r>
              <w:rPr>
                <w:noProof/>
              </w:rPr>
              <w:t>Achiziționarea și instalarea unui nou compensator sincron cu cel puțin 15 MVAr.</w:t>
            </w:r>
          </w:p>
        </w:tc>
      </w:tr>
      <w:tr w:rsidR="00A15990" w14:paraId="22EE209C" w14:textId="77777777">
        <w:trPr>
          <w:trHeight w:val="1377"/>
        </w:trPr>
        <w:tc>
          <w:tcPr>
            <w:tcW w:w="1135" w:type="dxa"/>
            <w:shd w:val="clear" w:color="auto" w:fill="C4EFCE"/>
            <w:vAlign w:val="center"/>
            <w:hideMark/>
          </w:tcPr>
          <w:p w14:paraId="7CCA2CE5" w14:textId="77777777" w:rsidR="00A15990" w:rsidRDefault="00686A62">
            <w:pPr>
              <w:pStyle w:val="P68B1DB1-Normal7"/>
              <w:spacing w:after="0" w:line="240" w:lineRule="auto"/>
              <w:jc w:val="center"/>
              <w:rPr>
                <w:rFonts w:eastAsia="Times New Roman" w:cs="Calibri"/>
                <w:noProof/>
              </w:rPr>
            </w:pPr>
            <w:r>
              <w:rPr>
                <w:noProof/>
              </w:rPr>
              <w:t>14.5</w:t>
            </w:r>
          </w:p>
        </w:tc>
        <w:tc>
          <w:tcPr>
            <w:tcW w:w="1276" w:type="dxa"/>
            <w:shd w:val="clear" w:color="auto" w:fill="C4EFCE"/>
            <w:noWrap/>
            <w:vAlign w:val="center"/>
            <w:hideMark/>
          </w:tcPr>
          <w:p w14:paraId="73293EEE" w14:textId="77777777" w:rsidR="00A15990" w:rsidRDefault="00686A62">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060267A"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3B0CD18" w14:textId="77777777" w:rsidR="00A15990" w:rsidRDefault="00686A62">
            <w:pPr>
              <w:pStyle w:val="P68B1DB1-Normal8"/>
              <w:spacing w:after="0" w:line="240" w:lineRule="auto"/>
              <w:jc w:val="center"/>
              <w:rPr>
                <w:rFonts w:eastAsia="Times New Roman" w:cs="Calibri"/>
                <w:noProof/>
              </w:rPr>
            </w:pPr>
            <w:r>
              <w:rPr>
                <w:noProof/>
              </w:rPr>
              <w:t>Capacitatea instalată suplimentară de producere a energiei hidroelectrice</w:t>
            </w:r>
          </w:p>
        </w:tc>
        <w:tc>
          <w:tcPr>
            <w:tcW w:w="1275" w:type="dxa"/>
            <w:shd w:val="clear" w:color="auto" w:fill="C4EFCE"/>
            <w:noWrap/>
            <w:vAlign w:val="center"/>
            <w:hideMark/>
          </w:tcPr>
          <w:p w14:paraId="40B8E317"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FECCD3D"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A8A5583"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7FF267A" w14:textId="77777777" w:rsidR="00A15990" w:rsidRDefault="00686A62">
            <w:pPr>
              <w:pStyle w:val="P68B1DB1-Normal8"/>
              <w:spacing w:after="0" w:line="240" w:lineRule="auto"/>
              <w:jc w:val="center"/>
              <w:rPr>
                <w:rFonts w:eastAsia="Times New Roman" w:cs="Calibri"/>
                <w:noProof/>
              </w:rPr>
            </w:pPr>
            <w:r>
              <w:rPr>
                <w:noProof/>
              </w:rPr>
              <w:t>4</w:t>
            </w:r>
          </w:p>
        </w:tc>
        <w:tc>
          <w:tcPr>
            <w:tcW w:w="567" w:type="dxa"/>
            <w:shd w:val="clear" w:color="auto" w:fill="C4EFCE"/>
            <w:noWrap/>
            <w:vAlign w:val="center"/>
            <w:hideMark/>
          </w:tcPr>
          <w:p w14:paraId="127416C0" w14:textId="4F16624E"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0A99841E" w14:textId="28C62021"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E6E2780" w14:textId="77777777" w:rsidR="00A15990" w:rsidRDefault="00686A62">
            <w:pPr>
              <w:pStyle w:val="P68B1DB1-Normal8"/>
              <w:spacing w:after="0" w:line="240" w:lineRule="auto"/>
              <w:jc w:val="both"/>
              <w:rPr>
                <w:rFonts w:eastAsia="Times New Roman" w:cs="Calibri"/>
                <w:noProof/>
              </w:rPr>
            </w:pPr>
            <w:r>
              <w:rPr>
                <w:noProof/>
              </w:rPr>
              <w:t xml:space="preserve">Creșterea capacității electrice instalate a hidrocentralei hidroelectrice Serra renovate. </w:t>
            </w:r>
          </w:p>
        </w:tc>
      </w:tr>
      <w:tr w:rsidR="00A15990" w14:paraId="0D7AA8AD" w14:textId="77777777">
        <w:trPr>
          <w:trHeight w:val="290"/>
        </w:trPr>
        <w:tc>
          <w:tcPr>
            <w:tcW w:w="1135" w:type="dxa"/>
            <w:shd w:val="clear" w:color="auto" w:fill="C4EFCE"/>
            <w:vAlign w:val="center"/>
            <w:hideMark/>
          </w:tcPr>
          <w:p w14:paraId="2465C29C" w14:textId="77777777" w:rsidR="00A15990" w:rsidRDefault="00686A62">
            <w:pPr>
              <w:pStyle w:val="P68B1DB1-Normal7"/>
              <w:spacing w:after="0" w:line="240" w:lineRule="auto"/>
              <w:jc w:val="center"/>
              <w:rPr>
                <w:rFonts w:eastAsia="Times New Roman" w:cs="Calibri"/>
                <w:noProof/>
              </w:rPr>
            </w:pPr>
            <w:r>
              <w:rPr>
                <w:noProof/>
              </w:rPr>
              <w:t>14.6</w:t>
            </w:r>
          </w:p>
        </w:tc>
        <w:tc>
          <w:tcPr>
            <w:tcW w:w="1276" w:type="dxa"/>
            <w:shd w:val="clear" w:color="auto" w:fill="C4EFCE"/>
            <w:noWrap/>
            <w:vAlign w:val="center"/>
            <w:hideMark/>
          </w:tcPr>
          <w:p w14:paraId="6EE7AE84" w14:textId="77777777" w:rsidR="00A15990" w:rsidRDefault="00686A62">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491EE19C"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0C1E7A0" w14:textId="77777777" w:rsidR="00A15990" w:rsidRDefault="00686A62">
            <w:pPr>
              <w:pStyle w:val="P68B1DB1-Normal8"/>
              <w:spacing w:after="0" w:line="240" w:lineRule="auto"/>
              <w:jc w:val="center"/>
              <w:rPr>
                <w:rFonts w:eastAsia="Times New Roman" w:cs="Calibri"/>
                <w:noProof/>
              </w:rPr>
            </w:pPr>
            <w:r>
              <w:rPr>
                <w:noProof/>
              </w:rPr>
              <w:t>Capacitatea instalată renovată de producere a energiei hidroelectrice</w:t>
            </w:r>
          </w:p>
        </w:tc>
        <w:tc>
          <w:tcPr>
            <w:tcW w:w="1275" w:type="dxa"/>
            <w:shd w:val="clear" w:color="auto" w:fill="C4EFCE"/>
            <w:noWrap/>
            <w:vAlign w:val="center"/>
            <w:hideMark/>
          </w:tcPr>
          <w:p w14:paraId="69DFC9AD"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48E8E9"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0D1BFE2D"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05F2BB6C" w14:textId="77777777" w:rsidR="00A15990" w:rsidRDefault="00686A62">
            <w:pPr>
              <w:pStyle w:val="P68B1DB1-Normal8"/>
              <w:spacing w:after="0" w:line="240" w:lineRule="auto"/>
              <w:jc w:val="center"/>
              <w:rPr>
                <w:rFonts w:eastAsia="Times New Roman" w:cs="Calibri"/>
                <w:noProof/>
              </w:rPr>
            </w:pPr>
            <w:r>
              <w:rPr>
                <w:noProof/>
              </w:rPr>
              <w:t>6,2</w:t>
            </w:r>
          </w:p>
        </w:tc>
        <w:tc>
          <w:tcPr>
            <w:tcW w:w="567" w:type="dxa"/>
            <w:shd w:val="clear" w:color="auto" w:fill="C4EFCE"/>
            <w:noWrap/>
            <w:vAlign w:val="center"/>
            <w:hideMark/>
          </w:tcPr>
          <w:p w14:paraId="4C0CE51E"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25BE834C" w14:textId="7777777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62CFB3E" w14:textId="77777777" w:rsidR="00A15990" w:rsidRDefault="00686A62">
            <w:pPr>
              <w:pStyle w:val="P68B1DB1-Normal8"/>
              <w:spacing w:after="0" w:line="240" w:lineRule="auto"/>
              <w:jc w:val="both"/>
              <w:rPr>
                <w:rFonts w:eastAsia="Times New Roman" w:cs="Calibri"/>
                <w:noProof/>
              </w:rPr>
            </w:pPr>
            <w:r>
              <w:rPr>
                <w:noProof/>
              </w:rPr>
              <w:t xml:space="preserve">Renovarea completă a următoarelor hidrocentrale: </w:t>
            </w:r>
          </w:p>
          <w:p w14:paraId="28A4644B" w14:textId="77777777" w:rsidR="00A15990" w:rsidRDefault="00686A62">
            <w:pPr>
              <w:pStyle w:val="P68B1DB1-Normal8"/>
              <w:spacing w:after="0" w:line="240" w:lineRule="auto"/>
              <w:jc w:val="both"/>
              <w:rPr>
                <w:rFonts w:eastAsia="Times New Roman" w:cs="Calibri"/>
                <w:noProof/>
              </w:rPr>
            </w:pPr>
            <w:r>
              <w:rPr>
                <w:noProof/>
              </w:rPr>
              <w:t xml:space="preserve">Hidrocentrala hidroelectrică de apă Serra: înlocuirea și modernizarea echipamentelor electrice și mecanice, întreținerea exclusivă a clădirii. </w:t>
            </w:r>
          </w:p>
          <w:p w14:paraId="18BFB475" w14:textId="2EB31E76" w:rsidR="00A15990" w:rsidRDefault="00686A62">
            <w:pPr>
              <w:pStyle w:val="P68B1DB1-Normal8"/>
              <w:spacing w:after="0" w:line="240" w:lineRule="auto"/>
              <w:jc w:val="both"/>
              <w:rPr>
                <w:rFonts w:eastAsia="Times New Roman" w:cs="Calibri"/>
                <w:noProof/>
              </w:rPr>
            </w:pPr>
            <w:r>
              <w:rPr>
                <w:noProof/>
              </w:rPr>
              <w:t>Centrala hidroelectrică Calheta I: înlocuirea majorității activelor, în special a celor două grupuri generatoare cu putere instalată de 0,5 MW și a altor sisteme electrice, cu excepția clădirii. Lucrările includ, de asemenea, restaurarea canalelor care conduc la instalație pe o lungime totală de aproximativ 13 km.</w:t>
            </w:r>
          </w:p>
        </w:tc>
      </w:tr>
      <w:tr w:rsidR="00A15990" w14:paraId="6E33C52D" w14:textId="77777777">
        <w:trPr>
          <w:trHeight w:val="290"/>
        </w:trPr>
        <w:tc>
          <w:tcPr>
            <w:tcW w:w="1135" w:type="dxa"/>
            <w:shd w:val="clear" w:color="auto" w:fill="C4EFCE"/>
            <w:vAlign w:val="center"/>
            <w:hideMark/>
          </w:tcPr>
          <w:p w14:paraId="40BC8F13" w14:textId="77777777" w:rsidR="00A15990" w:rsidRDefault="00686A62">
            <w:pPr>
              <w:pStyle w:val="P68B1DB1-Normal7"/>
              <w:spacing w:after="0" w:line="240" w:lineRule="auto"/>
              <w:jc w:val="center"/>
              <w:rPr>
                <w:rFonts w:eastAsia="Times New Roman" w:cs="Calibri"/>
                <w:noProof/>
              </w:rPr>
            </w:pPr>
            <w:r>
              <w:rPr>
                <w:noProof/>
              </w:rPr>
              <w:t>14.7</w:t>
            </w:r>
          </w:p>
        </w:tc>
        <w:tc>
          <w:tcPr>
            <w:tcW w:w="1276" w:type="dxa"/>
            <w:shd w:val="clear" w:color="auto" w:fill="C4EFCE"/>
            <w:noWrap/>
            <w:vAlign w:val="center"/>
            <w:hideMark/>
          </w:tcPr>
          <w:p w14:paraId="1CC99350" w14:textId="77777777" w:rsidR="00A15990" w:rsidRDefault="00686A62">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7C251B82"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69D33F4" w14:textId="77777777" w:rsidR="00A15990" w:rsidRDefault="00686A62">
            <w:pPr>
              <w:pStyle w:val="P68B1DB1-Normal8"/>
              <w:spacing w:after="0" w:line="240" w:lineRule="auto"/>
              <w:jc w:val="center"/>
              <w:rPr>
                <w:rFonts w:eastAsia="Times New Roman" w:cs="Calibri"/>
                <w:noProof/>
              </w:rPr>
            </w:pPr>
            <w:r>
              <w:rPr>
                <w:noProof/>
              </w:rPr>
              <w:t>Capacitate instalată suplimentară în sistemul de stocare a bateriilor</w:t>
            </w:r>
          </w:p>
        </w:tc>
        <w:tc>
          <w:tcPr>
            <w:tcW w:w="1275" w:type="dxa"/>
            <w:shd w:val="clear" w:color="auto" w:fill="C4EFCE"/>
            <w:noWrap/>
            <w:vAlign w:val="center"/>
            <w:hideMark/>
          </w:tcPr>
          <w:p w14:paraId="47DED681"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AD7FBEA"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5AE80CCF"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3404202" w14:textId="77777777" w:rsidR="00A15990" w:rsidRDefault="00686A62">
            <w:pPr>
              <w:pStyle w:val="P68B1DB1-Normal8"/>
              <w:spacing w:after="0" w:line="240" w:lineRule="auto"/>
              <w:jc w:val="center"/>
              <w:rPr>
                <w:rFonts w:eastAsia="Times New Roman" w:cs="Calibri"/>
                <w:noProof/>
              </w:rPr>
            </w:pPr>
            <w:r>
              <w:rPr>
                <w:noProof/>
              </w:rPr>
              <w:t>21</w:t>
            </w:r>
          </w:p>
        </w:tc>
        <w:tc>
          <w:tcPr>
            <w:tcW w:w="567" w:type="dxa"/>
            <w:shd w:val="clear" w:color="auto" w:fill="C4EFCE"/>
            <w:noWrap/>
            <w:vAlign w:val="center"/>
            <w:hideMark/>
          </w:tcPr>
          <w:p w14:paraId="23311448"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2CE3C18F" w14:textId="7777777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508188D" w14:textId="77777777" w:rsidR="00A15990" w:rsidRDefault="00686A62">
            <w:pPr>
              <w:pStyle w:val="P68B1DB1-Normal8"/>
              <w:spacing w:after="0" w:line="240" w:lineRule="auto"/>
              <w:jc w:val="both"/>
              <w:rPr>
                <w:rFonts w:eastAsia="Times New Roman" w:cs="Calibri"/>
                <w:noProof/>
              </w:rPr>
            </w:pPr>
            <w:r>
              <w:rPr>
                <w:noProof/>
              </w:rPr>
              <w:t xml:space="preserve">Creșterea capacității de stocare a energiei electrice prin adăugarea capacității instalate în sistemele de baterii. </w:t>
            </w:r>
          </w:p>
          <w:p w14:paraId="388555A7" w14:textId="00D42124" w:rsidR="00A15990" w:rsidRDefault="00686A62">
            <w:pPr>
              <w:pStyle w:val="P68B1DB1-Normal8"/>
              <w:spacing w:after="0" w:line="240" w:lineRule="auto"/>
              <w:jc w:val="both"/>
              <w:rPr>
                <w:rFonts w:eastAsia="Times New Roman" w:cs="Calibri"/>
                <w:noProof/>
              </w:rPr>
            </w:pPr>
            <w:r>
              <w:rPr>
                <w:noProof/>
              </w:rPr>
              <w:t>Capacitatea adăugată este de cel puțin 21 MW/27 MWh</w:t>
            </w:r>
          </w:p>
        </w:tc>
      </w:tr>
      <w:tr w:rsidR="00A15990" w14:paraId="1948699A" w14:textId="77777777">
        <w:trPr>
          <w:trHeight w:val="430"/>
        </w:trPr>
        <w:tc>
          <w:tcPr>
            <w:tcW w:w="1135" w:type="dxa"/>
            <w:shd w:val="clear" w:color="auto" w:fill="C4EFCE"/>
            <w:vAlign w:val="center"/>
            <w:hideMark/>
          </w:tcPr>
          <w:p w14:paraId="2C554E92" w14:textId="77777777" w:rsidR="00A15990" w:rsidRDefault="00686A62">
            <w:pPr>
              <w:pStyle w:val="P68B1DB1-Normal7"/>
              <w:spacing w:after="0" w:line="240" w:lineRule="auto"/>
              <w:jc w:val="center"/>
              <w:rPr>
                <w:rFonts w:eastAsia="Times New Roman" w:cs="Calibri"/>
                <w:noProof/>
              </w:rPr>
            </w:pPr>
            <w:r>
              <w:rPr>
                <w:noProof/>
              </w:rPr>
              <w:t>14.8</w:t>
            </w:r>
          </w:p>
        </w:tc>
        <w:tc>
          <w:tcPr>
            <w:tcW w:w="1276" w:type="dxa"/>
            <w:shd w:val="clear" w:color="auto" w:fill="C4EFCE"/>
            <w:noWrap/>
            <w:vAlign w:val="center"/>
            <w:hideMark/>
          </w:tcPr>
          <w:p w14:paraId="5FB40C15" w14:textId="77777777" w:rsidR="00A15990" w:rsidRDefault="00686A62">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194061B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5F07188" w14:textId="77777777" w:rsidR="00A15990" w:rsidRDefault="00686A62">
            <w:pPr>
              <w:pStyle w:val="P68B1DB1-Normal8"/>
              <w:spacing w:after="0" w:line="240" w:lineRule="auto"/>
              <w:jc w:val="center"/>
              <w:rPr>
                <w:rFonts w:eastAsia="Times New Roman" w:cs="Calibri"/>
                <w:noProof/>
              </w:rPr>
            </w:pPr>
            <w:r>
              <w:rPr>
                <w:noProof/>
              </w:rPr>
              <w:t>Capacitate suplimentară de integrare a energiei electrice instalate noi în sistemul de energie electrică</w:t>
            </w:r>
          </w:p>
        </w:tc>
        <w:tc>
          <w:tcPr>
            <w:tcW w:w="1275" w:type="dxa"/>
            <w:shd w:val="clear" w:color="auto" w:fill="C4EFCE"/>
            <w:noWrap/>
            <w:vAlign w:val="center"/>
            <w:hideMark/>
          </w:tcPr>
          <w:p w14:paraId="04404B06"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18AC5C6"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33D2174B"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DD47456" w14:textId="77777777" w:rsidR="00A15990" w:rsidRDefault="00686A62">
            <w:pPr>
              <w:pStyle w:val="P68B1DB1-Normal8"/>
              <w:spacing w:after="0" w:line="240" w:lineRule="auto"/>
              <w:jc w:val="center"/>
              <w:rPr>
                <w:rFonts w:eastAsia="Times New Roman" w:cs="Calibri"/>
                <w:noProof/>
              </w:rPr>
            </w:pPr>
            <w:r>
              <w:rPr>
                <w:noProof/>
              </w:rPr>
              <w:t>48</w:t>
            </w:r>
          </w:p>
        </w:tc>
        <w:tc>
          <w:tcPr>
            <w:tcW w:w="567" w:type="dxa"/>
            <w:shd w:val="clear" w:color="auto" w:fill="C4EFCE"/>
            <w:noWrap/>
            <w:vAlign w:val="center"/>
            <w:hideMark/>
          </w:tcPr>
          <w:p w14:paraId="7A7FC3C8" w14:textId="77777777"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1286C6DF"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7880C30" w14:textId="53A5D4C2" w:rsidR="00A15990" w:rsidRDefault="00686A62">
            <w:pPr>
              <w:pStyle w:val="P68B1DB1-Normal8"/>
              <w:spacing w:after="0" w:line="240" w:lineRule="auto"/>
              <w:jc w:val="both"/>
              <w:rPr>
                <w:rFonts w:eastAsia="Times New Roman" w:cs="Calibri"/>
                <w:noProof/>
              </w:rPr>
            </w:pPr>
            <w:r>
              <w:rPr>
                <w:noProof/>
              </w:rPr>
              <w:t>Creșterea capacității de integrare a surselor regenerabile de energie în sistemul de energie electrică al ARM. Modernizarea se ridică la 8 MW în Porto Santo și la 40 MW în Madeira.</w:t>
            </w:r>
          </w:p>
        </w:tc>
      </w:tr>
      <w:tr w:rsidR="00A15990" w14:paraId="7777E58F" w14:textId="77777777">
        <w:trPr>
          <w:trHeight w:val="430"/>
        </w:trPr>
        <w:tc>
          <w:tcPr>
            <w:tcW w:w="1135" w:type="dxa"/>
            <w:shd w:val="clear" w:color="auto" w:fill="C4EFCE"/>
            <w:vAlign w:val="center"/>
            <w:hideMark/>
          </w:tcPr>
          <w:p w14:paraId="0A07FC76" w14:textId="77777777" w:rsidR="00A15990" w:rsidRDefault="00686A62">
            <w:pPr>
              <w:pStyle w:val="P68B1DB1-Normal7"/>
              <w:spacing w:after="0" w:line="240" w:lineRule="auto"/>
              <w:jc w:val="center"/>
              <w:rPr>
                <w:rFonts w:eastAsia="Times New Roman" w:cs="Calibri"/>
                <w:noProof/>
              </w:rPr>
            </w:pPr>
            <w:r>
              <w:rPr>
                <w:noProof/>
              </w:rPr>
              <w:t>14.9</w:t>
            </w:r>
          </w:p>
        </w:tc>
        <w:tc>
          <w:tcPr>
            <w:tcW w:w="1276" w:type="dxa"/>
            <w:shd w:val="clear" w:color="auto" w:fill="C4EFCE"/>
            <w:noWrap/>
            <w:vAlign w:val="center"/>
            <w:hideMark/>
          </w:tcPr>
          <w:p w14:paraId="6F6CE13A" w14:textId="77777777" w:rsidR="00A15990" w:rsidRDefault="00686A62">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3F096E46"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D8452D" w14:textId="77777777" w:rsidR="00A15990" w:rsidRDefault="00686A62">
            <w:pPr>
              <w:pStyle w:val="P68B1DB1-Normal8"/>
              <w:spacing w:after="0" w:line="240" w:lineRule="auto"/>
              <w:jc w:val="center"/>
              <w:rPr>
                <w:rFonts w:eastAsia="Times New Roman" w:cs="Calibri"/>
                <w:noProof/>
              </w:rPr>
            </w:pPr>
            <w:r>
              <w:rPr>
                <w:noProof/>
              </w:rPr>
              <w:t xml:space="preserve">Instalarea contoarelor inteligente </w:t>
            </w:r>
          </w:p>
        </w:tc>
        <w:tc>
          <w:tcPr>
            <w:tcW w:w="1275" w:type="dxa"/>
            <w:shd w:val="clear" w:color="auto" w:fill="C4EFCE"/>
            <w:noWrap/>
            <w:vAlign w:val="center"/>
            <w:hideMark/>
          </w:tcPr>
          <w:p w14:paraId="6EE2AFB4"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97B7CDD"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6171D01F"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64A2B0C" w14:textId="53CB6B01" w:rsidR="00A15990" w:rsidRDefault="00686A62">
            <w:pPr>
              <w:pStyle w:val="P68B1DB1-Normal8"/>
              <w:spacing w:after="0" w:line="240" w:lineRule="auto"/>
              <w:jc w:val="center"/>
              <w:rPr>
                <w:rFonts w:eastAsia="Times New Roman" w:cs="Calibri"/>
                <w:noProof/>
              </w:rPr>
            </w:pPr>
            <w:r>
              <w:rPr>
                <w:noProof/>
              </w:rPr>
              <w:t>130 000</w:t>
            </w:r>
          </w:p>
        </w:tc>
        <w:tc>
          <w:tcPr>
            <w:tcW w:w="567" w:type="dxa"/>
            <w:shd w:val="clear" w:color="auto" w:fill="C4EFCE"/>
            <w:noWrap/>
            <w:vAlign w:val="center"/>
            <w:hideMark/>
          </w:tcPr>
          <w:p w14:paraId="466259E1"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461EE381"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A0AB2BE" w14:textId="77777777" w:rsidR="00A15990" w:rsidRDefault="00686A62">
            <w:pPr>
              <w:pStyle w:val="P68B1DB1-Normal8"/>
              <w:spacing w:after="0" w:line="240" w:lineRule="auto"/>
              <w:jc w:val="both"/>
              <w:rPr>
                <w:rFonts w:eastAsia="Times New Roman" w:cs="Calibri"/>
                <w:noProof/>
              </w:rPr>
            </w:pPr>
            <w:r>
              <w:rPr>
                <w:noProof/>
              </w:rPr>
              <w:t>Punerea la dispoziție și instalarea de noi contoare inteligente (contoare de energie electrică care înregistrează informații privind consumul și care sunt conectate la rețeaua de comunicații)</w:t>
            </w:r>
          </w:p>
        </w:tc>
      </w:tr>
      <w:tr w:rsidR="00A15990" w14:paraId="085247C8" w14:textId="77777777">
        <w:trPr>
          <w:trHeight w:val="300"/>
        </w:trPr>
        <w:tc>
          <w:tcPr>
            <w:tcW w:w="1135" w:type="dxa"/>
            <w:shd w:val="clear" w:color="auto" w:fill="C4EFCE"/>
            <w:vAlign w:val="center"/>
            <w:hideMark/>
          </w:tcPr>
          <w:p w14:paraId="4DAE842D" w14:textId="77777777" w:rsidR="00A15990" w:rsidRDefault="00686A62">
            <w:pPr>
              <w:pStyle w:val="P68B1DB1-Normal7"/>
              <w:spacing w:after="0" w:line="240" w:lineRule="auto"/>
              <w:jc w:val="center"/>
              <w:rPr>
                <w:rFonts w:eastAsia="Times New Roman" w:cs="Calibri"/>
                <w:noProof/>
              </w:rPr>
            </w:pPr>
            <w:r>
              <w:rPr>
                <w:noProof/>
              </w:rPr>
              <w:t>14.10</w:t>
            </w:r>
          </w:p>
        </w:tc>
        <w:tc>
          <w:tcPr>
            <w:tcW w:w="1276" w:type="dxa"/>
            <w:shd w:val="clear" w:color="auto" w:fill="C4EFCE"/>
            <w:noWrap/>
            <w:vAlign w:val="center"/>
            <w:hideMark/>
          </w:tcPr>
          <w:p w14:paraId="3B119B79" w14:textId="77777777" w:rsidR="00A15990" w:rsidRDefault="00686A62">
            <w:pPr>
              <w:pStyle w:val="P68B1DB1-Normal8"/>
              <w:spacing w:after="0" w:line="240" w:lineRule="auto"/>
              <w:jc w:val="center"/>
              <w:rPr>
                <w:rFonts w:eastAsia="Times New Roman" w:cs="Calibri"/>
                <w:noProof/>
              </w:rPr>
            </w:pPr>
            <w:r>
              <w:rPr>
                <w:noProof/>
              </w:rPr>
              <w:t>TC-C14-i02-RAM</w:t>
            </w:r>
          </w:p>
        </w:tc>
        <w:tc>
          <w:tcPr>
            <w:tcW w:w="1134" w:type="dxa"/>
            <w:shd w:val="clear" w:color="auto" w:fill="C4EFCE"/>
            <w:noWrap/>
            <w:vAlign w:val="center"/>
            <w:hideMark/>
          </w:tcPr>
          <w:p w14:paraId="2D8644BA"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3077042" w14:textId="77777777" w:rsidR="00A15990" w:rsidRDefault="00686A62">
            <w:pPr>
              <w:pStyle w:val="P68B1DB1-Normal8"/>
              <w:spacing w:after="0" w:line="240" w:lineRule="auto"/>
              <w:jc w:val="center"/>
              <w:rPr>
                <w:rFonts w:eastAsia="Times New Roman" w:cs="Calibri"/>
                <w:noProof/>
              </w:rPr>
            </w:pPr>
            <w:r>
              <w:rPr>
                <w:noProof/>
              </w:rPr>
              <w:t xml:space="preserve">Înlocuirea punctelor de iluminat stradal </w:t>
            </w:r>
          </w:p>
        </w:tc>
        <w:tc>
          <w:tcPr>
            <w:tcW w:w="1275" w:type="dxa"/>
            <w:shd w:val="clear" w:color="auto" w:fill="C4EFCE"/>
            <w:noWrap/>
            <w:vAlign w:val="center"/>
            <w:hideMark/>
          </w:tcPr>
          <w:p w14:paraId="1F6A61E8"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3AB129"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19AB4E5C"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5BE9D871" w14:textId="77777777" w:rsidR="00A15990" w:rsidRDefault="00686A62">
            <w:pPr>
              <w:pStyle w:val="P68B1DB1-Normal8"/>
              <w:spacing w:after="0" w:line="240" w:lineRule="auto"/>
              <w:jc w:val="center"/>
              <w:rPr>
                <w:rFonts w:eastAsia="Times New Roman" w:cs="Calibri"/>
                <w:noProof/>
              </w:rPr>
            </w:pPr>
            <w:r>
              <w:rPr>
                <w:noProof/>
              </w:rPr>
              <w:t>8 750</w:t>
            </w:r>
          </w:p>
        </w:tc>
        <w:tc>
          <w:tcPr>
            <w:tcW w:w="567" w:type="dxa"/>
            <w:shd w:val="clear" w:color="auto" w:fill="C4EFCE"/>
            <w:noWrap/>
            <w:vAlign w:val="center"/>
            <w:hideMark/>
          </w:tcPr>
          <w:p w14:paraId="352149A8"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9138D5E"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233918" w14:textId="77777777" w:rsidR="00A15990" w:rsidRDefault="00686A62">
            <w:pPr>
              <w:pStyle w:val="P68B1DB1-Normal8"/>
              <w:spacing w:after="0" w:line="240" w:lineRule="auto"/>
              <w:jc w:val="both"/>
              <w:rPr>
                <w:rFonts w:eastAsia="Times New Roman" w:cs="Calibri"/>
                <w:noProof/>
              </w:rPr>
            </w:pPr>
            <w:r>
              <w:rPr>
                <w:noProof/>
              </w:rPr>
              <w:t>Înlocuirea rețelei de iluminat public cu sisteme de iluminat cu LED-uri cu consum redus de energie și a sistemului de gestionare a acestora</w:t>
            </w:r>
          </w:p>
        </w:tc>
      </w:tr>
      <w:tr w:rsidR="00A15990" w14:paraId="49C49B34" w14:textId="77777777">
        <w:trPr>
          <w:trHeight w:val="630"/>
        </w:trPr>
        <w:tc>
          <w:tcPr>
            <w:tcW w:w="1135" w:type="dxa"/>
            <w:shd w:val="clear" w:color="auto" w:fill="C4EFCE"/>
            <w:vAlign w:val="center"/>
            <w:hideMark/>
          </w:tcPr>
          <w:p w14:paraId="57987303" w14:textId="77777777" w:rsidR="00A15990" w:rsidRDefault="00686A62">
            <w:pPr>
              <w:pStyle w:val="P68B1DB1-Normal7"/>
              <w:spacing w:after="0" w:line="240" w:lineRule="auto"/>
              <w:jc w:val="center"/>
              <w:rPr>
                <w:rFonts w:eastAsia="Times New Roman" w:cs="Calibri"/>
                <w:noProof/>
              </w:rPr>
            </w:pPr>
            <w:r>
              <w:rPr>
                <w:noProof/>
              </w:rPr>
              <w:t>14.11</w:t>
            </w:r>
          </w:p>
        </w:tc>
        <w:tc>
          <w:tcPr>
            <w:tcW w:w="1276" w:type="dxa"/>
            <w:shd w:val="clear" w:color="auto" w:fill="C4EFCE"/>
            <w:noWrap/>
            <w:vAlign w:val="center"/>
            <w:hideMark/>
          </w:tcPr>
          <w:p w14:paraId="0E810C24" w14:textId="77777777" w:rsidR="00A15990" w:rsidRDefault="00686A62">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07BB7096"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CDAE41D" w14:textId="77777777" w:rsidR="00A15990" w:rsidRDefault="00686A62">
            <w:pPr>
              <w:pStyle w:val="P68B1DB1-Normal8"/>
              <w:spacing w:after="0" w:line="240" w:lineRule="auto"/>
              <w:jc w:val="center"/>
              <w:rPr>
                <w:rFonts w:eastAsia="Times New Roman" w:cs="Calibri"/>
                <w:noProof/>
              </w:rPr>
            </w:pPr>
            <w:r>
              <w:rPr>
                <w:noProof/>
              </w:rPr>
              <w:t>Capacitate de producție geotermală instalată suplimentară și renovată</w:t>
            </w:r>
          </w:p>
        </w:tc>
        <w:tc>
          <w:tcPr>
            <w:tcW w:w="1275" w:type="dxa"/>
            <w:shd w:val="clear" w:color="auto" w:fill="C4EFCE"/>
            <w:noWrap/>
            <w:vAlign w:val="center"/>
            <w:hideMark/>
          </w:tcPr>
          <w:p w14:paraId="346DFA29"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A22D7A0"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25B70213"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78D74A92" w14:textId="77777777" w:rsidR="00A15990" w:rsidRDefault="00686A62">
            <w:pPr>
              <w:pStyle w:val="P68B1DB1-Normal8"/>
              <w:spacing w:after="0" w:line="240" w:lineRule="auto"/>
              <w:jc w:val="center"/>
              <w:rPr>
                <w:rFonts w:eastAsia="Times New Roman" w:cs="Calibri"/>
                <w:noProof/>
              </w:rPr>
            </w:pPr>
            <w:r>
              <w:rPr>
                <w:noProof/>
              </w:rPr>
              <w:t>17</w:t>
            </w:r>
          </w:p>
        </w:tc>
        <w:tc>
          <w:tcPr>
            <w:tcW w:w="567" w:type="dxa"/>
            <w:shd w:val="clear" w:color="auto" w:fill="C4EFCE"/>
            <w:noWrap/>
            <w:vAlign w:val="center"/>
            <w:hideMark/>
          </w:tcPr>
          <w:p w14:paraId="7654C1AA" w14:textId="3DD4D71C"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2C969610" w14:textId="294D2D88"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615578BD" w14:textId="77777777" w:rsidR="00A15990" w:rsidRDefault="00686A62">
            <w:pPr>
              <w:pStyle w:val="P68B1DB1-Normal8"/>
              <w:spacing w:after="0" w:line="240" w:lineRule="auto"/>
              <w:jc w:val="both"/>
              <w:rPr>
                <w:rFonts w:eastAsia="Times New Roman" w:cs="Calibri"/>
                <w:noProof/>
              </w:rPr>
            </w:pPr>
            <w:r>
              <w:rPr>
                <w:noProof/>
              </w:rPr>
              <w:t xml:space="preserve">Creșterea capacității de a produce energie electrică din surse regenerabile, în special energie geotermală. Capacitatea suplimentară (12 MW) se instalează în uzina geotermală Pico Alto și în fabrica geotermală Pico Vermelho. </w:t>
            </w:r>
          </w:p>
          <w:p w14:paraId="2807AEAB" w14:textId="570B2349" w:rsidR="00A15990" w:rsidRDefault="00686A62">
            <w:pPr>
              <w:pStyle w:val="P68B1DB1-Normal8"/>
              <w:spacing w:after="0" w:line="240" w:lineRule="auto"/>
              <w:jc w:val="both"/>
              <w:rPr>
                <w:rFonts w:eastAsia="Times New Roman" w:cs="Calibri"/>
                <w:noProof/>
              </w:rPr>
            </w:pPr>
            <w:r>
              <w:rPr>
                <w:noProof/>
              </w:rPr>
              <w:t>Renovarea centralei geotermale Ribeira Grande va implementa trei noi puțuri geotermale, iar o unitate de producție mai eficientă de 5 MW va înlocui unitățile generatoare existente de 2x2,5 MW.</w:t>
            </w:r>
          </w:p>
        </w:tc>
      </w:tr>
      <w:tr w:rsidR="00A15990" w14:paraId="6EB81417" w14:textId="77777777">
        <w:trPr>
          <w:trHeight w:val="430"/>
        </w:trPr>
        <w:tc>
          <w:tcPr>
            <w:tcW w:w="1135" w:type="dxa"/>
            <w:shd w:val="clear" w:color="auto" w:fill="C4EFCE"/>
            <w:vAlign w:val="center"/>
            <w:hideMark/>
          </w:tcPr>
          <w:p w14:paraId="3405F6EB" w14:textId="77777777" w:rsidR="00A15990" w:rsidRDefault="00686A62">
            <w:pPr>
              <w:pStyle w:val="P68B1DB1-Normal7"/>
              <w:spacing w:after="0" w:line="240" w:lineRule="auto"/>
              <w:jc w:val="center"/>
              <w:rPr>
                <w:rFonts w:eastAsia="Times New Roman" w:cs="Calibri"/>
                <w:noProof/>
              </w:rPr>
            </w:pPr>
            <w:r>
              <w:rPr>
                <w:noProof/>
              </w:rPr>
              <w:t>14.12</w:t>
            </w:r>
          </w:p>
        </w:tc>
        <w:tc>
          <w:tcPr>
            <w:tcW w:w="1276" w:type="dxa"/>
            <w:shd w:val="clear" w:color="auto" w:fill="C4EFCE"/>
            <w:noWrap/>
            <w:vAlign w:val="center"/>
            <w:hideMark/>
          </w:tcPr>
          <w:p w14:paraId="63DE5821" w14:textId="77777777" w:rsidR="00A15990" w:rsidRDefault="00686A62">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63E7E41F"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22755F2" w14:textId="77777777" w:rsidR="00A15990" w:rsidRDefault="00686A62">
            <w:pPr>
              <w:pStyle w:val="P68B1DB1-Normal8"/>
              <w:spacing w:after="0" w:line="240" w:lineRule="auto"/>
              <w:jc w:val="center"/>
              <w:rPr>
                <w:rFonts w:eastAsia="Times New Roman" w:cs="Calibri"/>
                <w:noProof/>
              </w:rPr>
            </w:pPr>
            <w:r>
              <w:rPr>
                <w:noProof/>
              </w:rPr>
              <w:t>Producția suplimentară de energie electrică din surse regenerabile de către Corvo</w:t>
            </w:r>
          </w:p>
        </w:tc>
        <w:tc>
          <w:tcPr>
            <w:tcW w:w="1275" w:type="dxa"/>
            <w:shd w:val="clear" w:color="auto" w:fill="C4EFCE"/>
            <w:noWrap/>
            <w:vAlign w:val="center"/>
            <w:hideMark/>
          </w:tcPr>
          <w:p w14:paraId="4A191934"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FE8B622" w14:textId="77777777" w:rsidR="00A15990" w:rsidRDefault="00686A62">
            <w:pPr>
              <w:pStyle w:val="P68B1DB1-Normal8"/>
              <w:spacing w:after="0" w:line="240" w:lineRule="auto"/>
              <w:jc w:val="center"/>
              <w:rPr>
                <w:rFonts w:eastAsia="Times New Roman" w:cs="Calibri"/>
                <w:noProof/>
              </w:rPr>
            </w:pPr>
            <w:r>
              <w:rPr>
                <w:noProof/>
              </w:rPr>
              <w:t>kW</w:t>
            </w:r>
          </w:p>
        </w:tc>
        <w:tc>
          <w:tcPr>
            <w:tcW w:w="992" w:type="dxa"/>
            <w:shd w:val="clear" w:color="auto" w:fill="C4EFCE"/>
            <w:noWrap/>
            <w:vAlign w:val="center"/>
            <w:hideMark/>
          </w:tcPr>
          <w:p w14:paraId="5DA012D0"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60FE94F2" w14:textId="77777777" w:rsidR="00A15990" w:rsidRDefault="00686A62">
            <w:pPr>
              <w:pStyle w:val="P68B1DB1-Normal8"/>
              <w:spacing w:after="0" w:line="240" w:lineRule="auto"/>
              <w:jc w:val="center"/>
              <w:rPr>
                <w:rFonts w:eastAsia="Times New Roman" w:cs="Calibri"/>
                <w:noProof/>
              </w:rPr>
            </w:pPr>
            <w:r>
              <w:rPr>
                <w:noProof/>
              </w:rPr>
              <w:t>850</w:t>
            </w:r>
          </w:p>
        </w:tc>
        <w:tc>
          <w:tcPr>
            <w:tcW w:w="567" w:type="dxa"/>
            <w:shd w:val="clear" w:color="auto" w:fill="C4EFCE"/>
            <w:noWrap/>
            <w:vAlign w:val="center"/>
            <w:hideMark/>
          </w:tcPr>
          <w:p w14:paraId="21A4EA86" w14:textId="10D88483"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4EC5CBA7" w14:textId="5D6061B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1522AF9F" w14:textId="5591984C" w:rsidR="00A15990" w:rsidRDefault="00686A62">
            <w:pPr>
              <w:pStyle w:val="P68B1DB1-Normal8"/>
              <w:spacing w:after="0" w:line="240" w:lineRule="auto"/>
              <w:jc w:val="both"/>
              <w:rPr>
                <w:rFonts w:eastAsia="Times New Roman" w:cs="Calibri"/>
                <w:noProof/>
              </w:rPr>
            </w:pPr>
            <w:r>
              <w:rPr>
                <w:noProof/>
              </w:rPr>
              <w:t>Creșterea capacității instalate de producere a energiei electrice din surse regenerabile pe insula Corvo prin instalarea unui parc fotovoltaic și a unui parc eolian.</w:t>
            </w:r>
          </w:p>
        </w:tc>
      </w:tr>
      <w:tr w:rsidR="00A15990" w14:paraId="4BF28A70" w14:textId="77777777">
        <w:trPr>
          <w:trHeight w:val="640"/>
        </w:trPr>
        <w:tc>
          <w:tcPr>
            <w:tcW w:w="1135" w:type="dxa"/>
            <w:shd w:val="clear" w:color="auto" w:fill="C4EFCE"/>
            <w:vAlign w:val="center"/>
            <w:hideMark/>
          </w:tcPr>
          <w:p w14:paraId="26E7B270" w14:textId="77777777" w:rsidR="00A15990" w:rsidRDefault="00686A62">
            <w:pPr>
              <w:pStyle w:val="P68B1DB1-Normal7"/>
              <w:spacing w:after="0" w:line="240" w:lineRule="auto"/>
              <w:jc w:val="center"/>
              <w:rPr>
                <w:rFonts w:eastAsia="Times New Roman" w:cs="Calibri"/>
                <w:noProof/>
              </w:rPr>
            </w:pPr>
            <w:r>
              <w:rPr>
                <w:noProof/>
              </w:rPr>
              <w:t>14.13</w:t>
            </w:r>
          </w:p>
        </w:tc>
        <w:tc>
          <w:tcPr>
            <w:tcW w:w="1276" w:type="dxa"/>
            <w:shd w:val="clear" w:color="auto" w:fill="C4EFCE"/>
            <w:noWrap/>
            <w:vAlign w:val="center"/>
            <w:hideMark/>
          </w:tcPr>
          <w:p w14:paraId="21B544BC" w14:textId="77777777" w:rsidR="00A15990" w:rsidRDefault="00686A62">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21AB62A"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5CB493E" w14:textId="77777777" w:rsidR="00A15990" w:rsidRDefault="00686A62">
            <w:pPr>
              <w:pStyle w:val="P68B1DB1-Normal8"/>
              <w:spacing w:after="0" w:line="240" w:lineRule="auto"/>
              <w:jc w:val="center"/>
              <w:rPr>
                <w:rFonts w:eastAsia="Times New Roman" w:cs="Calibri"/>
                <w:noProof/>
              </w:rPr>
            </w:pPr>
            <w:r>
              <w:rPr>
                <w:noProof/>
              </w:rPr>
              <w:t>Noi sisteme de stocare a energiei pe bază de baterii și sisteme de gestionare a energiei în ARA</w:t>
            </w:r>
          </w:p>
        </w:tc>
        <w:tc>
          <w:tcPr>
            <w:tcW w:w="1275" w:type="dxa"/>
            <w:shd w:val="clear" w:color="auto" w:fill="C4EFCE"/>
            <w:noWrap/>
            <w:vAlign w:val="center"/>
            <w:hideMark/>
          </w:tcPr>
          <w:p w14:paraId="32C59D26"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22A9B89"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179DC3B8"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1A6A215E" w14:textId="77777777" w:rsidR="00A15990" w:rsidRDefault="00686A62">
            <w:pPr>
              <w:pStyle w:val="P68B1DB1-Normal8"/>
              <w:spacing w:after="0" w:line="240" w:lineRule="auto"/>
              <w:jc w:val="center"/>
              <w:rPr>
                <w:rFonts w:eastAsia="Times New Roman" w:cs="Calibri"/>
                <w:noProof/>
              </w:rPr>
            </w:pPr>
            <w:r>
              <w:rPr>
                <w:noProof/>
              </w:rPr>
              <w:t>20</w:t>
            </w:r>
          </w:p>
        </w:tc>
        <w:tc>
          <w:tcPr>
            <w:tcW w:w="567" w:type="dxa"/>
            <w:shd w:val="clear" w:color="auto" w:fill="C4EFCE"/>
            <w:noWrap/>
            <w:vAlign w:val="center"/>
            <w:hideMark/>
          </w:tcPr>
          <w:p w14:paraId="748EDD79" w14:textId="4D8C8E40"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27D3725B" w14:textId="243A03A5" w:rsidR="00A15990" w:rsidRDefault="00686A62">
            <w:pPr>
              <w:pStyle w:val="P68B1DB1-Normal8"/>
              <w:spacing w:after="0" w:line="240" w:lineRule="auto"/>
              <w:jc w:val="center"/>
              <w:rPr>
                <w:rFonts w:eastAsia="Times New Roman" w:cs="Calibri"/>
                <w:noProof/>
              </w:rPr>
            </w:pPr>
            <w:r>
              <w:rPr>
                <w:noProof/>
              </w:rPr>
              <w:t>2026</w:t>
            </w:r>
          </w:p>
        </w:tc>
        <w:tc>
          <w:tcPr>
            <w:tcW w:w="3969" w:type="dxa"/>
            <w:shd w:val="clear" w:color="auto" w:fill="C4EFCE"/>
            <w:vAlign w:val="center"/>
            <w:hideMark/>
          </w:tcPr>
          <w:p w14:paraId="75D6C939" w14:textId="77777777" w:rsidR="00A15990" w:rsidRDefault="00686A62">
            <w:pPr>
              <w:pStyle w:val="P68B1DB1-Normal8"/>
              <w:spacing w:after="0" w:line="240" w:lineRule="auto"/>
              <w:jc w:val="both"/>
              <w:rPr>
                <w:rFonts w:eastAsia="Times New Roman" w:cs="Calibri"/>
                <w:noProof/>
              </w:rPr>
            </w:pPr>
            <w:r>
              <w:rPr>
                <w:noProof/>
              </w:rPr>
              <w:t>Instalarea de noi sisteme de stocare a energiei în baterii și de sisteme de gestionare a energiei pe șase insule pentru a permite o mai bună integrare a surselor regenerabile de energie, garantând în același timp securitatea aprovizionării și calitatea serviciilor, cu o gamă de energie cuprinsă între 20 MW și 30 MW împreună. ·</w:t>
            </w:r>
          </w:p>
        </w:tc>
      </w:tr>
      <w:tr w:rsidR="00A15990" w14:paraId="1056362A" w14:textId="77777777">
        <w:trPr>
          <w:trHeight w:val="430"/>
        </w:trPr>
        <w:tc>
          <w:tcPr>
            <w:tcW w:w="1135" w:type="dxa"/>
            <w:shd w:val="clear" w:color="auto" w:fill="C4EFCE"/>
            <w:vAlign w:val="center"/>
            <w:hideMark/>
          </w:tcPr>
          <w:p w14:paraId="32B5D8E8" w14:textId="77777777" w:rsidR="00A15990" w:rsidRDefault="00686A62">
            <w:pPr>
              <w:pStyle w:val="P68B1DB1-Normal7"/>
              <w:spacing w:after="0" w:line="240" w:lineRule="auto"/>
              <w:jc w:val="center"/>
              <w:rPr>
                <w:rFonts w:eastAsia="Times New Roman" w:cs="Calibri"/>
                <w:noProof/>
              </w:rPr>
            </w:pPr>
            <w:r>
              <w:rPr>
                <w:noProof/>
              </w:rPr>
              <w:t>14.14</w:t>
            </w:r>
          </w:p>
        </w:tc>
        <w:tc>
          <w:tcPr>
            <w:tcW w:w="1276" w:type="dxa"/>
            <w:shd w:val="clear" w:color="auto" w:fill="C4EFCE"/>
            <w:noWrap/>
            <w:vAlign w:val="center"/>
            <w:hideMark/>
          </w:tcPr>
          <w:p w14:paraId="054F1D8B" w14:textId="77777777" w:rsidR="00A15990" w:rsidRDefault="00686A62">
            <w:pPr>
              <w:pStyle w:val="P68B1DB1-Normal8"/>
              <w:spacing w:after="0" w:line="240" w:lineRule="auto"/>
              <w:jc w:val="center"/>
              <w:rPr>
                <w:rFonts w:eastAsia="Times New Roman" w:cs="Calibri"/>
                <w:noProof/>
              </w:rPr>
            </w:pPr>
            <w:r>
              <w:rPr>
                <w:noProof/>
              </w:rPr>
              <w:t>TC-C14-i03-RAA</w:t>
            </w:r>
          </w:p>
        </w:tc>
        <w:tc>
          <w:tcPr>
            <w:tcW w:w="1134" w:type="dxa"/>
            <w:shd w:val="clear" w:color="auto" w:fill="C4EFCE"/>
            <w:noWrap/>
            <w:vAlign w:val="center"/>
            <w:hideMark/>
          </w:tcPr>
          <w:p w14:paraId="472D082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9DC164" w14:textId="77777777" w:rsidR="00A15990" w:rsidRDefault="00686A62">
            <w:pPr>
              <w:pStyle w:val="P68B1DB1-Normal8"/>
              <w:spacing w:after="0" w:line="240" w:lineRule="auto"/>
              <w:jc w:val="center"/>
              <w:rPr>
                <w:rFonts w:eastAsia="Times New Roman" w:cs="Calibri"/>
                <w:noProof/>
              </w:rPr>
            </w:pPr>
            <w:r>
              <w:rPr>
                <w:noProof/>
              </w:rPr>
              <w:t>Instalarea de instalații fotovoltaice de mici dimensiuni pentru producția și consumul local de energie electrică</w:t>
            </w:r>
          </w:p>
        </w:tc>
        <w:tc>
          <w:tcPr>
            <w:tcW w:w="1275" w:type="dxa"/>
            <w:shd w:val="clear" w:color="auto" w:fill="C4EFCE"/>
            <w:noWrap/>
            <w:vAlign w:val="center"/>
            <w:hideMark/>
          </w:tcPr>
          <w:p w14:paraId="3010E648"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35F208A" w14:textId="77777777" w:rsidR="00A15990" w:rsidRDefault="00686A62">
            <w:pPr>
              <w:pStyle w:val="P68B1DB1-Normal8"/>
              <w:spacing w:after="0" w:line="240" w:lineRule="auto"/>
              <w:jc w:val="center"/>
              <w:rPr>
                <w:rFonts w:eastAsia="Times New Roman" w:cs="Calibri"/>
                <w:noProof/>
              </w:rPr>
            </w:pPr>
            <w:r>
              <w:rPr>
                <w:noProof/>
              </w:rPr>
              <w:t>MW</w:t>
            </w:r>
          </w:p>
        </w:tc>
        <w:tc>
          <w:tcPr>
            <w:tcW w:w="992" w:type="dxa"/>
            <w:shd w:val="clear" w:color="auto" w:fill="C4EFCE"/>
            <w:noWrap/>
            <w:vAlign w:val="center"/>
            <w:hideMark/>
          </w:tcPr>
          <w:p w14:paraId="43701371"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shd w:val="clear" w:color="auto" w:fill="C4EFCE"/>
            <w:noWrap/>
            <w:vAlign w:val="center"/>
            <w:hideMark/>
          </w:tcPr>
          <w:p w14:paraId="3DA6B091" w14:textId="1611D817" w:rsidR="00A15990" w:rsidRDefault="00686A62">
            <w:pPr>
              <w:pStyle w:val="P68B1DB1-Normal8"/>
              <w:spacing w:after="0" w:line="240" w:lineRule="auto"/>
              <w:jc w:val="center"/>
              <w:rPr>
                <w:rFonts w:eastAsia="Times New Roman" w:cs="Calibri"/>
                <w:noProof/>
              </w:rPr>
            </w:pPr>
            <w:r>
              <w:rPr>
                <w:noProof/>
              </w:rPr>
              <w:t>11,2</w:t>
            </w:r>
          </w:p>
        </w:tc>
        <w:tc>
          <w:tcPr>
            <w:tcW w:w="567" w:type="dxa"/>
            <w:shd w:val="clear" w:color="auto" w:fill="C4EFCE"/>
            <w:noWrap/>
            <w:vAlign w:val="center"/>
            <w:hideMark/>
          </w:tcPr>
          <w:p w14:paraId="3ED06E56"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D25B3E7"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A739CE2" w14:textId="77777777" w:rsidR="00A15990" w:rsidRDefault="00686A62">
            <w:pPr>
              <w:pStyle w:val="P68B1DB1-Normal8"/>
              <w:spacing w:after="0" w:line="240" w:lineRule="auto"/>
              <w:jc w:val="both"/>
              <w:rPr>
                <w:rFonts w:eastAsia="Times New Roman" w:cs="Calibri"/>
                <w:noProof/>
              </w:rPr>
            </w:pPr>
            <w:r>
              <w:rPr>
                <w:noProof/>
              </w:rPr>
              <w:t>Instalarea de noi capacități de energie electrică instalate prin investiții în instalații fotovoltaice de mici dimensiuni difuze, în principal pentru autoconsum, presupunând că nu există cofinanțare din partea beneficiarilor.</w:t>
            </w:r>
          </w:p>
        </w:tc>
      </w:tr>
    </w:tbl>
    <w:p w14:paraId="5A094B69" w14:textId="77777777" w:rsidR="00A15990" w:rsidRDefault="00A15990">
      <w:pPr>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276"/>
          <w:headerReference w:type="default" r:id="rId277"/>
          <w:footerReference w:type="even" r:id="rId278"/>
          <w:footerReference w:type="default" r:id="rId279"/>
          <w:headerReference w:type="first" r:id="rId280"/>
          <w:footerReference w:type="first" r:id="rId281"/>
          <w:pgSz w:w="16839" w:h="11907" w:orient="landscape"/>
          <w:pgMar w:top="1134" w:right="1134" w:bottom="1134" w:left="1134" w:header="567" w:footer="567" w:gutter="0"/>
          <w:cols w:space="720"/>
          <w:docGrid w:linePitch="360"/>
        </w:sectPr>
      </w:pPr>
    </w:p>
    <w:p w14:paraId="319EDBBA" w14:textId="77777777" w:rsidR="00A15990" w:rsidRDefault="00686A62">
      <w:pPr>
        <w:pStyle w:val="P68B1DB1-Normal3"/>
        <w:keepNext/>
        <w:spacing w:before="40" w:after="0" w:line="259" w:lineRule="auto"/>
        <w:ind w:left="130" w:firstLine="720"/>
        <w:jc w:val="both"/>
        <w:outlineLvl w:val="1"/>
        <w:rPr>
          <w:rFonts w:eastAsiaTheme="minorEastAsia" w:cs="Times New Roman"/>
          <w:smallCaps/>
          <w:noProof/>
        </w:rPr>
      </w:pPr>
      <w:r>
        <w:rPr>
          <w:noProof/>
        </w:rPr>
        <w:t>O</w:t>
      </w:r>
      <w:r>
        <w:rPr>
          <w:smallCaps/>
          <w:noProof/>
        </w:rPr>
        <w:t xml:space="preserve">. </w:t>
      </w:r>
      <w:r>
        <w:rPr>
          <w:noProof/>
        </w:rPr>
        <w:t>COMPONENTA</w:t>
      </w:r>
      <w:r>
        <w:rPr>
          <w:smallCaps/>
          <w:noProof/>
        </w:rPr>
        <w:t xml:space="preserve"> 1</w:t>
      </w:r>
      <w:r>
        <w:rPr>
          <w:noProof/>
        </w:rPr>
        <w:t>5</w:t>
      </w:r>
      <w:r>
        <w:rPr>
          <w:smallCaps/>
          <w:noProof/>
        </w:rPr>
        <w:t>:</w:t>
      </w:r>
      <w:r>
        <w:rPr>
          <w:noProof/>
        </w:rPr>
        <w:t xml:space="preserve"> Mobilitate durabilă </w:t>
      </w:r>
    </w:p>
    <w:p w14:paraId="36604D95" w14:textId="77777777" w:rsidR="00A15990" w:rsidRDefault="00686A62">
      <w:pPr>
        <w:pStyle w:val="P68B1DB1-Normal4"/>
        <w:spacing w:before="40" w:after="0" w:line="259" w:lineRule="auto"/>
        <w:jc w:val="both"/>
        <w:rPr>
          <w:rFonts w:eastAsiaTheme="minorEastAsia" w:cs="Times New Roman"/>
          <w:noProof/>
        </w:rPr>
      </w:pPr>
      <w:r>
        <w:rPr>
          <w:noProof/>
        </w:rPr>
        <w:t>Această componentă a planului portughez de redresare și reziliență abordează mai multe provocări cu care se confruntă sectorul transporturilor: necesitatea de a reduce emisiile de gaze cu efect de seră și de poluanți, necesitatea de a reduce dependența de un autoturism privat și necesitatea de a garanta o mai bună coeziune socială în zonele urbane.</w:t>
      </w:r>
    </w:p>
    <w:p w14:paraId="278D0CE5"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Obiectivul acestei componente este de a reduce emisiile și de a îmbunătăți transportul public prin extinderea rețelei, făcând-o mai accesibilă și consolidând capacitățile de planificare a transportului public. Se preconizează că acest lucru va duce la creșterea numărului de utilizatori ai transportului public, pentru a încuraja transferul modal de la autoturismul personal la transportul public și pentru a promova o mai bună gestionare și capacități de planificare a transportului. În acest scop, această componentă constă în reforme și investiții care promovează transportul public durabil prin extinderea metroului de la Lisabona și Porto, construirea unui sistem feroviar ușor la Lisabona, a unui sistem de tranzit rapid cu autobuzul în Porto și achiziționarea de autobuze cu emisii zero pentru transportul public. </w:t>
      </w:r>
    </w:p>
    <w:p w14:paraId="693476C5" w14:textId="77777777" w:rsidR="00A15990" w:rsidRDefault="00686A62">
      <w:pPr>
        <w:pStyle w:val="P68B1DB1-Normal4"/>
        <w:spacing w:before="40" w:after="0" w:line="259" w:lineRule="auto"/>
        <w:jc w:val="both"/>
        <w:rPr>
          <w:rFonts w:eastAsiaTheme="minorEastAsia" w:cs="Times New Roman"/>
          <w:noProof/>
        </w:rPr>
      </w:pPr>
      <w:r>
        <w:rPr>
          <w:noProof/>
        </w:rPr>
        <w:t>Componenta contribuie la abordarea recomandării specifice fiecărei țări privind concentrarea investițiilor pe tranziția verde (recomandarea specifică fiecărei țări 3 2020).</w:t>
      </w:r>
    </w:p>
    <w:p w14:paraId="1CBD4BA5" w14:textId="77777777" w:rsidR="00A15990" w:rsidRDefault="00686A62">
      <w:pPr>
        <w:pStyle w:val="P68B1DB1-Normal4"/>
        <w:spacing w:before="40" w:after="0" w:line="259" w:lineRule="auto"/>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250BB7E2" w14:textId="77777777" w:rsidR="00A15990" w:rsidRDefault="00A15990">
      <w:pPr>
        <w:spacing w:before="40" w:after="0" w:line="259" w:lineRule="auto"/>
        <w:jc w:val="both"/>
        <w:rPr>
          <w:rFonts w:ascii="Times New Roman" w:eastAsiaTheme="minorEastAsia" w:hAnsi="Times New Roman" w:cs="Times New Roman"/>
          <w:noProof/>
          <w:sz w:val="24"/>
        </w:rPr>
      </w:pPr>
    </w:p>
    <w:p w14:paraId="4D9A22C1" w14:textId="77777777" w:rsidR="00A15990" w:rsidRDefault="00686A62">
      <w:pPr>
        <w:pStyle w:val="P68B1DB1-Normal3"/>
        <w:spacing w:before="40" w:after="0" w:line="259" w:lineRule="auto"/>
        <w:ind w:left="130" w:firstLine="720"/>
        <w:jc w:val="both"/>
        <w:outlineLvl w:val="1"/>
        <w:rPr>
          <w:rFonts w:eastAsiaTheme="minorEastAsia" w:cs="Times New Roman"/>
          <w:i/>
          <w:noProof/>
        </w:rPr>
      </w:pPr>
      <w:r>
        <w:rPr>
          <w:noProof/>
        </w:rPr>
        <w:t xml:space="preserve">O.1. </w:t>
      </w:r>
      <w:r>
        <w:rPr>
          <w:noProof/>
        </w:rPr>
        <w:tab/>
        <w:t>Descrierea reformelor și a investițiilor pentru sprijinul financiar nerambursabil</w:t>
      </w:r>
    </w:p>
    <w:p w14:paraId="2D343529"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 xml:space="preserve">Reforma CC 30: Reforma ecosistemului transporturilor </w:t>
      </w:r>
    </w:p>
    <w:p w14:paraId="46E820B7" w14:textId="77777777" w:rsidR="00A15990" w:rsidRDefault="00686A62">
      <w:pPr>
        <w:pStyle w:val="P68B1DB1-Normal4"/>
        <w:spacing w:before="40" w:after="0" w:line="259" w:lineRule="auto"/>
        <w:jc w:val="both"/>
        <w:rPr>
          <w:rFonts w:eastAsiaTheme="minorEastAsia" w:cs="Times New Roman"/>
          <w:noProof/>
        </w:rPr>
      </w:pPr>
      <w:r>
        <w:rPr>
          <w:noProof/>
        </w:rPr>
        <w:t>Obiectivul reformei este de a consolida autoritățile de transport public, capacitățile și competențele acestora și, astfel, de a le spori capacitatea de a planifica mai bine sistemele de transport pe care le gestionează și de a spori utilizarea transportului public. Acesta promovează consolidarea capacităților autorităților de transport public prin sprijin pentru achiziționarea de instrumente de planificare și gestionare a sistemului de transport, noi soluții digitale care facilitează utilizarea transportului public și sprijin pentru modernizarea sistemelor de emitere a biletelor și monitorizarea operațiunilor, printre altele. Acesta sprijină autoritățile de gestionare a transporturilor să pregătească, să încheie și să pună în aplicare contractarea serviciilor publice de transport de călători în toate zonele metropolitane (AM) și în comunitățile intermunicipale (CIM), în conformitate cu Regulamentul (CE) nr. 1370/2007 al Parlamentului European și al Consiliului din 23 octombrie 2007 privind serviciile publice de transport feroviar și rutier de călători și de abrogare a Regulamentelor (CEE) nr. 1191/69 și nr. 1107/70 ale Consiliului. Aceasta îmbunătățește condițiile de acces la transportul public prin punerea în aplicare a unor programe de tarife reduse (</w:t>
      </w:r>
      <w:r>
        <w:rPr>
          <w:i/>
          <w:noProof/>
        </w:rPr>
        <w:t>Programa de Apoio à Redução do Tarifário dos Transportes Públicos</w:t>
      </w:r>
      <w:r>
        <w:rPr>
          <w:noProof/>
        </w:rPr>
        <w:t>, PART) și servicii de transport mai bune și mai ecologice (</w:t>
      </w:r>
      <w:r>
        <w:rPr>
          <w:i/>
          <w:noProof/>
        </w:rPr>
        <w:t>Programa de Apoio à Densificação e Reforço da Oferta de Transporte Público</w:t>
      </w:r>
      <w:r>
        <w:rPr>
          <w:noProof/>
        </w:rPr>
        <w:t>, PROTransP), precum și prin punerea în aplicare a unor măsuri fiscale în beneficiul utilizatorului transportului public, cum ar fi deducerea fiscală a taxei pe valoarea adăugată asociate achiziționării biletelor lunare de transport public.</w:t>
      </w:r>
    </w:p>
    <w:p w14:paraId="523BD682" w14:textId="77777777" w:rsidR="00A15990" w:rsidRDefault="00686A62">
      <w:pPr>
        <w:pStyle w:val="P68B1DB1-Normal4"/>
        <w:spacing w:before="40" w:after="0" w:line="259" w:lineRule="auto"/>
        <w:jc w:val="both"/>
        <w:rPr>
          <w:rFonts w:eastAsiaTheme="minorEastAsia" w:cs="Times New Roman"/>
          <w:noProof/>
        </w:rPr>
      </w:pPr>
      <w:r>
        <w:rPr>
          <w:noProof/>
        </w:rPr>
        <w:t>Punerea în aplicare a reformei se finalizează până la 31 decembrie 2023.</w:t>
      </w:r>
    </w:p>
    <w:p w14:paraId="5CA124BF" w14:textId="77777777" w:rsidR="00A15990" w:rsidRDefault="00686A62">
      <w:pPr>
        <w:pStyle w:val="P68B1DB1-Normal5"/>
        <w:widowControl w:val="0"/>
        <w:spacing w:before="240" w:after="0" w:line="259" w:lineRule="auto"/>
        <w:ind w:left="851"/>
        <w:jc w:val="both"/>
        <w:outlineLvl w:val="2"/>
        <w:rPr>
          <w:rFonts w:eastAsiaTheme="minorEastAsia" w:cs="Times New Roman"/>
          <w:noProof/>
        </w:rPr>
      </w:pPr>
      <w:r>
        <w:rPr>
          <w:noProof/>
        </w:rPr>
        <w:t xml:space="preserve">Investiții TC-C15-I01: Extinderea rețelei de metrou din Lisabona – Linia Roșie la Alcântara </w:t>
      </w:r>
    </w:p>
    <w:p w14:paraId="2D0BA654" w14:textId="77777777" w:rsidR="00A15990" w:rsidRDefault="00686A62">
      <w:pPr>
        <w:pStyle w:val="P68B1DB1-Normal4"/>
        <w:widowControl w:val="0"/>
        <w:spacing w:before="40" w:after="0" w:line="259" w:lineRule="auto"/>
        <w:jc w:val="both"/>
        <w:rPr>
          <w:rFonts w:eastAsiaTheme="minorEastAsia" w:cs="Times New Roman"/>
          <w:noProof/>
        </w:rPr>
      </w:pPr>
      <w:r>
        <w:rPr>
          <w:noProof/>
        </w:rPr>
        <w:t>Obiectivul măsurii este de a spori atractivitatea transportului public în Lisabona și de a atrage mai mulți utilizatori printr-o extindere a rețelei de metrou.</w:t>
      </w:r>
    </w:p>
    <w:p w14:paraId="32F8B06B" w14:textId="77777777" w:rsidR="00A15990" w:rsidRDefault="00686A62">
      <w:pPr>
        <w:pStyle w:val="P68B1DB1-Normal4"/>
        <w:widowControl w:val="0"/>
        <w:spacing w:before="40" w:after="0" w:line="259" w:lineRule="auto"/>
        <w:jc w:val="both"/>
        <w:rPr>
          <w:rFonts w:eastAsiaTheme="minorEastAsia" w:cs="Times New Roman"/>
          <w:noProof/>
        </w:rPr>
      </w:pPr>
      <w:r>
        <w:rPr>
          <w:noProof/>
        </w:rPr>
        <w:t xml:space="preserve">Investiția constă într-o extindere a rețelei de metrou din Lisabona la Alcântara, adăugând 3,7 km și patru stații la rețea. Acest lucru va transforma Alcântara într-o nouă interfață de transport importantă care asigură o legătură între rețeaua de metrou și serviciile feroviare suburbane. </w:t>
      </w:r>
    </w:p>
    <w:p w14:paraId="0994D2CA" w14:textId="3517EDB9" w:rsidR="00A15990" w:rsidRDefault="00686A62">
      <w:pPr>
        <w:pStyle w:val="P68B1DB1-Normal4"/>
        <w:widowControl w:val="0"/>
        <w:spacing w:before="40" w:after="0" w:line="259" w:lineRule="auto"/>
        <w:jc w:val="both"/>
        <w:rPr>
          <w:rFonts w:eastAsiaTheme="minorEastAsia" w:cs="Times New Roman"/>
          <w:noProof/>
        </w:rPr>
      </w:pPr>
      <w:r>
        <w:rPr>
          <w:noProof/>
        </w:rPr>
        <w:t>Punerea în aplicare a investiției se va finaliza până la 30 iunie 2026.</w:t>
      </w:r>
    </w:p>
    <w:p w14:paraId="2D6741A9"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Investiții TC-C15-I02: Extinderea rețelei Porto Metro – Casa da Música-Santo Ovídio</w:t>
      </w:r>
    </w:p>
    <w:p w14:paraId="6D4EC5A9" w14:textId="77777777" w:rsidR="00A15990" w:rsidRDefault="00686A62">
      <w:pPr>
        <w:pStyle w:val="P68B1DB1-Normal4"/>
        <w:keepNext/>
        <w:spacing w:before="40" w:after="0" w:line="259" w:lineRule="auto"/>
        <w:jc w:val="both"/>
        <w:rPr>
          <w:rFonts w:eastAsiaTheme="minorEastAsia" w:cs="Times New Roman"/>
          <w:noProof/>
        </w:rPr>
      </w:pPr>
      <w:r>
        <w:rPr>
          <w:noProof/>
        </w:rPr>
        <w:t>Obiectivul măsurii este de a spori atractivitatea transportului public în Porto și de a atrage mai mulți utilizatori. Scopul său este de a extinde acoperirea teritorială a rețelei de metrou și de a aborda problemele de congestionare a axei Porto – Vila Nova de Gaia.</w:t>
      </w:r>
    </w:p>
    <w:p w14:paraId="0201D95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într-o extindere a rețelei de metrou din Porto prin construirea unei noi linii de cale ferată duble de 6,74 km cu 8 stații noi între Boavista/Casa da Música din Porto și o nouă stație care urmează să fie construită în Santo Ovídio (interfață cu linia Amarela) Vila Nova de Gaia. </w:t>
      </w:r>
    </w:p>
    <w:p w14:paraId="1BFC66BB" w14:textId="4078E263"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p w14:paraId="3600650C" w14:textId="0045A331"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Investiții TC-C15-I04: Autobuz Rapid Transit Boavista – Império </w:t>
      </w:r>
    </w:p>
    <w:p w14:paraId="483142D1"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măsurii este de a spori atractivitatea transportului public în Porto și de a atrage mai mulți utilizatori. Scopul său este de a reduce emisiile de gaze cu efect de seră și de poluanți și de a încuraja transferul modal de la transportul rutier. </w:t>
      </w:r>
    </w:p>
    <w:p w14:paraId="24DD3461" w14:textId="2E7E71C1"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constă în crearea unui nou sistem de tranzit rapid cu autobuzul (benzi dedicate în principal autobuzelor) de 3,8 km și 7 gări între Praça do Império și Praça Mouzinho de Albuquerque din Porto, asigurând o conexiune la rețeaua de metrou din Porto. Sistemul de tranzit rapid cu autobuzul este operat de autobuze cu emisii zero (electrice sau pe bază de hidrogen). </w:t>
      </w:r>
    </w:p>
    <w:p w14:paraId="552F28A8" w14:textId="54BD3E6B"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septembrie 2024.</w:t>
      </w:r>
    </w:p>
    <w:p w14:paraId="0D379072"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Investiții TC-C15-I05: Decarbonizarea transportului public</w:t>
      </w:r>
    </w:p>
    <w:p w14:paraId="27AD2FF8"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măsurii este de a reînnoi și decarboniza flota de transport public din Portugalia prin furnizarea de autobuze cu emisii zero. </w:t>
      </w:r>
    </w:p>
    <w:p w14:paraId="3A160CAB" w14:textId="7B1069C1"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sprijin financiar pentru achiziționarea a 145 de autobuze cu emisii zero (electrice sau pe bază de hidrogen) pentru transportul public și a infrastructurii de încărcare pentru exploatarea acestora. Sprijinul se acordă sub forma unei subvenții nerambursabile a diferenței dintre costurile de achiziție ale unui autobuz cu emisii zero (electric sau hidrogen) și ale unui vehicul diesel echivalent (EURO VI). Autobuzele sunt utilizate pentru prestarea de servicii publice de transport de călători în cadrul contractelor de servicii publice în zonele metropolitane Lisabona și Porto. </w:t>
      </w:r>
    </w:p>
    <w:p w14:paraId="30E9508A"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2023.</w:t>
      </w:r>
    </w:p>
    <w:p w14:paraId="3EA4262B" w14:textId="17791992" w:rsidR="00A15990" w:rsidRDefault="00686A62">
      <w:pPr>
        <w:pStyle w:val="P68B1DB1-Normal5"/>
        <w:keepNext/>
        <w:spacing w:before="240" w:after="0" w:line="259" w:lineRule="auto"/>
        <w:ind w:left="851"/>
        <w:jc w:val="both"/>
        <w:outlineLvl w:val="2"/>
        <w:rPr>
          <w:rFonts w:eastAsiaTheme="minorEastAsia" w:cs="Times New Roman"/>
          <w:noProof/>
        </w:rPr>
      </w:pPr>
      <w:bookmarkStart w:id="30" w:name="_Toc137472463"/>
      <w:r>
        <w:rPr>
          <w:noProof/>
        </w:rPr>
        <w:t>Investiții TC-C15-I06: Digitalizarea transportului feroviar</w:t>
      </w:r>
      <w:bookmarkEnd w:id="30"/>
    </w:p>
    <w:p w14:paraId="3A592227" w14:textId="2C1D33A4" w:rsidR="00A15990" w:rsidRDefault="00686A62">
      <w:pPr>
        <w:pStyle w:val="P68B1DB1-Normal4"/>
        <w:spacing w:before="40" w:after="0" w:line="259" w:lineRule="auto"/>
        <w:jc w:val="both"/>
        <w:rPr>
          <w:rFonts w:cs="Times New Roman"/>
          <w:noProof/>
        </w:rPr>
      </w:pPr>
      <w:r>
        <w:rPr>
          <w:noProof/>
        </w:rPr>
        <w:t>Scopul acestei investiții este de a face linia nordică a rețelei feroviare naționale (RFN) compatibilă cu noua linie feroviară de mare viteză (LAV) prin înlocuirea sistemelor de semnalizare electronică. Se preconizează că acest lucru va îmbunătăți interoperabilitatea RFN cu spațiul feroviar unic european.</w:t>
      </w:r>
    </w:p>
    <w:p w14:paraId="0880068A" w14:textId="3E3F8752" w:rsidR="00A15990" w:rsidRDefault="00686A62">
      <w:pPr>
        <w:pStyle w:val="P68B1DB1-Normal4"/>
        <w:spacing w:before="40" w:after="0" w:line="259" w:lineRule="auto"/>
        <w:jc w:val="both"/>
        <w:rPr>
          <w:rFonts w:cs="Times New Roman"/>
          <w:noProof/>
        </w:rPr>
      </w:pPr>
      <w:r>
        <w:rPr>
          <w:noProof/>
        </w:rPr>
        <w:t>Această investiție constă în înlocuirea sistemelor de semnalizare electronică din gările Campolide-Cintura, Oriente, Alverca și Azambuja, acoperind 20 km de linii de cale ferată în zona metropolitană Lisabona.</w:t>
      </w:r>
    </w:p>
    <w:p w14:paraId="3287A3D7" w14:textId="77777777" w:rsidR="00A15990" w:rsidRDefault="00686A62">
      <w:pPr>
        <w:pStyle w:val="P68B1DB1-Normal4"/>
        <w:spacing w:before="40" w:after="0" w:line="259" w:lineRule="auto"/>
        <w:jc w:val="both"/>
        <w:rPr>
          <w:rFonts w:cs="Times New Roman"/>
          <w:noProof/>
        </w:rPr>
      </w:pPr>
      <w:r>
        <w:rPr>
          <w:noProof/>
        </w:rPr>
        <w:t>Punerea în aplicare a investiției se va finaliza până la 30 iunie 2026.</w:t>
      </w:r>
    </w:p>
    <w:p w14:paraId="39B0B8B1"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62B6A681" w14:textId="65744CBC"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282"/>
          <w:headerReference w:type="default" r:id="rId283"/>
          <w:footerReference w:type="even" r:id="rId284"/>
          <w:footerReference w:type="default" r:id="rId285"/>
          <w:headerReference w:type="first" r:id="rId286"/>
          <w:footerReference w:type="first" r:id="rId287"/>
          <w:pgSz w:w="11907" w:h="16839"/>
          <w:pgMar w:top="1134" w:right="1134" w:bottom="1134" w:left="1134" w:header="567" w:footer="567" w:gutter="0"/>
          <w:cols w:space="720"/>
          <w:docGrid w:linePitch="360"/>
        </w:sectPr>
      </w:pPr>
    </w:p>
    <w:p w14:paraId="141E7B95"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 xml:space="preserve">O.2. </w:t>
      </w:r>
      <w:r>
        <w:rPr>
          <w:noProof/>
        </w:rPr>
        <w:tab/>
        <w:t>Obiective de etapă, ținte, indicatori și calendar pentru monitorizarea și punerea în aplicare a sprijinului financiar nerambursabil</w:t>
      </w:r>
    </w:p>
    <w:p w14:paraId="7077B900"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A15990" w14:paraId="7CC6D94E"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C0125D8"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315983A"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E7DAADC" w14:textId="32E33FDA"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6107FD4" w14:textId="77777777" w:rsidR="00A15990" w:rsidRDefault="00686A62">
            <w:pPr>
              <w:pStyle w:val="P68B1DB1-Normal6"/>
              <w:spacing w:after="0" w:line="240" w:lineRule="auto"/>
              <w:jc w:val="center"/>
              <w:rPr>
                <w:rFonts w:eastAsia="Times New Roman" w:cs="Times New Roman"/>
                <w:noProof/>
              </w:rPr>
            </w:pPr>
            <w:r>
              <w:rPr>
                <w:noProof/>
              </w:rPr>
              <w:t>Nume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204D3E9"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3E428110"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85E208D"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E137D9D"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68581FC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38B8D7A"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BF832C"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180096" w14:textId="61D5DCDC" w:rsidR="00A15990" w:rsidRDefault="00A15990">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DB268C" w14:textId="77777777" w:rsidR="00A15990" w:rsidRDefault="00A15990">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2E62C192" w14:textId="77777777" w:rsidR="00A15990" w:rsidRDefault="00A15990">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DA8C97F"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46BD3D"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7D6BE88"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4581423"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2096D69" w14:textId="77777777" w:rsidR="00A15990" w:rsidRDefault="00686A62">
            <w:pPr>
              <w:pStyle w:val="P68B1DB1-Normal6"/>
              <w:spacing w:after="0" w:line="240" w:lineRule="auto"/>
              <w:jc w:val="center"/>
              <w:rPr>
                <w:rFonts w:eastAsia="Times New Roman" w:cs="Times New Roman"/>
                <w:noProof/>
              </w:rPr>
            </w:pPr>
            <w:r>
              <w:rPr>
                <w:noProof/>
              </w:rPr>
              <w:t>Anul</w:t>
            </w:r>
          </w:p>
        </w:tc>
        <w:tc>
          <w:tcPr>
            <w:tcW w:w="4395" w:type="dxa"/>
            <w:vMerge/>
            <w:tcBorders>
              <w:top w:val="single" w:sz="4" w:space="0" w:color="auto"/>
              <w:bottom w:val="single" w:sz="4" w:space="0" w:color="auto"/>
              <w:right w:val="single" w:sz="4" w:space="0" w:color="auto"/>
            </w:tcBorders>
            <w:vAlign w:val="center"/>
            <w:hideMark/>
          </w:tcPr>
          <w:p w14:paraId="4EB74829" w14:textId="77777777" w:rsidR="00A15990" w:rsidRDefault="00A15990">
            <w:pPr>
              <w:spacing w:after="0" w:line="240" w:lineRule="auto"/>
              <w:rPr>
                <w:rFonts w:ascii="Times New Roman" w:eastAsia="Times New Roman" w:hAnsi="Times New Roman" w:cs="Times New Roman"/>
                <w:b/>
                <w:noProof/>
                <w:sz w:val="18"/>
              </w:rPr>
            </w:pPr>
          </w:p>
        </w:tc>
      </w:tr>
      <w:tr w:rsidR="00A15990" w14:paraId="50AD3AE2"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7C77800" w14:textId="5F17094A" w:rsidR="00A15990" w:rsidRDefault="00686A62">
            <w:pPr>
              <w:pStyle w:val="P68B1DB1-Normal7"/>
              <w:spacing w:after="0" w:line="240" w:lineRule="auto"/>
              <w:jc w:val="center"/>
              <w:rPr>
                <w:rFonts w:eastAsia="Times New Roman" w:cs="Calibri"/>
                <w:noProof/>
              </w:rPr>
            </w:pPr>
            <w:r>
              <w:rPr>
                <w:noProof/>
              </w:rPr>
              <w:t>15.1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534AA6" w14:textId="77777777" w:rsidR="00A15990" w:rsidRDefault="00686A62">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863BA6A"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4F354DE" w14:textId="77777777" w:rsidR="00A15990" w:rsidRDefault="00686A62">
            <w:pPr>
              <w:pStyle w:val="P68B1DB1-Normal8"/>
              <w:spacing w:after="0" w:line="240" w:lineRule="auto"/>
              <w:jc w:val="center"/>
              <w:rPr>
                <w:rFonts w:eastAsia="Times New Roman" w:cs="Calibri"/>
                <w:noProof/>
              </w:rPr>
            </w:pPr>
            <w:r>
              <w:rPr>
                <w:noProof/>
              </w:rPr>
              <w:t>Semnarea contractului pentru extinderea rețelei de metrou Lisabona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0B92C0" w14:textId="77777777" w:rsidR="00A15990" w:rsidRDefault="00686A62">
            <w:pPr>
              <w:pStyle w:val="P68B1DB1-Normal8"/>
              <w:spacing w:after="0" w:line="240" w:lineRule="auto"/>
              <w:jc w:val="center"/>
              <w:rPr>
                <w:rFonts w:eastAsia="Times New Roman" w:cs="Calibri"/>
                <w:noProof/>
              </w:rPr>
            </w:pPr>
            <w:r>
              <w:rPr>
                <w:noProof/>
              </w:rPr>
              <w:t>Semnarea contractului pentru extinderea rețelei de metrou Lisabona</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09C23E" w14:textId="77777777" w:rsidR="00A15990" w:rsidRDefault="00A15990">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6D8CFA"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FC64576"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4639643" w14:textId="3FB61DFB" w:rsidR="00A15990" w:rsidRDefault="00686A62">
            <w:pPr>
              <w:pStyle w:val="P68B1DB1-Normal8"/>
              <w:spacing w:after="0" w:line="240" w:lineRule="auto"/>
              <w:jc w:val="center"/>
              <w:rPr>
                <w:rFonts w:eastAsia="Times New Roman" w:cs="Calibri"/>
                <w:noProof/>
              </w:rPr>
            </w:pPr>
            <w:r>
              <w:rPr>
                <w:noProof/>
              </w:rPr>
              <w:t>TRIMESTRUL 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B884C5F" w14:textId="48A8EC3E" w:rsidR="00A15990" w:rsidRDefault="00686A62">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6E6D604" w14:textId="77777777" w:rsidR="00A15990" w:rsidRDefault="00686A62">
            <w:pPr>
              <w:pStyle w:val="P68B1DB1-Normal8"/>
              <w:spacing w:after="0" w:line="240" w:lineRule="auto"/>
              <w:jc w:val="both"/>
              <w:rPr>
                <w:rFonts w:eastAsia="Times New Roman" w:cs="Calibri"/>
                <w:noProof/>
              </w:rPr>
            </w:pPr>
            <w:r>
              <w:rPr>
                <w:noProof/>
              </w:rPr>
              <w:t xml:space="preserve">Semnarea contractului de implementare a proiectului între autoritățile publice și contractantul selectat în cadrul unei proceduri de licitație. Scopul contractului este extinderea rețelei de metrou Lisabona (linia roșie la Alcântara). </w:t>
            </w:r>
          </w:p>
        </w:tc>
      </w:tr>
      <w:tr w:rsidR="00A15990" w14:paraId="40BA7885"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0B8CB5E" w14:textId="0618E02F" w:rsidR="00A15990" w:rsidRDefault="00686A62">
            <w:pPr>
              <w:pStyle w:val="P68B1DB1-Normal7"/>
              <w:spacing w:after="0" w:line="240" w:lineRule="auto"/>
              <w:jc w:val="center"/>
              <w:rPr>
                <w:rFonts w:eastAsia="Times New Roman" w:cs="Calibri"/>
                <w:noProof/>
              </w:rPr>
            </w:pPr>
            <w:r>
              <w:rPr>
                <w:noProof/>
              </w:rPr>
              <w:t>15.2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5E91C3" w14:textId="77777777" w:rsidR="00A15990" w:rsidRDefault="00686A62">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30AE406"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3DA6929" w14:textId="77777777" w:rsidR="00A15990" w:rsidRDefault="00686A62">
            <w:pPr>
              <w:pStyle w:val="P68B1DB1-Normal8"/>
              <w:spacing w:after="0" w:line="240" w:lineRule="auto"/>
              <w:jc w:val="center"/>
              <w:rPr>
                <w:rFonts w:eastAsia="Times New Roman" w:cs="Calibri"/>
                <w:noProof/>
              </w:rPr>
            </w:pPr>
            <w:r>
              <w:rPr>
                <w:noProof/>
              </w:rPr>
              <w:t xml:space="preserve">Raport privind progresele înregistrate cu privire la extinderea rețelei de metrou din Lisabona </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D011F76" w14:textId="70D73D4F" w:rsidR="00A15990" w:rsidRDefault="00686A62">
            <w:pPr>
              <w:pStyle w:val="P68B1DB1-Normal8"/>
              <w:spacing w:after="0" w:line="240" w:lineRule="auto"/>
              <w:jc w:val="center"/>
              <w:rPr>
                <w:rFonts w:eastAsia="Times New Roman" w:cs="Calibri"/>
                <w:noProof/>
              </w:rPr>
            </w:pPr>
            <w:r>
              <w:rPr>
                <w:noProof/>
              </w:rPr>
              <w:t>Raport privind progresele înregistrate, în care se precizează că lucrările avansează conform calendarului</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F20F358" w14:textId="77777777" w:rsidR="00A15990" w:rsidRDefault="00A15990">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E244C04"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84EF25"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D75967" w14:textId="137BD9FF" w:rsidR="00A15990" w:rsidRDefault="00686A62">
            <w:pPr>
              <w:pStyle w:val="P68B1DB1-Normal8"/>
              <w:spacing w:after="0" w:line="240" w:lineRule="auto"/>
              <w:jc w:val="center"/>
              <w:rPr>
                <w:rFonts w:eastAsia="Times New Roman" w:cs="Calibri"/>
                <w:noProof/>
              </w:rPr>
            </w:pPr>
            <w:r>
              <w:rPr>
                <w:noProof/>
              </w:rPr>
              <w:t>TRIMESTRUL 1</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78D7ABE" w14:textId="1166CC74" w:rsidR="00A15990" w:rsidRDefault="00686A62">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AA98F4" w14:textId="30667D2A" w:rsidR="00A15990" w:rsidRDefault="00686A62">
            <w:pPr>
              <w:pStyle w:val="P68B1DB1-Normal8"/>
              <w:spacing w:after="0" w:line="240" w:lineRule="auto"/>
              <w:jc w:val="both"/>
              <w:rPr>
                <w:rFonts w:eastAsia="Times New Roman" w:cs="Calibri"/>
                <w:noProof/>
              </w:rPr>
            </w:pPr>
            <w:r>
              <w:rPr>
                <w:noProof/>
              </w:rPr>
              <w:t>Dezvoltarea lucrărilor de extindere a rețelei de metrou din Lisabona și respectarea calendarului de execuție a acestora se măsoară prin rapoarte periodice privind progresele înregistrate pe toată durata executării lucrărilor. Aceasta include evaluarea evoluției lucrărilor în conformitate cu calendarul planificat, inclusiv identificarea activităților deja finalizate, identificarea activităților care urmează să fie desfășurate, precum și o analiză de risc a termenelor de punere în aplicare propuse, însoțită, dacă este necesar, de un plan de atenuare și de urgență pentru a se asigura că contractul este finalizat în termenele propuse. Jalonul este îndeplinit dacă raportul intermediar indică faptul că, la momentul realizării jalonului, lucrările avansează conform calendarului.</w:t>
            </w:r>
          </w:p>
        </w:tc>
      </w:tr>
      <w:tr w:rsidR="00A15990" w14:paraId="21365F71"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AE62C7" w14:textId="77777777" w:rsidR="00A15990" w:rsidRDefault="00686A62">
            <w:pPr>
              <w:pStyle w:val="P68B1DB1-Normal7"/>
              <w:spacing w:after="0" w:line="240" w:lineRule="auto"/>
              <w:jc w:val="center"/>
              <w:rPr>
                <w:rFonts w:eastAsia="Times New Roman" w:cs="Calibri"/>
                <w:noProof/>
              </w:rPr>
            </w:pPr>
            <w:r>
              <w:rPr>
                <w:noProof/>
              </w:rPr>
              <w:t>15.3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104BAD" w14:textId="77777777" w:rsidR="00A15990" w:rsidRDefault="00686A62">
            <w:pPr>
              <w:pStyle w:val="P68B1DB1-Normal8"/>
              <w:spacing w:after="0" w:line="240" w:lineRule="auto"/>
              <w:jc w:val="center"/>
              <w:rPr>
                <w:rFonts w:eastAsia="Times New Roman" w:cs="Calibri"/>
                <w:noProof/>
              </w:rPr>
            </w:pPr>
            <w:r>
              <w:rPr>
                <w:noProof/>
              </w:rPr>
              <w:t>TC-C15-I01</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1340E74"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51B537B" w14:textId="77777777" w:rsidR="00A15990" w:rsidRDefault="00686A62">
            <w:pPr>
              <w:pStyle w:val="P68B1DB1-Normal8"/>
              <w:spacing w:after="0" w:line="240" w:lineRule="auto"/>
              <w:jc w:val="center"/>
              <w:rPr>
                <w:rFonts w:eastAsia="Times New Roman" w:cs="Calibri"/>
                <w:noProof/>
              </w:rPr>
            </w:pPr>
            <w:r>
              <w:rPr>
                <w:noProof/>
              </w:rPr>
              <w:t>Finalizarea extinderii rețelei de metrou din Lisabona</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45E5945" w14:textId="77777777" w:rsidR="00A15990" w:rsidRDefault="00A15990">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2937FC3"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99318E"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0CFF" w14:textId="77777777" w:rsidR="00A15990" w:rsidRDefault="00686A62">
            <w:pPr>
              <w:pStyle w:val="P68B1DB1-Normal8"/>
              <w:spacing w:after="0" w:line="240" w:lineRule="auto"/>
              <w:jc w:val="center"/>
              <w:rPr>
                <w:rFonts w:eastAsia="Times New Roman" w:cs="Calibri"/>
                <w:noProof/>
              </w:rPr>
            </w:pPr>
            <w:r>
              <w:rPr>
                <w:noProof/>
              </w:rPr>
              <w:t>3,7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726894" w14:textId="2FBE3630" w:rsidR="00A15990" w:rsidRDefault="00686A62">
            <w:pPr>
              <w:pStyle w:val="P68B1DB1-Normal8"/>
              <w:spacing w:after="0" w:line="240" w:lineRule="auto"/>
              <w:jc w:val="center"/>
              <w:rPr>
                <w:rFonts w:eastAsia="Times New Roman" w:cs="Calibri"/>
                <w:noProof/>
              </w:rPr>
            </w:pPr>
            <w:r>
              <w:rPr>
                <w:noProof/>
              </w:rPr>
              <w:t>TRIMESTRUL 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722DCB8" w14:textId="2F31A42F" w:rsidR="00A15990" w:rsidRDefault="00686A62">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7A4859" w14:textId="77777777" w:rsidR="00A15990" w:rsidRDefault="00686A62">
            <w:pPr>
              <w:pStyle w:val="P68B1DB1-Normal8"/>
              <w:spacing w:after="0" w:line="240" w:lineRule="auto"/>
              <w:jc w:val="both"/>
              <w:rPr>
                <w:rFonts w:eastAsia="Times New Roman" w:cs="Calibri"/>
                <w:noProof/>
              </w:rPr>
            </w:pPr>
            <w:r>
              <w:rPr>
                <w:noProof/>
              </w:rPr>
              <w:t>Durata lucrărilor de construcție finalizate pentru extinderea rețelei de metrou Lisabona (3,3 km în tunel și 0,4 km în viaduct) prin extinderea liniei roșii la Alcântara. Linia de metrou extinsă este pregătită pentru exploatarea imediată a serviciilor de transport planificate.</w:t>
            </w:r>
          </w:p>
        </w:tc>
      </w:tr>
      <w:tr w:rsidR="00A15990" w14:paraId="0A9DA7D4" w14:textId="77777777">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DF8351D" w14:textId="77777777" w:rsidR="00A15990" w:rsidRDefault="00686A62">
            <w:pPr>
              <w:pStyle w:val="P68B1DB1-Normal7"/>
              <w:spacing w:after="0" w:line="240" w:lineRule="auto"/>
              <w:jc w:val="center"/>
              <w:rPr>
                <w:rFonts w:eastAsia="Times New Roman" w:cs="Calibri"/>
                <w:noProof/>
              </w:rPr>
            </w:pPr>
            <w:r>
              <w:rPr>
                <w:noProof/>
              </w:rPr>
              <w:t>15.4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61A62D0" w14:textId="77777777" w:rsidR="00A15990" w:rsidRDefault="00686A62">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D4DB820"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99D997C" w14:textId="77777777" w:rsidR="00A15990" w:rsidRDefault="00686A62">
            <w:pPr>
              <w:pStyle w:val="P68B1DB1-Normal8"/>
              <w:spacing w:after="0" w:line="240" w:lineRule="auto"/>
              <w:jc w:val="center"/>
              <w:rPr>
                <w:rFonts w:eastAsia="Times New Roman" w:cs="Calibri"/>
                <w:noProof/>
              </w:rPr>
            </w:pPr>
            <w:r>
              <w:rPr>
                <w:noProof/>
              </w:rPr>
              <w:t>Semnarea contractului pentru extinderea rețelei de metrou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161F9D" w14:textId="77777777" w:rsidR="00A15990" w:rsidRDefault="00686A62">
            <w:pPr>
              <w:pStyle w:val="P68B1DB1-Normal8"/>
              <w:spacing w:after="0" w:line="240" w:lineRule="auto"/>
              <w:jc w:val="center"/>
              <w:rPr>
                <w:rFonts w:eastAsia="Times New Roman" w:cs="Calibri"/>
                <w:noProof/>
              </w:rPr>
            </w:pPr>
            <w:r>
              <w:rPr>
                <w:noProof/>
              </w:rPr>
              <w:t>Semnarea contractului pentru extinderea rețelei de metrou Porto</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C77D4A" w14:textId="77777777" w:rsidR="00A15990" w:rsidRDefault="00686A62">
            <w:pPr>
              <w:pStyle w:val="P68B1DB1-Normal8"/>
              <w:spacing w:after="0" w:line="240" w:lineRule="auto"/>
              <w:jc w:val="center"/>
              <w:rPr>
                <w:rFonts w:eastAsia="Times New Roman" w:cs="Calibri"/>
                <w:noProof/>
              </w:rPr>
            </w:pPr>
            <w:r>
              <w:rPr>
                <w:noProof/>
              </w:rPr>
              <w:t>—</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1E3CA6"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C09920F"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6352D8E" w14:textId="1E746343" w:rsidR="00A15990" w:rsidRDefault="00686A62">
            <w:pPr>
              <w:pStyle w:val="P68B1DB1-Normal8"/>
              <w:spacing w:after="0" w:line="240" w:lineRule="auto"/>
              <w:jc w:val="center"/>
              <w:rPr>
                <w:rFonts w:eastAsia="Times New Roman" w:cs="Calibri"/>
                <w:noProof/>
              </w:rPr>
            </w:pPr>
            <w:r>
              <w:rPr>
                <w:noProof/>
              </w:rPr>
              <w:t>TRIMESTRUL 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216DD7" w14:textId="77777777" w:rsidR="00A15990" w:rsidRDefault="00686A62">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8EFE" w14:textId="77777777" w:rsidR="00A15990" w:rsidRDefault="00686A62">
            <w:pPr>
              <w:pStyle w:val="P68B1DB1-Normal8"/>
              <w:spacing w:after="0" w:line="240" w:lineRule="auto"/>
              <w:jc w:val="both"/>
              <w:rPr>
                <w:rFonts w:eastAsia="Times New Roman" w:cs="Calibri"/>
                <w:noProof/>
              </w:rPr>
            </w:pPr>
            <w:r>
              <w:rPr>
                <w:noProof/>
              </w:rPr>
              <w:t xml:space="preserve">Semnarea contractului de implementare a proiectului între autoritățile publice și contractantul selectat în cadrul unei proceduri de licitație. Obiectul contractului este extinderea rețelei Porto Metro (Casa da Música-Santo Ovídio). </w:t>
            </w:r>
          </w:p>
        </w:tc>
      </w:tr>
      <w:tr w:rsidR="00A15990" w14:paraId="46A67267" w14:textId="77777777">
        <w:trPr>
          <w:trHeight w:val="148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D3C3147" w14:textId="45F98DA8" w:rsidR="00A15990" w:rsidRDefault="00686A62">
            <w:pPr>
              <w:pStyle w:val="P68B1DB1-Normal7"/>
              <w:spacing w:after="0" w:line="240" w:lineRule="auto"/>
              <w:jc w:val="center"/>
              <w:rPr>
                <w:rFonts w:eastAsia="Times New Roman" w:cs="Calibri"/>
                <w:noProof/>
              </w:rPr>
            </w:pPr>
            <w:r>
              <w:rPr>
                <w:noProof/>
              </w:rPr>
              <w:t>15.5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93B52A6" w14:textId="77777777" w:rsidR="00A15990" w:rsidRDefault="00686A62">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3DE8CB0"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C8025F" w14:textId="77777777" w:rsidR="00A15990" w:rsidRDefault="00686A62">
            <w:pPr>
              <w:pStyle w:val="P68B1DB1-Normal8"/>
              <w:spacing w:after="0" w:line="240" w:lineRule="auto"/>
              <w:jc w:val="center"/>
              <w:rPr>
                <w:rFonts w:eastAsia="Times New Roman" w:cs="Calibri"/>
                <w:noProof/>
              </w:rPr>
            </w:pPr>
            <w:r>
              <w:rPr>
                <w:noProof/>
              </w:rPr>
              <w:t>Raport intermediar privind extinderea rețelei de metrou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0FC676" w14:textId="56A25A06" w:rsidR="00A15990" w:rsidRDefault="00686A62">
            <w:pPr>
              <w:pStyle w:val="P68B1DB1-Normal8"/>
              <w:spacing w:after="0" w:line="240" w:lineRule="auto"/>
              <w:jc w:val="center"/>
              <w:rPr>
                <w:rFonts w:eastAsia="Times New Roman" w:cs="Calibri"/>
                <w:noProof/>
              </w:rPr>
            </w:pPr>
            <w:r>
              <w:rPr>
                <w:noProof/>
              </w:rPr>
              <w:t>Raport privind progresele înregistrate, în care se precizează că lucrările avansează conform calendarului</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3D6F6F" w14:textId="77777777" w:rsidR="00A15990" w:rsidRDefault="00A15990">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E8FBF8"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1742AA"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A657169" w14:textId="7210C00D" w:rsidR="00A15990" w:rsidRDefault="00686A62">
            <w:pPr>
              <w:pStyle w:val="P68B1DB1-Normal8"/>
              <w:spacing w:after="0" w:line="240" w:lineRule="auto"/>
              <w:jc w:val="center"/>
              <w:rPr>
                <w:rFonts w:eastAsia="Times New Roman" w:cs="Calibri"/>
                <w:noProof/>
              </w:rPr>
            </w:pPr>
            <w:r>
              <w:rPr>
                <w:noProof/>
              </w:rPr>
              <w:t>TRIMESTRUL 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0BCBA83" w14:textId="77777777" w:rsidR="00A15990" w:rsidRDefault="00686A62">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C069C" w14:textId="2D1BCCAB" w:rsidR="00A15990" w:rsidRDefault="00686A62">
            <w:pPr>
              <w:pStyle w:val="P68B1DB1-Normal8"/>
              <w:spacing w:after="0" w:line="240" w:lineRule="auto"/>
              <w:jc w:val="both"/>
              <w:rPr>
                <w:rFonts w:eastAsia="Times New Roman" w:cs="Calibri"/>
                <w:noProof/>
              </w:rPr>
            </w:pPr>
            <w:r>
              <w:rPr>
                <w:noProof/>
              </w:rPr>
              <w:t>Dezvoltarea lucrărilor de extindere a rețelei Porto Metro și respectarea calendarului de execuție a acestora se măsoară prin rapoarte periodice privind progresele înregistrate pe toată durata executării lucrărilor. Aceasta include evaluarea evoluției lucrărilor în conformitate cu calendarul planificat, inclusiv identificarea activităților deja finalizate, identificarea activităților care urmează să fie desfășurate, precum și o analiză de risc a termenelor de punere în aplicare propuse, însoțită, dacă este necesar, de un plan de atenuare și de urgență pentru a se asigura că contractul este finalizat în termenele propuse. Jalonul este îndeplinit dacă raportul intermediar indică faptul că, la momentul realizării jalonului, lucrările avansează conform calendarului.</w:t>
            </w:r>
          </w:p>
        </w:tc>
      </w:tr>
      <w:tr w:rsidR="00A15990" w14:paraId="69619D3F"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A7FAA43" w14:textId="77777777" w:rsidR="00A15990" w:rsidRDefault="00686A62">
            <w:pPr>
              <w:pStyle w:val="P68B1DB1-Normal7"/>
              <w:spacing w:after="0" w:line="240" w:lineRule="auto"/>
              <w:jc w:val="center"/>
              <w:rPr>
                <w:rFonts w:eastAsia="Times New Roman" w:cs="Calibri"/>
                <w:noProof/>
              </w:rPr>
            </w:pPr>
            <w:r>
              <w:rPr>
                <w:noProof/>
              </w:rPr>
              <w:t>15.6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B3CC2C" w14:textId="77777777" w:rsidR="00A15990" w:rsidRDefault="00686A62">
            <w:pPr>
              <w:pStyle w:val="P68B1DB1-Normal8"/>
              <w:spacing w:after="0" w:line="240" w:lineRule="auto"/>
              <w:jc w:val="center"/>
              <w:rPr>
                <w:rFonts w:eastAsia="Times New Roman" w:cs="Calibri"/>
                <w:noProof/>
              </w:rPr>
            </w:pPr>
            <w:r>
              <w:rPr>
                <w:noProof/>
              </w:rPr>
              <w:t>TC-C15-I02</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AC62F7"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A5D734C" w14:textId="77777777" w:rsidR="00A15990" w:rsidRDefault="00686A62">
            <w:pPr>
              <w:pStyle w:val="P68B1DB1-Normal8"/>
              <w:spacing w:after="0" w:line="240" w:lineRule="auto"/>
              <w:jc w:val="center"/>
              <w:rPr>
                <w:rFonts w:eastAsia="Times New Roman" w:cs="Calibri"/>
                <w:noProof/>
              </w:rPr>
            </w:pPr>
            <w:r>
              <w:rPr>
                <w:noProof/>
              </w:rPr>
              <w:t>Finalizarea extinderii rețelei Porto Metro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1D1514" w14:textId="77777777" w:rsidR="00A15990" w:rsidRDefault="00A15990">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BEA4BD"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C2C5E4"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32EB6DC" w14:textId="77777777" w:rsidR="00A15990" w:rsidRDefault="00686A62">
            <w:pPr>
              <w:pStyle w:val="P68B1DB1-Normal8"/>
              <w:spacing w:after="0" w:line="240" w:lineRule="auto"/>
              <w:jc w:val="center"/>
              <w:rPr>
                <w:rFonts w:eastAsia="Times New Roman" w:cs="Calibri"/>
                <w:noProof/>
              </w:rPr>
            </w:pPr>
            <w:r>
              <w:rPr>
                <w:noProof/>
              </w:rPr>
              <w:t>6,7</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229F9A8" w14:textId="07A4B434" w:rsidR="00A15990" w:rsidRDefault="00686A62">
            <w:pPr>
              <w:pStyle w:val="P68B1DB1-Normal8"/>
              <w:spacing w:after="0" w:line="240" w:lineRule="auto"/>
              <w:jc w:val="center"/>
              <w:rPr>
                <w:rFonts w:eastAsia="Times New Roman" w:cs="Calibri"/>
                <w:noProof/>
              </w:rPr>
            </w:pPr>
            <w:r>
              <w:rPr>
                <w:noProof/>
              </w:rPr>
              <w:t>TRIMESTRUL 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F5B4C70" w14:textId="54A1DD92" w:rsidR="00A15990" w:rsidRDefault="00686A62">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C905D8D" w14:textId="77777777" w:rsidR="00A15990" w:rsidRDefault="00686A62">
            <w:pPr>
              <w:pStyle w:val="P68B1DB1-Normal8"/>
              <w:spacing w:after="0" w:line="240" w:lineRule="auto"/>
              <w:jc w:val="both"/>
              <w:rPr>
                <w:rFonts w:eastAsia="Times New Roman" w:cs="Calibri"/>
                <w:noProof/>
              </w:rPr>
            </w:pPr>
            <w:r>
              <w:rPr>
                <w:noProof/>
              </w:rPr>
              <w:t xml:space="preserve">Durata lucrărilor de construcție finalizate pentru extinderea rețelei Porto Metro prin construirea unei noi linii între Casa da Música (Porto) și Santo Ovídio (Vila Nova de Gaia). Noua linie de metrou este pregătită pentru exploatarea imediată a serviciilor de transport planificate. </w:t>
            </w:r>
          </w:p>
        </w:tc>
      </w:tr>
      <w:tr w:rsidR="00A15990" w14:paraId="79B5E05D" w14:textId="77777777">
        <w:trPr>
          <w:trHeight w:val="2398"/>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92A7FBF" w14:textId="77777777" w:rsidR="00A15990" w:rsidRDefault="00686A62">
            <w:pPr>
              <w:pStyle w:val="P68B1DB1-Normal7"/>
              <w:spacing w:after="0" w:line="240" w:lineRule="auto"/>
              <w:jc w:val="center"/>
              <w:rPr>
                <w:rFonts w:eastAsia="Times New Roman" w:cs="Calibri"/>
                <w:noProof/>
              </w:rPr>
            </w:pPr>
            <w:r>
              <w:rPr>
                <w:noProof/>
              </w:rPr>
              <w:t>15.10</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E7379D6" w14:textId="77777777" w:rsidR="00A15990" w:rsidRDefault="00686A62">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F15CA19"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1F72C9A" w14:textId="77777777" w:rsidR="00A15990" w:rsidRDefault="00686A62">
            <w:pPr>
              <w:pStyle w:val="P68B1DB1-Normal8"/>
              <w:spacing w:after="0" w:line="240" w:lineRule="auto"/>
              <w:jc w:val="center"/>
              <w:rPr>
                <w:rFonts w:eastAsia="Times New Roman" w:cs="Calibri"/>
                <w:noProof/>
              </w:rPr>
            </w:pPr>
            <w:r>
              <w:rPr>
                <w:noProof/>
              </w:rPr>
              <w:t>Semnarea contractului pentru construirea unei linii de tranzit rapid cu autobuzul între Praça do Império și Praça Albuquerque Mouzinho la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276CBD1" w14:textId="77777777" w:rsidR="00A15990" w:rsidRDefault="00686A62">
            <w:pPr>
              <w:pStyle w:val="P68B1DB1-Normal8"/>
              <w:spacing w:after="0" w:line="240" w:lineRule="auto"/>
              <w:jc w:val="center"/>
              <w:rPr>
                <w:rFonts w:eastAsia="Times New Roman" w:cs="Calibri"/>
                <w:noProof/>
              </w:rPr>
            </w:pPr>
            <w:r>
              <w:rPr>
                <w:noProof/>
              </w:rPr>
              <w:t>Semnarea contractului pentru construirea unei linii de transport rapid cu autobuzul între Praça do Império și Praça Albuquerque Mouzinho în Porto</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275C96D" w14:textId="77777777" w:rsidR="00A15990" w:rsidRDefault="00A15990">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BBD236D"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04CDB6"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D549309"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099AAE5" w14:textId="77777777" w:rsidR="00A15990" w:rsidRDefault="00686A62">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DD8DF" w14:textId="77777777" w:rsidR="00A15990" w:rsidRDefault="00686A62">
            <w:pPr>
              <w:pStyle w:val="P68B1DB1-Normal8"/>
              <w:spacing w:after="0" w:line="240" w:lineRule="auto"/>
              <w:jc w:val="both"/>
              <w:rPr>
                <w:rFonts w:eastAsia="Times New Roman" w:cs="Calibri"/>
                <w:noProof/>
              </w:rPr>
            </w:pPr>
            <w:r>
              <w:rPr>
                <w:noProof/>
              </w:rPr>
              <w:t xml:space="preserve">Semnarea contractului de implementare a proiectului între autoritățile publice și contractantul selectat în cadrul unei proceduri de licitație. Obiectul contractului este construirea unei linii de tranzit rapid Bus care leagă Praça do Império de Praça Albuquerque Mouzinho din Porto. </w:t>
            </w:r>
          </w:p>
        </w:tc>
      </w:tr>
      <w:tr w:rsidR="00A15990" w14:paraId="7ADF5EB7" w14:textId="77777777">
        <w:trPr>
          <w:trHeight w:val="64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16D4B91" w14:textId="77777777" w:rsidR="00A15990" w:rsidRDefault="00686A62">
            <w:pPr>
              <w:pStyle w:val="P68B1DB1-Normal7"/>
              <w:spacing w:after="0" w:line="240" w:lineRule="auto"/>
              <w:jc w:val="center"/>
              <w:rPr>
                <w:rFonts w:eastAsia="Times New Roman" w:cs="Calibri"/>
                <w:noProof/>
              </w:rPr>
            </w:pPr>
            <w:r>
              <w:rPr>
                <w:noProof/>
              </w:rPr>
              <w:t>15.11</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8F8D636" w14:textId="77777777" w:rsidR="00A15990" w:rsidRDefault="00686A62">
            <w:pPr>
              <w:pStyle w:val="P68B1DB1-Normal8"/>
              <w:spacing w:after="0" w:line="240" w:lineRule="auto"/>
              <w:jc w:val="center"/>
              <w:rPr>
                <w:rFonts w:eastAsia="Times New Roman" w:cs="Calibri"/>
                <w:noProof/>
              </w:rPr>
            </w:pPr>
            <w:r>
              <w:rPr>
                <w:noProof/>
              </w:rPr>
              <w:t>TC-C15-I04</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3EBBF9"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ABDF794" w14:textId="77777777" w:rsidR="00A15990" w:rsidRDefault="00686A62">
            <w:pPr>
              <w:pStyle w:val="P68B1DB1-Normal8"/>
              <w:spacing w:after="0" w:line="240" w:lineRule="auto"/>
              <w:jc w:val="center"/>
              <w:rPr>
                <w:rFonts w:eastAsia="Times New Roman" w:cs="Calibri"/>
                <w:noProof/>
              </w:rPr>
            </w:pPr>
            <w:r>
              <w:rPr>
                <w:noProof/>
              </w:rPr>
              <w:t>Finalizarea construcției unei linii de tranzit rapid cu autobuzul între Praça do Império și Praça Albuquerque Mouzinho în Porto</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4CFC47A" w14:textId="77777777" w:rsidR="00A15990" w:rsidRDefault="00A15990">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1B162BF" w14:textId="77777777" w:rsidR="00A15990" w:rsidRDefault="00686A62">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D261ED7"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79F5D8" w14:textId="77777777" w:rsidR="00A15990" w:rsidRDefault="00686A62">
            <w:pPr>
              <w:pStyle w:val="P68B1DB1-Normal8"/>
              <w:spacing w:after="0" w:line="240" w:lineRule="auto"/>
              <w:jc w:val="center"/>
              <w:rPr>
                <w:rFonts w:eastAsia="Times New Roman" w:cs="Calibri"/>
                <w:noProof/>
              </w:rPr>
            </w:pPr>
            <w:r>
              <w:rPr>
                <w:noProof/>
              </w:rPr>
              <w:t>3,8</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D95435" w14:textId="7708DDD6" w:rsidR="00A15990" w:rsidRDefault="00686A62">
            <w:pPr>
              <w:pStyle w:val="P68B1DB1-Normal8"/>
              <w:spacing w:after="0" w:line="240" w:lineRule="auto"/>
              <w:jc w:val="center"/>
              <w:rPr>
                <w:rFonts w:eastAsia="Times New Roman" w:cs="Calibri"/>
                <w:noProof/>
              </w:rPr>
            </w:pPr>
            <w:r>
              <w:rPr>
                <w:noProof/>
              </w:rPr>
              <w:t>TRIMESTRUL 3</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3804F18" w14:textId="2A33460B" w:rsidR="00A15990" w:rsidRDefault="00686A62">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C671D64" w14:textId="77777777" w:rsidR="00A15990" w:rsidRDefault="00686A62">
            <w:pPr>
              <w:pStyle w:val="P68B1DB1-Normal8"/>
              <w:spacing w:after="0" w:line="240" w:lineRule="auto"/>
              <w:jc w:val="both"/>
              <w:rPr>
                <w:rFonts w:eastAsia="Times New Roman" w:cs="Calibri"/>
                <w:noProof/>
              </w:rPr>
            </w:pPr>
            <w:r>
              <w:rPr>
                <w:noProof/>
              </w:rPr>
              <w:t xml:space="preserve">Durata lucrărilor de construcție finalizate pentru linia de tranzit rapid a autobuzului care leagă Praça do Império de Praça Albuquerque Mouzinho din Porto. Noua linie de tranzit rapid cu autobuzul este pregătită pentru operarea imediată a serviciilor de transport planificate. </w:t>
            </w:r>
          </w:p>
        </w:tc>
      </w:tr>
      <w:tr w:rsidR="00A15990" w14:paraId="167AB6D9" w14:textId="77777777">
        <w:trPr>
          <w:trHeight w:val="1871"/>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6418711" w14:textId="77777777" w:rsidR="00A15990" w:rsidRDefault="00686A62">
            <w:pPr>
              <w:pStyle w:val="P68B1DB1-Normal7"/>
              <w:spacing w:after="0" w:line="240" w:lineRule="auto"/>
              <w:jc w:val="center"/>
              <w:rPr>
                <w:rFonts w:eastAsia="Times New Roman" w:cs="Calibri"/>
                <w:noProof/>
              </w:rPr>
            </w:pPr>
            <w:r>
              <w:rPr>
                <w:noProof/>
              </w:rPr>
              <w:t>15.12</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AE7894A" w14:textId="77777777" w:rsidR="00A15990" w:rsidRDefault="00686A62">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F8ACE3A"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B1641BE" w14:textId="77777777" w:rsidR="00A15990" w:rsidRDefault="00686A62">
            <w:pPr>
              <w:pStyle w:val="P68B1DB1-Normal8"/>
              <w:spacing w:after="0" w:line="240" w:lineRule="auto"/>
              <w:jc w:val="center"/>
              <w:rPr>
                <w:rFonts w:eastAsia="Times New Roman" w:cs="Calibri"/>
                <w:noProof/>
              </w:rPr>
            </w:pPr>
            <w:r>
              <w:rPr>
                <w:noProof/>
              </w:rPr>
              <w:t>Contract semnat pentru achiziționarea de autobuze nepoluante în cadrul Programului de decarbonizare a transportului public</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FE4D21F" w14:textId="77777777" w:rsidR="00A15990" w:rsidRDefault="00686A62">
            <w:pPr>
              <w:pStyle w:val="P68B1DB1-Normal8"/>
              <w:spacing w:after="0" w:line="240" w:lineRule="auto"/>
              <w:jc w:val="center"/>
              <w:rPr>
                <w:rFonts w:eastAsia="Times New Roman" w:cs="Calibri"/>
                <w:noProof/>
              </w:rPr>
            </w:pPr>
            <w:r>
              <w:rPr>
                <w:noProof/>
              </w:rPr>
              <w:t>Contract semnat pentru achiziționarea a 145 autobuze nepoluante în cadrul Programului de decarbonizare a transportului public</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85D964C" w14:textId="77777777" w:rsidR="00A15990" w:rsidRDefault="00A15990">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95BD3CE"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2D9326A"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700FA3"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3148EE6" w14:textId="77777777" w:rsidR="00A15990" w:rsidRDefault="00686A62">
            <w:pPr>
              <w:pStyle w:val="P68B1DB1-Normal8"/>
              <w:spacing w:after="0" w:line="240" w:lineRule="auto"/>
              <w:jc w:val="center"/>
              <w:rPr>
                <w:rFonts w:eastAsia="Times New Roman" w:cs="Calibri"/>
                <w:noProof/>
              </w:rPr>
            </w:pPr>
            <w:r>
              <w:rPr>
                <w:noProof/>
              </w:rPr>
              <w:t>2022</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16BAC741" w14:textId="0C12CBAC" w:rsidR="00A15990" w:rsidRDefault="00686A62">
            <w:pPr>
              <w:pStyle w:val="P68B1DB1-Normal8"/>
              <w:spacing w:after="0" w:line="240" w:lineRule="auto"/>
              <w:jc w:val="both"/>
              <w:rPr>
                <w:rFonts w:eastAsia="Times New Roman" w:cs="Calibri"/>
                <w:noProof/>
              </w:rPr>
            </w:pPr>
            <w:r>
              <w:rPr>
                <w:noProof/>
              </w:rPr>
              <w:t>Semnarea contractului între beneficiari și organismul de gestionare, pe baza unei proceduri competitive de atribuire, prin care se angajează să achiziționeze noile autobuze cu emisii zero (electrice sau pe bază de hidrogen).</w:t>
            </w:r>
          </w:p>
        </w:tc>
      </w:tr>
      <w:tr w:rsidR="00A15990" w14:paraId="48039201" w14:textId="77777777">
        <w:trPr>
          <w:trHeight w:val="51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CC55914" w14:textId="77777777" w:rsidR="00A15990" w:rsidRDefault="00686A62">
            <w:pPr>
              <w:pStyle w:val="P68B1DB1-Normal7"/>
              <w:spacing w:after="0" w:line="240" w:lineRule="auto"/>
              <w:jc w:val="center"/>
              <w:rPr>
                <w:rFonts w:eastAsia="Times New Roman" w:cs="Calibri"/>
                <w:noProof/>
              </w:rPr>
            </w:pPr>
            <w:r>
              <w:rPr>
                <w:noProof/>
              </w:rPr>
              <w:t>15.13</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9F74196" w14:textId="77777777" w:rsidR="00A15990" w:rsidRDefault="00686A62">
            <w:pPr>
              <w:pStyle w:val="P68B1DB1-Normal8"/>
              <w:spacing w:after="0" w:line="240" w:lineRule="auto"/>
              <w:jc w:val="center"/>
              <w:rPr>
                <w:rFonts w:eastAsia="Times New Roman" w:cs="Calibri"/>
                <w:noProof/>
              </w:rPr>
            </w:pPr>
            <w:r>
              <w:rPr>
                <w:noProof/>
              </w:rPr>
              <w:t>TC-C15-I05</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D9BF1EE"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29D1A84" w14:textId="77777777" w:rsidR="00A15990" w:rsidRDefault="00686A62">
            <w:pPr>
              <w:pStyle w:val="P68B1DB1-Normal8"/>
              <w:spacing w:after="0" w:line="240" w:lineRule="auto"/>
              <w:jc w:val="center"/>
              <w:rPr>
                <w:rFonts w:eastAsia="Times New Roman" w:cs="Calibri"/>
                <w:noProof/>
              </w:rPr>
            </w:pPr>
            <w:r>
              <w:rPr>
                <w:noProof/>
              </w:rPr>
              <w:t>Achiziționarea de autobuze noi cu emisii zero (electrice sau pe bază de hidrogen) utilizate pentru transportul public</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00F18BD" w14:textId="77777777" w:rsidR="00A15990" w:rsidRDefault="00A15990">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E34DBE1"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4CE4430B"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6BECE405" w14:textId="77777777" w:rsidR="00A15990" w:rsidRDefault="00686A62">
            <w:pPr>
              <w:pStyle w:val="P68B1DB1-Normal8"/>
              <w:spacing w:after="0" w:line="240" w:lineRule="auto"/>
              <w:jc w:val="center"/>
              <w:rPr>
                <w:rFonts w:eastAsia="Times New Roman" w:cs="Calibri"/>
                <w:noProof/>
              </w:rPr>
            </w:pPr>
            <w:r>
              <w:rPr>
                <w:noProof/>
              </w:rPr>
              <w:t>145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9F48AA6"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57805CE" w14:textId="77777777" w:rsidR="00A15990" w:rsidRDefault="00686A62">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8838148" w14:textId="77777777" w:rsidR="00A15990" w:rsidRDefault="00686A62">
            <w:pPr>
              <w:pStyle w:val="P68B1DB1-Normal9"/>
              <w:spacing w:after="0" w:line="240" w:lineRule="auto"/>
              <w:jc w:val="both"/>
              <w:rPr>
                <w:rFonts w:eastAsia="Times New Roman" w:cs="Calibri"/>
                <w:noProof/>
                <w:sz w:val="16"/>
              </w:rPr>
            </w:pPr>
            <w:r>
              <w:rPr>
                <w:noProof/>
                <w:sz w:val="16"/>
              </w:rPr>
              <w:t>Numărul de autobuze noi cu emisii zero (electrice sau pe bază de hidrogen) achiziționate și exploatate</w:t>
            </w:r>
            <w:r>
              <w:rPr>
                <w:noProof/>
              </w:rPr>
              <w:t xml:space="preserve"> </w:t>
            </w:r>
            <w:r>
              <w:rPr>
                <w:noProof/>
                <w:sz w:val="16"/>
              </w:rPr>
              <w:t>pentru furnizarea de servicii publice de transport de călători în zonele metropolitane Lisabona și Porto.</w:t>
            </w:r>
          </w:p>
        </w:tc>
      </w:tr>
      <w:tr w:rsidR="00A15990" w14:paraId="14807BD7"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050AF4" w14:textId="77777777" w:rsidR="00A15990" w:rsidRDefault="00686A62">
            <w:pPr>
              <w:pStyle w:val="P68B1DB1-Normal7"/>
              <w:spacing w:after="0" w:line="240" w:lineRule="auto"/>
              <w:jc w:val="center"/>
              <w:rPr>
                <w:rFonts w:eastAsia="Times New Roman" w:cs="Calibri"/>
                <w:noProof/>
              </w:rPr>
            </w:pPr>
            <w:r>
              <w:rPr>
                <w:noProof/>
              </w:rPr>
              <w:t>15.14</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7881FD44" w14:textId="77777777" w:rsidR="00A15990" w:rsidRDefault="00686A62">
            <w:pPr>
              <w:pStyle w:val="P68B1DB1-Normal8"/>
              <w:spacing w:after="0" w:line="240" w:lineRule="auto"/>
              <w:jc w:val="center"/>
              <w:rPr>
                <w:rFonts w:eastAsia="Times New Roman" w:cs="Calibri"/>
                <w:noProof/>
              </w:rPr>
            </w:pPr>
            <w:r>
              <w:rPr>
                <w:noProof/>
              </w:rPr>
              <w:t>TC-C15-r30</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2DDE169C"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C1630B8" w14:textId="77777777" w:rsidR="00A15990" w:rsidRDefault="00686A62">
            <w:pPr>
              <w:pStyle w:val="P68B1DB1-Normal8"/>
              <w:spacing w:after="0" w:line="240" w:lineRule="auto"/>
              <w:jc w:val="center"/>
              <w:rPr>
                <w:rFonts w:eastAsia="Times New Roman" w:cs="Calibri"/>
                <w:noProof/>
              </w:rPr>
            </w:pPr>
            <w:r>
              <w:rPr>
                <w:noProof/>
              </w:rPr>
              <w:t>Contracte semnate pentru servicii publice de transport de călători în zonele metropolitane și în comunitățile intermunicipale</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A57D8B6" w14:textId="77777777" w:rsidR="00A15990" w:rsidRDefault="00A15990">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219E19"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3FBB1912" w14:textId="77777777" w:rsidR="00A15990" w:rsidRDefault="00686A62">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07BDA846" w14:textId="77777777" w:rsidR="00A15990" w:rsidRDefault="00686A62">
            <w:pPr>
              <w:pStyle w:val="P68B1DB1-Normal8"/>
              <w:spacing w:after="0" w:line="240" w:lineRule="auto"/>
              <w:jc w:val="center"/>
              <w:rPr>
                <w:rFonts w:eastAsia="Times New Roman" w:cs="Calibri"/>
                <w:noProof/>
              </w:rPr>
            </w:pPr>
            <w:r>
              <w:rPr>
                <w:noProof/>
              </w:rPr>
              <w:t>23</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11ED4C0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hideMark/>
          </w:tcPr>
          <w:p w14:paraId="5789ECF9" w14:textId="77777777" w:rsidR="00A15990" w:rsidRDefault="00686A62">
            <w:pPr>
              <w:pStyle w:val="P68B1DB1-Normal8"/>
              <w:spacing w:after="0" w:line="240" w:lineRule="auto"/>
              <w:jc w:val="center"/>
              <w:rPr>
                <w:rFonts w:eastAsia="Times New Roman" w:cs="Calibri"/>
                <w:noProof/>
              </w:rPr>
            </w:pPr>
            <w:r>
              <w:rPr>
                <w:noProof/>
              </w:rPr>
              <w:t>2023</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154FD26" w14:textId="77777777" w:rsidR="00A15990" w:rsidRDefault="00686A62">
            <w:pPr>
              <w:pStyle w:val="P68B1DB1-Normal8"/>
              <w:spacing w:after="0" w:line="240" w:lineRule="auto"/>
              <w:jc w:val="both"/>
              <w:rPr>
                <w:rFonts w:eastAsia="Times New Roman" w:cs="Calibri"/>
                <w:noProof/>
              </w:rPr>
            </w:pPr>
            <w:r>
              <w:rPr>
                <w:noProof/>
              </w:rPr>
              <w:t xml:space="preserve">Numărul autorităților de gestionare a transporturilor care au încheiat contracte pentru toate serviciile publice de transport feroviar, rutier și pe căi navigabile interioare de călători, în conformitate cu Regulamentul (CE) nr. 1370/2007. </w:t>
            </w:r>
          </w:p>
        </w:tc>
      </w:tr>
      <w:tr w:rsidR="00A15990" w14:paraId="47CBDF40"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09369F6D" w14:textId="4F312845" w:rsidR="00A15990" w:rsidRDefault="00686A62">
            <w:pPr>
              <w:pStyle w:val="P68B1DB1-Normal11"/>
              <w:spacing w:after="0" w:line="240" w:lineRule="auto"/>
              <w:jc w:val="center"/>
              <w:rPr>
                <w:rFonts w:eastAsia="Times New Roman"/>
                <w:noProof/>
              </w:rPr>
            </w:pPr>
            <w:r>
              <w:rPr>
                <w:noProof/>
              </w:rPr>
              <w:t>15.15</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F8ECE66" w14:textId="2BE2CDE3" w:rsidR="00A15990" w:rsidRDefault="00686A62">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490E290" w14:textId="4326EEA4" w:rsidR="00A15990" w:rsidRDefault="00686A62">
            <w:pPr>
              <w:pStyle w:val="P68B1DB1-Normal12"/>
              <w:spacing w:after="0" w:line="240" w:lineRule="auto"/>
              <w:jc w:val="center"/>
              <w:rPr>
                <w:rFonts w:eastAsia="Times New Roman" w:cstheme="minorHAns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550A166" w14:textId="34BFD0E8" w:rsidR="00A15990" w:rsidRDefault="00686A62">
            <w:pPr>
              <w:pStyle w:val="P68B1DB1-Normal12"/>
              <w:spacing w:after="0" w:line="240" w:lineRule="auto"/>
              <w:jc w:val="center"/>
              <w:rPr>
                <w:rFonts w:eastAsia="Times New Roman" w:cstheme="minorHAnsi"/>
                <w:noProof/>
              </w:rPr>
            </w:pPr>
            <w:r>
              <w:rPr>
                <w:noProof/>
              </w:rPr>
              <w:t>Semnarea contractului pentru sistemele de semnalizare electronică</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14CC642" w14:textId="1FBE12E9" w:rsidR="00A15990" w:rsidRDefault="00686A62">
            <w:pPr>
              <w:pStyle w:val="P68B1DB1-Normal12"/>
              <w:spacing w:after="0" w:line="240" w:lineRule="auto"/>
              <w:jc w:val="center"/>
              <w:rPr>
                <w:rFonts w:eastAsia="Times New Roman" w:cstheme="minorHAnsi"/>
                <w:noProof/>
              </w:rPr>
            </w:pPr>
            <w:r>
              <w:rPr>
                <w:noProof/>
              </w:rPr>
              <w:t>Semnarea contractului și publicarea pe un portal dedicat</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95EA3B9" w14:textId="77777777" w:rsidR="00A15990" w:rsidRDefault="00A15990">
            <w:pPr>
              <w:spacing w:after="0" w:line="240" w:lineRule="auto"/>
              <w:jc w:val="center"/>
              <w:rPr>
                <w:rFonts w:eastAsia="Times New Roman" w:cstheme="minorHAns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EBBD090" w14:textId="77777777" w:rsidR="00A15990" w:rsidRDefault="00A15990">
            <w:pPr>
              <w:spacing w:after="0" w:line="240" w:lineRule="auto"/>
              <w:jc w:val="center"/>
              <w:rPr>
                <w:rFonts w:eastAsia="Times New Roman" w:cstheme="minorHAns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3D14C8" w14:textId="77777777" w:rsidR="00A15990" w:rsidRDefault="00A15990">
            <w:pPr>
              <w:spacing w:after="0" w:line="240" w:lineRule="auto"/>
              <w:jc w:val="center"/>
              <w:rPr>
                <w:rFonts w:eastAsia="Times New Roman" w:cstheme="minorHAns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5308DB" w14:textId="538F4A90"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87AF58" w14:textId="3B2C4F41" w:rsidR="00A15990" w:rsidRDefault="00686A62">
            <w:pPr>
              <w:pStyle w:val="P68B1DB1-Normal12"/>
              <w:spacing w:after="0" w:line="240" w:lineRule="auto"/>
              <w:jc w:val="center"/>
              <w:rPr>
                <w:rFonts w:eastAsia="Times New Roman" w:cstheme="minorHAns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2C5EB17D" w14:textId="3D9B1E55" w:rsidR="00A15990" w:rsidRDefault="00686A62">
            <w:pPr>
              <w:pStyle w:val="P68B1DB1-Normal12"/>
              <w:spacing w:after="0" w:line="240" w:lineRule="auto"/>
              <w:rPr>
                <w:rFonts w:eastAsia="Times New Roman" w:cstheme="minorHAnsi"/>
                <w:noProof/>
              </w:rPr>
            </w:pPr>
            <w:r>
              <w:rPr>
                <w:noProof/>
              </w:rPr>
              <w:t xml:space="preserve">Semnarea contractului de implementare a proiectului pentru înlocuirea sistemelor de semnalizare electronică între autoritățile publice și contractant. </w:t>
            </w:r>
          </w:p>
        </w:tc>
      </w:tr>
      <w:tr w:rsidR="00A15990" w14:paraId="4095FC09" w14:textId="77777777">
        <w:trPr>
          <w:trHeight w:val="430"/>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309B65D6" w14:textId="131135B8" w:rsidR="00A15990" w:rsidRDefault="00686A62">
            <w:pPr>
              <w:pStyle w:val="P68B1DB1-Normal11"/>
              <w:spacing w:after="0" w:line="240" w:lineRule="auto"/>
              <w:jc w:val="center"/>
              <w:rPr>
                <w:rFonts w:eastAsia="Times New Roman"/>
                <w:noProof/>
              </w:rPr>
            </w:pPr>
            <w:r>
              <w:rPr>
                <w:noProof/>
              </w:rPr>
              <w:t>15.16</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49E8EF1" w14:textId="16469D34" w:rsidR="00A15990" w:rsidRDefault="00686A62">
            <w:pPr>
              <w:pStyle w:val="P68B1DB1-Normal12"/>
              <w:spacing w:after="0" w:line="240" w:lineRule="auto"/>
              <w:jc w:val="center"/>
              <w:rPr>
                <w:rFonts w:eastAsia="Times New Roman" w:cstheme="minorHAnsi"/>
                <w:noProof/>
              </w:rPr>
            </w:pPr>
            <w:r>
              <w:rPr>
                <w:noProof/>
              </w:rPr>
              <w:t>TC-C15-I06</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1DEA956" w14:textId="4D528CFF" w:rsidR="00A15990" w:rsidRDefault="00686A62">
            <w:pPr>
              <w:pStyle w:val="P68B1DB1-Normal12"/>
              <w:spacing w:after="0" w:line="240" w:lineRule="auto"/>
              <w:jc w:val="center"/>
              <w:rPr>
                <w:rFonts w:eastAsia="Times New Roman" w:cstheme="minorHAns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1336C3" w14:textId="72F7F910" w:rsidR="00A15990" w:rsidRDefault="00686A62">
            <w:pPr>
              <w:pStyle w:val="P68B1DB1-Normal12"/>
              <w:spacing w:after="0" w:line="240" w:lineRule="auto"/>
              <w:jc w:val="center"/>
              <w:rPr>
                <w:rFonts w:eastAsia="Times New Roman" w:cstheme="minorHAnsi"/>
                <w:noProof/>
              </w:rPr>
            </w:pPr>
            <w:r>
              <w:rPr>
                <w:noProof/>
              </w:rPr>
              <w:t>Înlocuirea liniilor de cale ferată cu sisteme de semnalizare electronică</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A28AD9C" w14:textId="77777777" w:rsidR="00A15990" w:rsidRDefault="00A15990">
            <w:pPr>
              <w:spacing w:after="0" w:line="240" w:lineRule="auto"/>
              <w:jc w:val="center"/>
              <w:rPr>
                <w:rFonts w:eastAsia="Times New Roman" w:cstheme="minorHAns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598FA30" w14:textId="2E1AC044" w:rsidR="00A15990" w:rsidRDefault="00686A62">
            <w:pPr>
              <w:pStyle w:val="P68B1DB1-Normal12"/>
              <w:spacing w:after="0" w:line="240" w:lineRule="auto"/>
              <w:jc w:val="center"/>
              <w:rPr>
                <w:rFonts w:eastAsia="Times New Roman" w:cstheme="minorHAns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8C2C5F8" w14:textId="534EC871" w:rsidR="00A15990" w:rsidRDefault="00686A62">
            <w:pPr>
              <w:pStyle w:val="P68B1DB1-Normal12"/>
              <w:spacing w:after="0" w:line="240" w:lineRule="auto"/>
              <w:jc w:val="center"/>
              <w:rPr>
                <w:rFonts w:eastAsia="Times New Roman" w:cstheme="minorHAns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31C6AF" w14:textId="106C8BCB" w:rsidR="00A15990" w:rsidRDefault="00686A62">
            <w:pPr>
              <w:pStyle w:val="P68B1DB1-Normal12"/>
              <w:spacing w:after="0" w:line="240" w:lineRule="auto"/>
              <w:jc w:val="center"/>
              <w:rPr>
                <w:rFonts w:eastAsia="Times New Roman" w:cstheme="minorHAnsi"/>
                <w:noProof/>
              </w:rPr>
            </w:pPr>
            <w:r>
              <w:rPr>
                <w:noProof/>
              </w:rPr>
              <w:t>20</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A010B4" w14:textId="2F3B9E13"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2AD76CD" w14:textId="1D2C02A4" w:rsidR="00A15990" w:rsidRDefault="00686A62">
            <w:pPr>
              <w:pStyle w:val="P68B1DB1-Normal12"/>
              <w:spacing w:after="0" w:line="240" w:lineRule="auto"/>
              <w:jc w:val="center"/>
              <w:rPr>
                <w:rFonts w:eastAsia="Times New Roman" w:cstheme="minorHAns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3B34CCB" w14:textId="3C6E08D9" w:rsidR="00A15990" w:rsidRDefault="00686A62">
            <w:pPr>
              <w:pStyle w:val="P68B1DB1-Normal12"/>
              <w:spacing w:after="0" w:line="240" w:lineRule="auto"/>
              <w:jc w:val="both"/>
              <w:rPr>
                <w:rFonts w:eastAsia="Times New Roman" w:cstheme="minorHAnsi"/>
                <w:noProof/>
              </w:rPr>
            </w:pPr>
            <w:r>
              <w:rPr>
                <w:noProof/>
              </w:rPr>
              <w:t>Lungimea liniilor de cale ferată cu noi sisteme de semnalizare electronică instalate în zona metropolitană Lisabona.</w:t>
            </w:r>
          </w:p>
        </w:tc>
      </w:tr>
    </w:tbl>
    <w:p w14:paraId="11A8F5DB" w14:textId="6735A646"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1134" w:right="1134" w:bottom="1134" w:left="1134" w:header="567" w:footer="567" w:gutter="0"/>
          <w:cols w:space="720"/>
          <w:docGrid w:linePitch="360"/>
        </w:sectPr>
      </w:pPr>
    </w:p>
    <w:p w14:paraId="510498C1"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F3C01E3" w14:textId="763016D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O.3. Descrierea reformelor și a investițiilor pentru împrumut</w:t>
      </w:r>
    </w:p>
    <w:p w14:paraId="1242CC49"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Investiții TC-C15-I03: Transportul feroviar ușor Odivelas – Loures </w:t>
      </w:r>
    </w:p>
    <w:p w14:paraId="27A3BE80" w14:textId="77777777" w:rsidR="00A15990" w:rsidRDefault="00686A62">
      <w:pPr>
        <w:pStyle w:val="P68B1DB1-Normal4"/>
        <w:keepNext/>
        <w:spacing w:before="40" w:after="0" w:line="259" w:lineRule="auto"/>
        <w:jc w:val="both"/>
        <w:rPr>
          <w:rFonts w:eastAsiaTheme="minorEastAsia" w:cs="Times New Roman"/>
          <w:noProof/>
        </w:rPr>
      </w:pPr>
      <w:r>
        <w:rPr>
          <w:noProof/>
        </w:rPr>
        <w:t>Obiectivul măsurii este de a spori atractivitatea transportului public în Lisabona și de a atrage mai mulți utilizatori. În prezent, transportul rutier privat ocupă o poziție dominantă între Loures și Lisabona, cauzând importante emisii de gaze cu efect de seră și poluanți și probleme de congestionare. Măsura urmărește să declanșeze trecerea de la transportul rutier individual la transportul public.</w:t>
      </w:r>
    </w:p>
    <w:p w14:paraId="4FCFEDE5" w14:textId="481C3763" w:rsidR="00A15990" w:rsidRDefault="00686A62">
      <w:pPr>
        <w:pStyle w:val="P68B1DB1-Normal4"/>
        <w:keepNext/>
        <w:spacing w:before="40" w:after="0" w:line="259" w:lineRule="auto"/>
        <w:jc w:val="both"/>
        <w:rPr>
          <w:rFonts w:eastAsiaTheme="minorEastAsia" w:cs="Times New Roman"/>
          <w:noProof/>
        </w:rPr>
      </w:pPr>
      <w:r>
        <w:rPr>
          <w:noProof/>
        </w:rPr>
        <w:t xml:space="preserve">Investiția constă în construirea unui sistem de tranzit feroviar ușor cu o lungime de 11,5 km, care să conecteze municipalitatea Loures la rețeaua de metrou din Lisabona. </w:t>
      </w:r>
    </w:p>
    <w:p w14:paraId="5F1D6AF1" w14:textId="7D85A9C0" w:rsidR="00A15990" w:rsidRDefault="00686A62">
      <w:pPr>
        <w:pStyle w:val="P68B1DB1-Normal4"/>
        <w:keepNext/>
        <w:spacing w:before="40" w:after="0" w:line="259" w:lineRule="auto"/>
        <w:ind w:left="130" w:firstLine="720"/>
        <w:jc w:val="both"/>
        <w:outlineLvl w:val="1"/>
        <w:rPr>
          <w:rFonts w:eastAsiaTheme="minorEastAsia" w:cs="Times New Roman"/>
          <w:b/>
          <w:noProof/>
          <w:u w:val="single"/>
        </w:rPr>
      </w:pPr>
      <w:r>
        <w:rPr>
          <w:noProof/>
        </w:rPr>
        <w:t>Punerea în aplicare a investiției se va finaliza până la 30 iunie 2026.</w:t>
      </w:r>
    </w:p>
    <w:p w14:paraId="575ACA3D"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64CAD46C"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294"/>
          <w:headerReference w:type="default" r:id="rId295"/>
          <w:footerReference w:type="even" r:id="rId296"/>
          <w:footerReference w:type="default" r:id="rId297"/>
          <w:headerReference w:type="first" r:id="rId298"/>
          <w:footerReference w:type="first" r:id="rId299"/>
          <w:pgSz w:w="11907" w:h="16839"/>
          <w:pgMar w:top="1134" w:right="1134" w:bottom="1134" w:left="1134" w:header="567" w:footer="567" w:gutter="0"/>
          <w:cols w:space="720"/>
          <w:docGrid w:linePitch="360"/>
        </w:sectPr>
      </w:pPr>
    </w:p>
    <w:p w14:paraId="03D3A8DE"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302B669C" w14:textId="17BC633A"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O.4. Jaloane, ținte, indicatori și calendarul de monitorizare și implementare aplicabile împrumutului</w:t>
      </w:r>
    </w:p>
    <w:p w14:paraId="635759ED"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5027" w:type="dxa"/>
        <w:tblInd w:w="-176" w:type="dxa"/>
        <w:tblLayout w:type="fixed"/>
        <w:tblLook w:val="04A0" w:firstRow="1" w:lastRow="0" w:firstColumn="1" w:lastColumn="0" w:noHBand="0" w:noVBand="1"/>
      </w:tblPr>
      <w:tblGrid>
        <w:gridCol w:w="1135"/>
        <w:gridCol w:w="1276"/>
        <w:gridCol w:w="1134"/>
        <w:gridCol w:w="1701"/>
        <w:gridCol w:w="1417"/>
        <w:gridCol w:w="993"/>
        <w:gridCol w:w="992"/>
        <w:gridCol w:w="709"/>
        <w:gridCol w:w="567"/>
        <w:gridCol w:w="708"/>
        <w:gridCol w:w="4395"/>
      </w:tblGrid>
      <w:tr w:rsidR="00A15990" w14:paraId="2F97F8D0" w14:textId="77777777">
        <w:trPr>
          <w:trHeight w:val="91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921D3C2"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1C57A38"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FEE676C" w14:textId="6E3F7205"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8027319" w14:textId="77777777" w:rsidR="00A15990" w:rsidRDefault="00686A62">
            <w:pPr>
              <w:pStyle w:val="P68B1DB1-Normal6"/>
              <w:spacing w:after="0" w:line="240" w:lineRule="auto"/>
              <w:jc w:val="center"/>
              <w:rPr>
                <w:rFonts w:eastAsia="Times New Roman" w:cs="Times New Roman"/>
                <w:noProof/>
              </w:rPr>
            </w:pPr>
            <w:r>
              <w:rPr>
                <w:noProof/>
              </w:rPr>
              <w:t>Nume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1067041"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1F0D5637"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DB14555"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4BDC769"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6A79B943" w14:textId="77777777">
        <w:trPr>
          <w:trHeight w:val="47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4310C2A"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ACA7D6"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AF8AE5" w14:textId="77777777" w:rsidR="00A15990" w:rsidRDefault="00A15990">
            <w:pPr>
              <w:spacing w:after="0" w:line="240" w:lineRule="auto"/>
              <w:jc w:val="center"/>
              <w:rPr>
                <w:rFonts w:ascii="Times New Roman" w:eastAsia="Times New Roman" w:hAnsi="Times New Roman" w:cs="Times New Roman"/>
                <w:b/>
                <w:noProo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037FB" w14:textId="77777777" w:rsidR="00A15990" w:rsidRDefault="00A15990">
            <w:pPr>
              <w:spacing w:after="0" w:line="240" w:lineRule="auto"/>
              <w:rPr>
                <w:rFonts w:ascii="Times New Roman" w:eastAsia="Times New Roman" w:hAnsi="Times New Roman" w:cs="Times New Roman"/>
                <w:b/>
                <w:noProof/>
                <w:sz w:val="18"/>
              </w:rPr>
            </w:pPr>
          </w:p>
        </w:tc>
        <w:tc>
          <w:tcPr>
            <w:tcW w:w="1417" w:type="dxa"/>
            <w:vMerge/>
            <w:tcBorders>
              <w:top w:val="single" w:sz="4" w:space="0" w:color="auto"/>
              <w:left w:val="single" w:sz="4" w:space="0" w:color="auto"/>
            </w:tcBorders>
            <w:vAlign w:val="center"/>
            <w:hideMark/>
          </w:tcPr>
          <w:p w14:paraId="532041EB" w14:textId="77777777" w:rsidR="00A15990" w:rsidRDefault="00A15990">
            <w:pPr>
              <w:spacing w:after="0" w:line="240" w:lineRule="auto"/>
              <w:rPr>
                <w:rFonts w:ascii="Times New Roman" w:eastAsia="Times New Roman" w:hAnsi="Times New Roman" w:cs="Times New Roman"/>
                <w:b/>
                <w:noProof/>
                <w:sz w:val="18"/>
              </w:rPr>
            </w:pPr>
          </w:p>
        </w:tc>
        <w:tc>
          <w:tcPr>
            <w:tcW w:w="9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78DB4E2"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260F3C8"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C75038A"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015B4B4"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C222A0" w14:textId="77777777" w:rsidR="00A15990" w:rsidRDefault="00686A62">
            <w:pPr>
              <w:pStyle w:val="P68B1DB1-Normal6"/>
              <w:spacing w:after="0" w:line="240" w:lineRule="auto"/>
              <w:jc w:val="center"/>
              <w:rPr>
                <w:rFonts w:eastAsia="Times New Roman" w:cs="Times New Roman"/>
                <w:noProof/>
              </w:rPr>
            </w:pPr>
            <w:r>
              <w:rPr>
                <w:noProof/>
              </w:rPr>
              <w:t>Anul</w:t>
            </w:r>
          </w:p>
        </w:tc>
        <w:tc>
          <w:tcPr>
            <w:tcW w:w="4395" w:type="dxa"/>
            <w:vMerge/>
            <w:tcBorders>
              <w:top w:val="single" w:sz="4" w:space="0" w:color="auto"/>
              <w:bottom w:val="single" w:sz="4" w:space="0" w:color="auto"/>
              <w:right w:val="single" w:sz="4" w:space="0" w:color="auto"/>
            </w:tcBorders>
            <w:vAlign w:val="center"/>
            <w:hideMark/>
          </w:tcPr>
          <w:p w14:paraId="01B727AD" w14:textId="77777777" w:rsidR="00A15990" w:rsidRDefault="00A15990">
            <w:pPr>
              <w:spacing w:after="0" w:line="240" w:lineRule="auto"/>
              <w:rPr>
                <w:rFonts w:ascii="Times New Roman" w:eastAsia="Times New Roman" w:hAnsi="Times New Roman" w:cs="Times New Roman"/>
                <w:b/>
                <w:noProof/>
                <w:sz w:val="18"/>
              </w:rPr>
            </w:pPr>
          </w:p>
        </w:tc>
      </w:tr>
      <w:tr w:rsidR="00A15990" w14:paraId="4EBA1B8E" w14:textId="77777777">
        <w:trPr>
          <w:trHeight w:val="85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17430DD4" w14:textId="3D8F77CB" w:rsidR="00A15990" w:rsidRDefault="00686A62">
            <w:pPr>
              <w:pStyle w:val="P68B1DB1-Normal7"/>
              <w:spacing w:after="0" w:line="240" w:lineRule="auto"/>
              <w:jc w:val="center"/>
              <w:rPr>
                <w:rFonts w:eastAsia="Times New Roman" w:cs="Calibri"/>
                <w:noProof/>
              </w:rPr>
            </w:pPr>
            <w:r>
              <w:rPr>
                <w:noProof/>
              </w:rPr>
              <w:t>15.7</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2763EAF" w14:textId="43F37C9D" w:rsidR="00A15990" w:rsidRDefault="00686A62">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4F69B0" w14:textId="6F007304"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A963B90" w14:textId="7F495470" w:rsidR="00A15990" w:rsidRDefault="00686A62">
            <w:pPr>
              <w:pStyle w:val="P68B1DB1-Normal8"/>
              <w:spacing w:after="0" w:line="240" w:lineRule="auto"/>
              <w:jc w:val="center"/>
              <w:rPr>
                <w:rFonts w:eastAsia="Times New Roman" w:cs="Calibri"/>
                <w:noProof/>
              </w:rPr>
            </w:pPr>
            <w:r>
              <w:rPr>
                <w:noProof/>
              </w:rPr>
              <w:t>Semnarea contractului pentru construirea unei linii de tranzit feroviar ușor între Odivelas și Loures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077DDBE" w14:textId="3B3953C9" w:rsidR="00A15990" w:rsidRDefault="00686A62">
            <w:pPr>
              <w:pStyle w:val="P68B1DB1-Normal8"/>
              <w:spacing w:after="0" w:line="240" w:lineRule="auto"/>
              <w:jc w:val="center"/>
              <w:rPr>
                <w:rFonts w:eastAsia="Times New Roman" w:cs="Calibri"/>
                <w:noProof/>
              </w:rPr>
            </w:pPr>
            <w:r>
              <w:rPr>
                <w:noProof/>
              </w:rPr>
              <w:t>Semnarea contractului pentru construirea unei linii de tranzit feroviar ușor între Odivelas și Loures</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18295CC" w14:textId="77777777" w:rsidR="00A15990" w:rsidRDefault="00A15990">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9B96970"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90E9541"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F8099FF" w14:textId="21500CAE" w:rsidR="00A15990" w:rsidRDefault="00686A62">
            <w:pPr>
              <w:pStyle w:val="P68B1DB1-Normal8"/>
              <w:spacing w:after="0" w:line="240" w:lineRule="auto"/>
              <w:jc w:val="center"/>
              <w:rPr>
                <w:rFonts w:eastAsia="Times New Roman" w:cs="Calibri"/>
                <w:noProof/>
              </w:rPr>
            </w:pPr>
            <w:r>
              <w:rPr>
                <w:noProof/>
              </w:rPr>
              <w:t>TRIMESTRUL 1</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73A09061" w14:textId="0BCE3452" w:rsidR="00A15990" w:rsidRDefault="00686A62">
            <w:pPr>
              <w:pStyle w:val="P68B1DB1-Normal8"/>
              <w:spacing w:after="0" w:line="240" w:lineRule="auto"/>
              <w:jc w:val="center"/>
              <w:rPr>
                <w:rFonts w:eastAsia="Times New Roman" w:cs="Calibri"/>
                <w:noProof/>
              </w:rPr>
            </w:pPr>
            <w:r>
              <w:rPr>
                <w:noProof/>
              </w:rPr>
              <w:t>2024</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1CFDF65" w14:textId="783876D7" w:rsidR="00A15990" w:rsidRDefault="00686A62">
            <w:pPr>
              <w:pStyle w:val="P68B1DB1-Normal8"/>
              <w:spacing w:after="0" w:line="240" w:lineRule="auto"/>
              <w:jc w:val="both"/>
              <w:rPr>
                <w:rFonts w:eastAsia="Times New Roman" w:cs="Calibri"/>
                <w:noProof/>
              </w:rPr>
            </w:pPr>
            <w:r>
              <w:rPr>
                <w:noProof/>
              </w:rPr>
              <w:t xml:space="preserve">Semnarea contractului de implementare a proiectului între autoritățile publice și contractantul selectat în cadrul unei proceduri de licitație. Scopul contractului este construirea unei linii de tranzit feroviar ușor între Odivelas și Loures. </w:t>
            </w:r>
          </w:p>
        </w:tc>
      </w:tr>
      <w:tr w:rsidR="00A15990" w14:paraId="2C0CA749" w14:textId="77777777">
        <w:trPr>
          <w:trHeight w:val="2527"/>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54BFE5C9" w14:textId="29341BA1" w:rsidR="00A15990" w:rsidRDefault="00686A62">
            <w:pPr>
              <w:pStyle w:val="P68B1DB1-Normal7"/>
              <w:spacing w:after="0" w:line="240" w:lineRule="auto"/>
              <w:jc w:val="center"/>
              <w:rPr>
                <w:rFonts w:eastAsia="Times New Roman" w:cs="Calibri"/>
                <w:noProof/>
              </w:rPr>
            </w:pPr>
            <w:r>
              <w:rPr>
                <w:noProof/>
              </w:rPr>
              <w:t>15.8</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0DF29A2" w14:textId="4F14BD57" w:rsidR="00A15990" w:rsidRDefault="00686A62">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C4D0EFB" w14:textId="69B081E1" w:rsidR="00A15990" w:rsidRDefault="00686A62">
            <w:pPr>
              <w:pStyle w:val="P68B1DB1-Normal8"/>
              <w:spacing w:after="0" w:line="240" w:lineRule="auto"/>
              <w:jc w:val="center"/>
              <w:rPr>
                <w:rFonts w:eastAsia="Times New Roman" w:cs="Calibri"/>
                <w:noProof/>
              </w:rPr>
            </w:pPr>
            <w:r>
              <w:rPr>
                <w:noProof/>
              </w:rPr>
              <w:t>M</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34498EF" w14:textId="33737552" w:rsidR="00A15990" w:rsidRDefault="00686A62">
            <w:pPr>
              <w:pStyle w:val="P68B1DB1-Normal8"/>
              <w:spacing w:after="0" w:line="240" w:lineRule="auto"/>
              <w:jc w:val="center"/>
              <w:rPr>
                <w:rFonts w:eastAsia="Times New Roman" w:cs="Calibri"/>
                <w:noProof/>
              </w:rPr>
            </w:pPr>
            <w:r>
              <w:rPr>
                <w:noProof/>
              </w:rPr>
              <w:t>Raport intermediar privind construcția liniei de tranzit feroviar ușor între Odivelas și Loures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9ABFC70" w14:textId="6F68A9CC" w:rsidR="00A15990" w:rsidRDefault="00686A62">
            <w:pPr>
              <w:pStyle w:val="P68B1DB1-Normal8"/>
              <w:spacing w:after="0" w:line="240" w:lineRule="auto"/>
              <w:jc w:val="center"/>
              <w:rPr>
                <w:rFonts w:eastAsia="Times New Roman" w:cs="Calibri"/>
                <w:noProof/>
              </w:rPr>
            </w:pPr>
            <w:r>
              <w:rPr>
                <w:noProof/>
              </w:rPr>
              <w:t>Raport privind progresele înregistrate, în care se precizează că lucrările avansează conform calendarului</w:t>
            </w: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60038F1" w14:textId="77777777" w:rsidR="00A15990" w:rsidRDefault="00A15990">
            <w:pPr>
              <w:spacing w:after="0" w:line="240" w:lineRule="auto"/>
              <w:jc w:val="center"/>
              <w:rPr>
                <w:rFonts w:ascii="Calibri" w:eastAsia="Times New Roman" w:hAnsi="Calibri" w:cs="Calibri"/>
                <w:noProof/>
                <w:sz w:val="16"/>
              </w:rPr>
            </w:pP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419550BD" w14:textId="77777777" w:rsidR="00A15990" w:rsidRDefault="00A15990">
            <w:pPr>
              <w:spacing w:after="0" w:line="240" w:lineRule="auto"/>
              <w:jc w:val="center"/>
              <w:rPr>
                <w:rFonts w:ascii="Calibri" w:eastAsia="Times New Roman" w:hAnsi="Calibri" w:cs="Calibri"/>
                <w:noProof/>
                <w:sz w:val="16"/>
              </w:rPr>
            </w:pP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8473EAD" w14:textId="77777777" w:rsidR="00A15990" w:rsidRDefault="00A15990">
            <w:pPr>
              <w:spacing w:after="0" w:line="240" w:lineRule="auto"/>
              <w:jc w:val="center"/>
              <w:rPr>
                <w:rFonts w:ascii="Calibri" w:eastAsia="Times New Roman" w:hAnsi="Calibri" w:cs="Calibri"/>
                <w:noProof/>
                <w:sz w:val="16"/>
              </w:rPr>
            </w:pP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3C286D" w14:textId="1D46DD3D" w:rsidR="00A15990" w:rsidRDefault="00686A62">
            <w:pPr>
              <w:pStyle w:val="P68B1DB1-Normal8"/>
              <w:spacing w:after="0" w:line="240" w:lineRule="auto"/>
              <w:jc w:val="center"/>
              <w:rPr>
                <w:rFonts w:eastAsia="Times New Roman" w:cs="Calibri"/>
                <w:noProof/>
              </w:rPr>
            </w:pPr>
            <w:r>
              <w:rPr>
                <w:noProof/>
              </w:rPr>
              <w:t>TRIMESTRUL 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EE78C35" w14:textId="00B9F427" w:rsidR="00A15990" w:rsidRDefault="00686A62">
            <w:pPr>
              <w:pStyle w:val="P68B1DB1-Normal8"/>
              <w:spacing w:after="0" w:line="240" w:lineRule="auto"/>
              <w:jc w:val="center"/>
              <w:rPr>
                <w:rFonts w:eastAsia="Times New Roman" w:cs="Calibri"/>
                <w:noProof/>
              </w:rPr>
            </w:pPr>
            <w:r>
              <w:rPr>
                <w:noProof/>
              </w:rPr>
              <w:t>2025</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33FA7FFC" w14:textId="633FF37D" w:rsidR="00A15990" w:rsidRDefault="00686A62">
            <w:pPr>
              <w:pStyle w:val="P68B1DB1-Normal8"/>
              <w:spacing w:after="0" w:line="240" w:lineRule="auto"/>
              <w:jc w:val="both"/>
              <w:rPr>
                <w:rFonts w:eastAsia="Times New Roman" w:cs="Calibri"/>
                <w:noProof/>
              </w:rPr>
            </w:pPr>
            <w:r>
              <w:rPr>
                <w:noProof/>
              </w:rPr>
              <w:t>Dezvoltarea lucrărilor de construcție a liniei de tranzit feroviar ușor dintre Odivelas și Loures și respectarea calendarului de execuție a acestora se măsoară prin rapoarte periodice privind progresele înregistrate pe toată durata executării lucrărilor. Aceasta include evaluarea evoluției lucrărilor în conformitate cu calendarul planificat, inclusiv identificarea activităților deja finalizate, identificarea activităților care urmează să fie desfășurate, precum și o analiză de risc a termenelor de punere în aplicare propuse, însoțită, dacă este necesar, de un plan de atenuare și de urgență pentru a se asigura că contractul este finalizat în termenele propuse. Jalonul este îndeplinit dacă raportul intermediar indică faptul că, la momentul realizării jalonului, lucrările avansează conform calendarului.</w:t>
            </w:r>
          </w:p>
        </w:tc>
      </w:tr>
      <w:tr w:rsidR="00A15990" w14:paraId="5ACB540A" w14:textId="77777777">
        <w:trPr>
          <w:trHeight w:val="640"/>
          <w:tblHeader/>
        </w:trPr>
        <w:tc>
          <w:tcPr>
            <w:tcW w:w="1135" w:type="dxa"/>
            <w:tcBorders>
              <w:top w:val="single" w:sz="4" w:space="0" w:color="auto"/>
              <w:left w:val="single" w:sz="4" w:space="0" w:color="auto"/>
              <w:bottom w:val="single" w:sz="4" w:space="0" w:color="auto"/>
              <w:right w:val="single" w:sz="4" w:space="0" w:color="auto"/>
            </w:tcBorders>
            <w:shd w:val="clear" w:color="auto" w:fill="C4EFCE"/>
            <w:vAlign w:val="center"/>
          </w:tcPr>
          <w:p w14:paraId="7C7A72F5" w14:textId="276CF2CE" w:rsidR="00A15990" w:rsidRDefault="00686A62">
            <w:pPr>
              <w:pStyle w:val="P68B1DB1-Normal7"/>
              <w:spacing w:after="0" w:line="240" w:lineRule="auto"/>
              <w:jc w:val="center"/>
              <w:rPr>
                <w:rFonts w:eastAsia="Times New Roman" w:cs="Calibri"/>
                <w:noProof/>
              </w:rPr>
            </w:pPr>
            <w:r>
              <w:rPr>
                <w:noProof/>
              </w:rPr>
              <w:t>15.9</w:t>
            </w:r>
          </w:p>
        </w:tc>
        <w:tc>
          <w:tcPr>
            <w:tcW w:w="1276"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099203D" w14:textId="19AB8DFF" w:rsidR="00A15990" w:rsidRDefault="00686A62">
            <w:pPr>
              <w:pStyle w:val="P68B1DB1-Normal8"/>
              <w:spacing w:after="0" w:line="240" w:lineRule="auto"/>
              <w:jc w:val="center"/>
              <w:rPr>
                <w:rFonts w:eastAsia="Times New Roman" w:cs="Calibri"/>
                <w:noProof/>
              </w:rPr>
            </w:pPr>
            <w:r>
              <w:rPr>
                <w:noProof/>
              </w:rPr>
              <w:t>TC-C15-I03</w:t>
            </w:r>
          </w:p>
        </w:tc>
        <w:tc>
          <w:tcPr>
            <w:tcW w:w="1134"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D7661C3" w14:textId="65733C36" w:rsidR="00A15990" w:rsidRDefault="00686A62">
            <w:pPr>
              <w:pStyle w:val="P68B1DB1-Normal8"/>
              <w:spacing w:after="0" w:line="240" w:lineRule="auto"/>
              <w:jc w:val="center"/>
              <w:rPr>
                <w:rFonts w:eastAsia="Times New Roman" w:cs="Calibri"/>
                <w:noProof/>
              </w:rPr>
            </w:pPr>
            <w:r>
              <w:rPr>
                <w:noProof/>
              </w:rPr>
              <w:t>T</w:t>
            </w:r>
          </w:p>
        </w:tc>
        <w:tc>
          <w:tcPr>
            <w:tcW w:w="1701"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11911FA7" w14:textId="10D9D5E3" w:rsidR="00A15990" w:rsidRDefault="00686A62">
            <w:pPr>
              <w:pStyle w:val="P68B1DB1-Normal8"/>
              <w:spacing w:after="0" w:line="240" w:lineRule="auto"/>
              <w:jc w:val="center"/>
              <w:rPr>
                <w:rFonts w:eastAsia="Times New Roman" w:cs="Calibri"/>
                <w:noProof/>
              </w:rPr>
            </w:pPr>
            <w:r>
              <w:rPr>
                <w:noProof/>
              </w:rPr>
              <w:t>Finalizarea construcției unei linii de tranzit feroviar ușor între Odivelas și Loures</w:t>
            </w:r>
          </w:p>
        </w:tc>
        <w:tc>
          <w:tcPr>
            <w:tcW w:w="141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07781649" w14:textId="77777777" w:rsidR="00A15990" w:rsidRDefault="00A15990">
            <w:pPr>
              <w:spacing w:after="0" w:line="240" w:lineRule="auto"/>
              <w:jc w:val="center"/>
              <w:rPr>
                <w:rFonts w:ascii="Calibri" w:eastAsia="Times New Roman" w:hAnsi="Calibri" w:cs="Calibri"/>
                <w:noProof/>
                <w:sz w:val="16"/>
              </w:rPr>
            </w:pPr>
          </w:p>
        </w:tc>
        <w:tc>
          <w:tcPr>
            <w:tcW w:w="993"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4FBAABA" w14:textId="0FEF1905" w:rsidR="00A15990" w:rsidRDefault="00686A62">
            <w:pPr>
              <w:pStyle w:val="P68B1DB1-Normal8"/>
              <w:spacing w:after="0" w:line="240" w:lineRule="auto"/>
              <w:jc w:val="center"/>
              <w:rPr>
                <w:rFonts w:eastAsia="Times New Roman" w:cs="Calibri"/>
                <w:noProof/>
              </w:rPr>
            </w:pPr>
            <w:r>
              <w:rPr>
                <w:noProof/>
              </w:rPr>
              <w:t>Kilometri</w:t>
            </w:r>
          </w:p>
        </w:tc>
        <w:tc>
          <w:tcPr>
            <w:tcW w:w="992"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65D1663D" w14:textId="629F8717" w:rsidR="00A15990" w:rsidRDefault="00686A62">
            <w:pPr>
              <w:pStyle w:val="P68B1DB1-Normal8"/>
              <w:spacing w:after="0" w:line="240" w:lineRule="auto"/>
              <w:jc w:val="center"/>
              <w:rPr>
                <w:rFonts w:eastAsia="Times New Roman" w:cs="Calibri"/>
                <w:noProof/>
              </w:rPr>
            </w:pPr>
            <w:r>
              <w:rPr>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2D4C315A" w14:textId="78D81EC8" w:rsidR="00A15990" w:rsidRDefault="00686A62">
            <w:pPr>
              <w:pStyle w:val="P68B1DB1-Normal8"/>
              <w:spacing w:after="0" w:line="240" w:lineRule="auto"/>
              <w:jc w:val="center"/>
              <w:rPr>
                <w:rFonts w:eastAsia="Times New Roman" w:cs="Calibri"/>
                <w:noProof/>
              </w:rPr>
            </w:pPr>
            <w:r>
              <w:rPr>
                <w:noProof/>
              </w:rPr>
              <w:t>11.5</w:t>
            </w:r>
          </w:p>
        </w:tc>
        <w:tc>
          <w:tcPr>
            <w:tcW w:w="567"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5F0E1D2A" w14:textId="1621DBB7" w:rsidR="00A15990" w:rsidRDefault="00686A62">
            <w:pPr>
              <w:pStyle w:val="P68B1DB1-Normal8"/>
              <w:spacing w:after="0" w:line="240" w:lineRule="auto"/>
              <w:jc w:val="center"/>
              <w:rPr>
                <w:rFonts w:eastAsia="Times New Roman" w:cs="Calibri"/>
                <w:noProof/>
              </w:rPr>
            </w:pPr>
            <w:r>
              <w:rPr>
                <w:noProof/>
              </w:rPr>
              <w:t>TRIMESTRUL 2</w:t>
            </w:r>
          </w:p>
        </w:tc>
        <w:tc>
          <w:tcPr>
            <w:tcW w:w="708" w:type="dxa"/>
            <w:tcBorders>
              <w:top w:val="single" w:sz="4" w:space="0" w:color="auto"/>
              <w:left w:val="single" w:sz="4" w:space="0" w:color="auto"/>
              <w:bottom w:val="single" w:sz="4" w:space="0" w:color="auto"/>
              <w:right w:val="single" w:sz="4" w:space="0" w:color="auto"/>
            </w:tcBorders>
            <w:shd w:val="clear" w:color="auto" w:fill="C4EFCE"/>
            <w:noWrap/>
            <w:vAlign w:val="center"/>
          </w:tcPr>
          <w:p w14:paraId="3B81BB6F" w14:textId="2BF6C0A4" w:rsidR="00A15990" w:rsidRDefault="00686A62">
            <w:pPr>
              <w:pStyle w:val="P68B1DB1-Normal8"/>
              <w:spacing w:after="0" w:line="240" w:lineRule="auto"/>
              <w:jc w:val="center"/>
              <w:rPr>
                <w:rFonts w:eastAsia="Times New Roman" w:cs="Calibri"/>
                <w:noProof/>
              </w:rPr>
            </w:pPr>
            <w:r>
              <w:rPr>
                <w:noProof/>
              </w:rPr>
              <w:t>2026</w:t>
            </w:r>
          </w:p>
        </w:tc>
        <w:tc>
          <w:tcPr>
            <w:tcW w:w="4395" w:type="dxa"/>
            <w:tcBorders>
              <w:top w:val="single" w:sz="4" w:space="0" w:color="auto"/>
              <w:left w:val="single" w:sz="4" w:space="0" w:color="auto"/>
              <w:bottom w:val="single" w:sz="4" w:space="0" w:color="auto"/>
              <w:right w:val="single" w:sz="4" w:space="0" w:color="auto"/>
            </w:tcBorders>
            <w:shd w:val="clear" w:color="auto" w:fill="C4EFCE"/>
            <w:vAlign w:val="center"/>
          </w:tcPr>
          <w:p w14:paraId="7B006FBB" w14:textId="239AB1DE" w:rsidR="00A15990" w:rsidRDefault="00686A62">
            <w:pPr>
              <w:pStyle w:val="P68B1DB1-Normal8"/>
              <w:spacing w:after="0" w:line="240" w:lineRule="auto"/>
              <w:jc w:val="both"/>
              <w:rPr>
                <w:rFonts w:eastAsia="Times New Roman" w:cs="Calibri"/>
                <w:noProof/>
              </w:rPr>
            </w:pPr>
            <w:r>
              <w:rPr>
                <w:noProof/>
              </w:rPr>
              <w:t xml:space="preserve">Durata lucrărilor de construcție finalizate pentru linia de tranzit feroviar ușor pentru a conecta Loures la rețeaua de metrou Lisabona din Odivelas. Noua linie de tranzit feroviar ușor este pregătită pentru operarea imediată a serviciilor de transport planificate. </w:t>
            </w:r>
          </w:p>
        </w:tc>
      </w:tr>
    </w:tbl>
    <w:p w14:paraId="0B3D7BA5"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5D80F2C0"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3B5D196"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3311E3">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1134" w:right="1134" w:bottom="1134" w:left="1134" w:header="567" w:footer="567" w:gutter="0"/>
          <w:cols w:space="720"/>
          <w:docGrid w:linePitch="360"/>
        </w:sectPr>
      </w:pPr>
    </w:p>
    <w:p w14:paraId="19EC9F83" w14:textId="1B8178D1"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COMPONENTA 16: Întreprinderi 4.0</w:t>
      </w:r>
    </w:p>
    <w:p w14:paraId="25B02CF9" w14:textId="77777777" w:rsidR="00A15990" w:rsidRDefault="00686A62">
      <w:pPr>
        <w:pStyle w:val="P68B1DB1-Normal4"/>
        <w:keepNext/>
        <w:spacing w:before="40" w:after="0" w:line="259" w:lineRule="auto"/>
        <w:jc w:val="both"/>
        <w:rPr>
          <w:rFonts w:eastAsiaTheme="minorEastAsia" w:cs="Times New Roman"/>
          <w:noProof/>
        </w:rPr>
      </w:pPr>
      <w:r>
        <w:rPr>
          <w:noProof/>
        </w:rPr>
        <w:t>Componenta abordează provocările legate de nivelul scăzut de digitalizare a întreprinderilor. Potrivit rezultatelor indicelui economiei și societății digitale (DESI 2020), Portugalia se situează pe</w:t>
      </w:r>
      <w:r>
        <w:rPr>
          <w:noProof/>
          <w:vertAlign w:val="superscript"/>
        </w:rPr>
        <w:t>locul</w:t>
      </w:r>
      <w:r>
        <w:rPr>
          <w:noProof/>
        </w:rPr>
        <w:t xml:space="preserve"> 19 în UE și sub media UE. Dimensiunile cele mai fragile în cazul Portugaliei sunt cele ale „capitalului uman” și „utilizării serviciilor de internet” și unele dimensiuni ale „integrării tehnologiilor digitale”, toate reflectând limitările capacității digitale și ale performanței digitale a întreprinderilor. </w:t>
      </w:r>
    </w:p>
    <w:p w14:paraId="72BA11C3" w14:textId="673C874D" w:rsidR="00A15990" w:rsidRDefault="00686A62">
      <w:pPr>
        <w:pStyle w:val="P68B1DB1-Normal4"/>
        <w:keepNext/>
        <w:spacing w:before="40" w:after="0" w:line="259" w:lineRule="auto"/>
        <w:jc w:val="both"/>
        <w:rPr>
          <w:rFonts w:eastAsiaTheme="minorEastAsia" w:cs="Times New Roman"/>
          <w:noProof/>
        </w:rPr>
      </w:pPr>
      <w:r>
        <w:rPr>
          <w:noProof/>
        </w:rPr>
        <w:t>Obiectivele componentei sunt de a viza sectorul de afaceri, în special IMM-urile și angajații acestora, investițiile vizând accelerarea tranziției digitale fiind completate de consolidarea competențelor digitale ale forței de muncă angajate. Investițiile prevăd următoarele acțiuni:</w:t>
      </w:r>
    </w:p>
    <w:p w14:paraId="674866B7" w14:textId="34492028" w:rsidR="00A15990" w:rsidRDefault="00686A62">
      <w:pPr>
        <w:pStyle w:val="P68B1DB1-Normal4"/>
        <w:keepNext/>
        <w:numPr>
          <w:ilvl w:val="0"/>
          <w:numId w:val="32"/>
        </w:numPr>
        <w:spacing w:before="40" w:after="160" w:line="259" w:lineRule="auto"/>
        <w:contextualSpacing/>
        <w:jc w:val="both"/>
        <w:rPr>
          <w:rFonts w:eastAsiaTheme="minorEastAsia" w:cs="Times New Roman"/>
          <w:noProof/>
        </w:rPr>
      </w:pPr>
      <w:r>
        <w:rPr>
          <w:noProof/>
        </w:rPr>
        <w:t>Consolidarea competențelor digitale ale angajaților și ale populației în vârstă de muncă;</w:t>
      </w:r>
    </w:p>
    <w:p w14:paraId="5F996481" w14:textId="77777777" w:rsidR="00A15990" w:rsidRDefault="00686A62">
      <w:pPr>
        <w:pStyle w:val="P68B1DB1-Normal4"/>
        <w:keepNext/>
        <w:numPr>
          <w:ilvl w:val="0"/>
          <w:numId w:val="32"/>
        </w:numPr>
        <w:spacing w:before="40" w:after="160" w:line="259" w:lineRule="auto"/>
        <w:contextualSpacing/>
        <w:jc w:val="both"/>
        <w:rPr>
          <w:rFonts w:eastAsiaTheme="minorEastAsia" w:cs="Times New Roman"/>
          <w:noProof/>
        </w:rPr>
      </w:pPr>
      <w:r>
        <w:rPr>
          <w:noProof/>
        </w:rPr>
        <w:t>Modernizarea modelului de afaceri al întreprinderilor, precum și a proceselor lor de producție, inclusiv digitalizarea fluxurilor de lucru, cum ar fi gestionarea afacerilor, produsele inovatoare și facturarea;</w:t>
      </w:r>
    </w:p>
    <w:p w14:paraId="1AB18387" w14:textId="77777777" w:rsidR="00A15990" w:rsidRDefault="00686A62">
      <w:pPr>
        <w:pStyle w:val="P68B1DB1-Normal4"/>
        <w:keepNext/>
        <w:numPr>
          <w:ilvl w:val="0"/>
          <w:numId w:val="32"/>
        </w:numPr>
        <w:spacing w:before="40" w:after="160" w:line="259" w:lineRule="auto"/>
        <w:contextualSpacing/>
        <w:jc w:val="both"/>
        <w:rPr>
          <w:rFonts w:eastAsiaTheme="minorEastAsia" w:cs="Times New Roman"/>
          <w:noProof/>
        </w:rPr>
      </w:pPr>
      <w:r>
        <w:rPr>
          <w:noProof/>
        </w:rPr>
        <w:t>Crearea de noi canale digitale de comercializare pentru produse și servicii;</w:t>
      </w:r>
    </w:p>
    <w:p w14:paraId="270FA3A4" w14:textId="77777777" w:rsidR="00A15990" w:rsidRDefault="00686A62">
      <w:pPr>
        <w:pStyle w:val="P68B1DB1-Normal4"/>
        <w:keepNext/>
        <w:numPr>
          <w:ilvl w:val="0"/>
          <w:numId w:val="32"/>
        </w:numPr>
        <w:spacing w:before="40" w:after="160" w:line="259" w:lineRule="auto"/>
        <w:contextualSpacing/>
        <w:jc w:val="both"/>
        <w:rPr>
          <w:rFonts w:eastAsiaTheme="minorEastAsia" w:cs="Times New Roman"/>
          <w:noProof/>
        </w:rPr>
      </w:pPr>
      <w:r>
        <w:rPr>
          <w:noProof/>
        </w:rPr>
        <w:t>Inovarea și integrarea tehnologiilor digitale avansate în modelul de afaceri al întreprinderilor; și</w:t>
      </w:r>
    </w:p>
    <w:p w14:paraId="1E059D00" w14:textId="77777777" w:rsidR="00A15990" w:rsidRDefault="00686A62">
      <w:pPr>
        <w:pStyle w:val="P68B1DB1-Normal4"/>
        <w:keepNext/>
        <w:numPr>
          <w:ilvl w:val="0"/>
          <w:numId w:val="32"/>
        </w:numPr>
        <w:spacing w:before="40" w:after="160" w:line="259" w:lineRule="auto"/>
        <w:contextualSpacing/>
        <w:jc w:val="both"/>
        <w:rPr>
          <w:rFonts w:eastAsiaTheme="minorEastAsia" w:cs="Times New Roman"/>
          <w:noProof/>
        </w:rPr>
      </w:pPr>
      <w:r>
        <w:rPr>
          <w:noProof/>
        </w:rPr>
        <w:t>Promovarea antreprenoriatului digital.</w:t>
      </w:r>
    </w:p>
    <w:p w14:paraId="5864DB58" w14:textId="77777777" w:rsidR="00A15990" w:rsidRDefault="00686A62">
      <w:pPr>
        <w:pStyle w:val="P68B1DB1-Normal4"/>
        <w:spacing w:after="0" w:line="240" w:lineRule="auto"/>
        <w:ind w:left="60"/>
        <w:jc w:val="both"/>
        <w:textAlignment w:val="baseline"/>
        <w:rPr>
          <w:rFonts w:eastAsiaTheme="minorEastAsia" w:cs="Times New Roman"/>
          <w:noProof/>
        </w:rPr>
      </w:pPr>
      <w:r>
        <w:rPr>
          <w:noProof/>
        </w:rPr>
        <w:t>Componenta sprijină abordarea recomandărilor specifice fiecărei țări referitoare la sprijinirea utilizării tehnologiilor digitale, asigurarea accesului egal la educație și formare de calitate, stimularea competitivității întreprinderilor, sprijinirea ocupării forței de muncă și acordarea de prioritate măsurilor de menținere a locurilor de muncă (recomandarea specifică fiecărei țări 2 2020). Componenta sprijină, de asemenea, abordarea recomandărilor specifice fiecărei țări de îmbunătățire a nivelului de competențe al populației, în special a alfabetizării digitale a acesteia, inclusiv prin sporirea relevanței învățării în rândul adulților pentru nevoile pieței forței de muncă (recomandarea specifică fiecărei țări 2 2019) și concentrarea investițiilor asupra tranziției digitale (recomandarea specifică fiecărei țări 3 2020).</w:t>
      </w:r>
    </w:p>
    <w:p w14:paraId="303FB0B6" w14:textId="77777777" w:rsidR="00A15990" w:rsidRDefault="00686A62">
      <w:pPr>
        <w:pStyle w:val="P68B1DB1-Normal4"/>
        <w:spacing w:before="40" w:after="0" w:line="259" w:lineRule="auto"/>
        <w:ind w:left="130" w:firstLine="720"/>
        <w:jc w:val="both"/>
        <w:outlineLvl w:val="1"/>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166B059E" w14:textId="77777777" w:rsidR="00A15990" w:rsidRDefault="00A15990">
      <w:pPr>
        <w:spacing w:before="40" w:after="0" w:line="259" w:lineRule="auto"/>
        <w:ind w:left="130" w:firstLine="720"/>
        <w:jc w:val="both"/>
        <w:outlineLvl w:val="1"/>
        <w:rPr>
          <w:rFonts w:ascii="Times New Roman" w:eastAsiaTheme="minorEastAsia" w:hAnsi="Times New Roman" w:cs="Times New Roman"/>
          <w:noProof/>
          <w:sz w:val="24"/>
        </w:rPr>
      </w:pPr>
    </w:p>
    <w:p w14:paraId="22C34D86"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P.1. Descrierea reformelor și a investițiilor pentru sprijinul financiar nerambursabil</w:t>
      </w:r>
    </w:p>
    <w:p w14:paraId="3981E054"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Reforma TD-r31: Tranziția digitală a mediului de afaceri</w:t>
      </w:r>
    </w:p>
    <w:p w14:paraId="4687B767"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Obiectivele măsurii sunt de a consolida creșterea mediului de afaceri, făcându-l mai competitiv și mai rezilient din punct de vedere digital în contextul economic și social mondial actual. Această reformă face parte din Planul de acțiune mai amplu pentru tranziția digitală (PATD) pe care Portugalia l-a adoptat în aprilie 2020. </w:t>
      </w:r>
    </w:p>
    <w:p w14:paraId="5F93CFCB" w14:textId="77777777" w:rsidR="00A15990" w:rsidRDefault="00686A62">
      <w:pPr>
        <w:pStyle w:val="P68B1DB1-Normal4"/>
        <w:spacing w:before="40" w:after="0" w:line="259" w:lineRule="auto"/>
        <w:jc w:val="both"/>
        <w:rPr>
          <w:rFonts w:eastAsiaTheme="minorEastAsia" w:cs="Times New Roman"/>
          <w:noProof/>
        </w:rPr>
      </w:pPr>
      <w:r>
        <w:rPr>
          <w:noProof/>
        </w:rPr>
        <w:t>Reforma constă în următoarele elemente:</w:t>
      </w:r>
    </w:p>
    <w:p w14:paraId="449795BB" w14:textId="77777777" w:rsidR="00A15990" w:rsidRDefault="00686A62">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Revizuirea conținutului formativ inclus în Catalogul național al calificărilor, în special în ceea ce privește competențele digitale pentru utilizare în context profesional. Această reînnoire este aliniată la cele mai recente evoluții tehnologice și la cele mai presante nevoi ale întreprinderilor din diferite sectoare economice. În acest scop, începând cu 2021 pot fi puse la dispoziție noi parcursuri de formare și cursuri de formare de scurtă durată.</w:t>
      </w:r>
    </w:p>
    <w:p w14:paraId="065811DC" w14:textId="77777777" w:rsidR="00A15990" w:rsidRDefault="00686A62">
      <w:pPr>
        <w:pStyle w:val="P68B1DB1-Normal4"/>
        <w:numPr>
          <w:ilvl w:val="0"/>
          <w:numId w:val="32"/>
        </w:numPr>
        <w:spacing w:before="40" w:after="160" w:line="259" w:lineRule="auto"/>
        <w:ind w:left="714" w:hanging="357"/>
        <w:contextualSpacing/>
        <w:jc w:val="both"/>
        <w:rPr>
          <w:rFonts w:eastAsiaTheme="minorEastAsia" w:cs="Times New Roman"/>
          <w:noProof/>
        </w:rPr>
      </w:pPr>
      <w:r>
        <w:rPr>
          <w:noProof/>
        </w:rPr>
        <w:t>Instituirea cadrului juridic și de reglementare necesar pentru crearea sigiliilor digitale în domeniul securității cibernetice, al vieții private, al durabilității și al posibilității de utilizare. Acest cadru și promovarea încrederii digitale reprezintă o condiție prealabilă pentru punerea în aplicare a investițiilor pentru sigiliile digitale prevăzute în această componentă.</w:t>
      </w:r>
    </w:p>
    <w:p w14:paraId="7BB1E01D" w14:textId="77777777" w:rsidR="00A15990" w:rsidRDefault="00686A62">
      <w:pPr>
        <w:pStyle w:val="P68B1DB1-Normal4"/>
        <w:spacing w:before="40" w:after="0" w:line="259" w:lineRule="auto"/>
        <w:jc w:val="both"/>
        <w:rPr>
          <w:rFonts w:eastAsiaTheme="minorEastAsia" w:cs="Times New Roman"/>
          <w:noProof/>
        </w:rPr>
      </w:pPr>
      <w:r>
        <w:rPr>
          <w:noProof/>
        </w:rPr>
        <w:t xml:space="preserve">Punerea în aplicare a reformei se finalizează până la 31 martie 2022. </w:t>
      </w:r>
    </w:p>
    <w:p w14:paraId="71EFA567"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Investiția TD-C16-i01: Capacitarea digitală a întreprinderilor</w:t>
      </w:r>
    </w:p>
    <w:p w14:paraId="11A95DC7" w14:textId="74636A6E" w:rsidR="00A15990" w:rsidRDefault="00686A62">
      <w:pPr>
        <w:pStyle w:val="P68B1DB1-Normal4"/>
        <w:spacing w:before="40" w:after="0" w:line="259" w:lineRule="auto"/>
        <w:jc w:val="both"/>
        <w:rPr>
          <w:rFonts w:eastAsiaTheme="minorEastAsia" w:cs="Times New Roman"/>
          <w:noProof/>
        </w:rPr>
      </w:pPr>
      <w:r>
        <w:rPr>
          <w:noProof/>
        </w:rPr>
        <w:t>Obiectivele măsurii sunt de a spori competențele digitale ale populației în vârstă de muncă, inclusiv ale angajaților și managerilor, cu un accent deosebit pe întreprinderile din sectoarele industriei, comerțului, serviciilor, turismului și agriculturii, pentru a crește numărul lucrătorilor cu competențe digitale și pentru a îmbunătăți competitivitatea și reziliența întreprinderilor, contribuind astfel și la menținerea și crearea de locuri de muncă. Aceste investiții vor contribui la creșterea numărului de locuri de muncă calificate în întreprinderile existente și vor încuraja crearea de noi întreprinderi.</w:t>
      </w:r>
    </w:p>
    <w:p w14:paraId="297F4A6D" w14:textId="77777777" w:rsidR="00A15990" w:rsidRDefault="00686A62">
      <w:pPr>
        <w:pStyle w:val="P68B1DB1-Normal4"/>
        <w:spacing w:before="40" w:after="0" w:line="259" w:lineRule="auto"/>
        <w:jc w:val="both"/>
        <w:rPr>
          <w:rFonts w:eastAsiaTheme="minorEastAsia" w:cs="Times New Roman"/>
          <w:noProof/>
        </w:rPr>
      </w:pPr>
      <w:r>
        <w:rPr>
          <w:noProof/>
        </w:rPr>
        <w:t>Investiția constă în două programe de formare interconectate care vor fi instituite pentru a aborda lacunele în materie de competențe digitale ale lucrătorilor (angajați și manageri) și ale întreprinderilor. Se preconizează că investiția va influența noile politici și va contribui la dezvoltarea competențelor profesionale și a practicilor de formare pe tot parcursul vieții. De asemenea, se preconizează că investiția va îmbunătăți capacitatea întreprinderilor de a face față provocărilor și de a valorifica oportunitățile oferite de tehnologie. Cele două acțiuni sunt:</w:t>
      </w:r>
    </w:p>
    <w:p w14:paraId="1356F4BE" w14:textId="24F6FE3D" w:rsidR="00A15990" w:rsidRDefault="00686A62">
      <w:pPr>
        <w:pStyle w:val="P68B1DB1-Normal4"/>
        <w:keepNext/>
        <w:numPr>
          <w:ilvl w:val="0"/>
          <w:numId w:val="48"/>
        </w:numPr>
        <w:spacing w:before="40" w:after="160" w:line="259" w:lineRule="auto"/>
        <w:contextualSpacing/>
        <w:jc w:val="both"/>
        <w:rPr>
          <w:rFonts w:eastAsiaTheme="minorEastAsia" w:cs="Times New Roman"/>
          <w:noProof/>
        </w:rPr>
      </w:pPr>
      <w:r>
        <w:rPr>
          <w:noProof/>
        </w:rPr>
        <w:t>Academy Portugal Digital: disponibile pentru întreaga populație în vârstă de muncă, cu obiectivul de a atinge 500 000 de diagnostice ale competențelor digitale și 125 000 de participanți la formare online, mixtă și față de față în față în materie de competențe digitale. Aceasta include, de asemenea, crearea a 50 MOOC ad-hoc care să fie puse la dispoziție pe platforma online.</w:t>
      </w:r>
    </w:p>
    <w:p w14:paraId="09F7D8E5" w14:textId="328442CD" w:rsidR="00A15990" w:rsidRDefault="00686A62">
      <w:pPr>
        <w:pStyle w:val="P68B1DB1-Normal4"/>
        <w:keepNext/>
        <w:numPr>
          <w:ilvl w:val="0"/>
          <w:numId w:val="48"/>
        </w:numPr>
        <w:spacing w:before="40" w:after="160" w:line="259" w:lineRule="auto"/>
        <w:contextualSpacing/>
        <w:jc w:val="both"/>
        <w:rPr>
          <w:rFonts w:eastAsiaTheme="minorEastAsia" w:cs="Times New Roman"/>
          <w:noProof/>
        </w:rPr>
      </w:pPr>
      <w:r>
        <w:rPr>
          <w:noProof/>
        </w:rPr>
        <w:t>Ocuparea forței de muncă + sectorul digital 2025: cu obiectivul de a oferi unui număr de 200 000 de participanți o formare mai aprofundată online, față în față sau mixtă în materie de competențe digitale</w:t>
      </w:r>
    </w:p>
    <w:p w14:paraId="044881B1" w14:textId="77777777"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septembrie 2025.</w:t>
      </w:r>
    </w:p>
    <w:p w14:paraId="6CA41520"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Investiția TD-C16-i02: Tranziția digitală a întreprinderilor</w:t>
      </w:r>
    </w:p>
    <w:p w14:paraId="6DCB64CF" w14:textId="77777777" w:rsidR="00A15990" w:rsidRDefault="00686A62">
      <w:pPr>
        <w:pStyle w:val="P68B1DB1-Normal4"/>
        <w:spacing w:before="40" w:after="0" w:line="259" w:lineRule="auto"/>
        <w:jc w:val="both"/>
        <w:rPr>
          <w:rFonts w:eastAsiaTheme="minorEastAsia" w:cs="Times New Roman"/>
          <w:noProof/>
        </w:rPr>
      </w:pPr>
      <w:r>
        <w:rPr>
          <w:noProof/>
        </w:rPr>
        <w:t xml:space="preserve">Obiectivele măsurii sunt de a contribui la transformarea modelelor de afaceri ale IMM-urilor portugheze și la digitalizarea acestora. Acest lucru este deosebit de relevant având în vedere faptul că economia portugheză este dominată în principal de microîntreprinderi, care sunt mai puțin active din punct de vedere digital decât întreprinderile mai mari. Astfel, prin implicarea IMM-urilor în digitalizarea întreprinderilor, scopul investiției este de a transforma modelul de afaceri al economiei portugheze și de a contribui la o mai mare competitivitate și reziliență. </w:t>
      </w:r>
    </w:p>
    <w:p w14:paraId="2EE74087" w14:textId="77777777" w:rsidR="00A15990" w:rsidRDefault="00686A62">
      <w:pPr>
        <w:pStyle w:val="P68B1DB1-Normal4"/>
        <w:spacing w:before="40" w:after="0" w:line="259" w:lineRule="auto"/>
        <w:jc w:val="both"/>
        <w:rPr>
          <w:rFonts w:eastAsiaTheme="minorEastAsia" w:cs="Times New Roman"/>
          <w:noProof/>
        </w:rPr>
      </w:pPr>
      <w:r>
        <w:rPr>
          <w:noProof/>
        </w:rPr>
        <w:t>Investiția constă în patru grupuri de acțiuni:</w:t>
      </w:r>
    </w:p>
    <w:p w14:paraId="78A34119" w14:textId="7D7B529F" w:rsidR="00A15990" w:rsidRDefault="00686A62">
      <w:pPr>
        <w:pStyle w:val="P68B1DB1-Normal4"/>
        <w:keepNext/>
        <w:numPr>
          <w:ilvl w:val="0"/>
          <w:numId w:val="33"/>
        </w:numPr>
        <w:spacing w:before="40" w:after="160" w:line="259" w:lineRule="auto"/>
        <w:contextualSpacing/>
        <w:jc w:val="both"/>
        <w:rPr>
          <w:rFonts w:eastAsiaTheme="minorEastAsia" w:cs="Times New Roman"/>
          <w:noProof/>
        </w:rPr>
      </w:pPr>
      <w:r>
        <w:rPr>
          <w:noProof/>
        </w:rPr>
        <w:t>„Rețeaua națională a benzilor de testare”: crearea unei rețele naționale de teste Beds cu scopul de a crea condițiile necesare pentru ca întreprinderile să dezvolte și să testeze noi produse și servicii și să accelereze procesul de transformare digitală, fie prin echipamente fizice și echipamente de testare a infrastructurii, fie prin simulatoare virtuale/digitale. Obiectivul este de a stabili 30 infrastructuri ale standului de încercare și de a testa cel puțin 3 000 produse sau servicii pilot.</w:t>
      </w:r>
    </w:p>
    <w:p w14:paraId="2A0555EB" w14:textId="2B9E5CCC" w:rsidR="00A15990" w:rsidRDefault="00686A62">
      <w:pPr>
        <w:pStyle w:val="P68B1DB1-Normal4"/>
        <w:keepNext/>
        <w:numPr>
          <w:ilvl w:val="0"/>
          <w:numId w:val="33"/>
        </w:numPr>
        <w:spacing w:before="40" w:after="160" w:line="259" w:lineRule="auto"/>
        <w:contextualSpacing/>
        <w:jc w:val="both"/>
        <w:rPr>
          <w:rFonts w:eastAsiaTheme="minorEastAsia" w:cs="Times New Roman"/>
          <w:noProof/>
        </w:rPr>
      </w:pPr>
      <w:r>
        <w:rPr>
          <w:noProof/>
        </w:rPr>
        <w:t>Comerțul digital: un program de digitalizare a IMM-urilor, cu accent pe microîntreprinderile din sectorul comercial, pentru a-și activa canalele digitale de tranzacționare, pentru a integra tehnologia în modelele de afaceri și pentru a dematerializa procesele cu clienții și furnizorii prin utilizarea tehnologiilor informației și comunicațiilor. Acesta cuprinde trei proiecte: I) „Acceleratoare ale comerțului digital”, prin crearea a 25 de acceleratori locali, regionali sau sectoriali (entități care oferă îndrumare, mentorat, sprijin financiar pentru întreprinderile nou-înființate și IMM-uri pentru a le ajuta să se dezvolte) și un sistem de stimulente financiare pentru digitalizarea modelelor de afaceri ale IMM-urilor (obiectivul fiind de 25 000 de IMM-uri); „cartierele comerțului digital”, care sprijină digitalizarea (cu platforme locale de comerț electronic și de livrare) a 75 de zone comerciale situate în centre urbane, suburbane sau rurale, pentru a stimula aceste zone și a promova coeziunea teritorială și economia locală; „internaționalizarea prin intermediul comerțului electronic”, pentru a ajuta întreprinderile să dezvolte noi canale de vânzări în străinătate prin intermediul vânzărilor online.</w:t>
      </w:r>
    </w:p>
    <w:p w14:paraId="29BDD956" w14:textId="77777777" w:rsidR="00A15990" w:rsidRDefault="00686A62">
      <w:pPr>
        <w:pStyle w:val="P68B1DB1-Normal4"/>
        <w:keepNext/>
        <w:numPr>
          <w:ilvl w:val="0"/>
          <w:numId w:val="33"/>
        </w:numPr>
        <w:spacing w:before="40" w:after="160" w:line="259" w:lineRule="auto"/>
        <w:contextualSpacing/>
        <w:jc w:val="both"/>
        <w:rPr>
          <w:rFonts w:eastAsiaTheme="minorEastAsia" w:cs="Times New Roman"/>
          <w:noProof/>
        </w:rPr>
      </w:pPr>
      <w:r>
        <w:rPr>
          <w:noProof/>
        </w:rPr>
        <w:t xml:space="preserve">Sprijinirea tranziției digitale a modelelor de afaceri: Îndrumare profesională 4.0, un program de sprijinire a întreprinderilor în adoptarea tehnologiilor digitale avansate. </w:t>
      </w:r>
    </w:p>
    <w:p w14:paraId="73477E39" w14:textId="77777777" w:rsidR="00A15990" w:rsidRDefault="00686A62">
      <w:pPr>
        <w:pStyle w:val="P68B1DB1-Normal4"/>
        <w:keepNext/>
        <w:numPr>
          <w:ilvl w:val="0"/>
          <w:numId w:val="33"/>
        </w:numPr>
        <w:spacing w:before="40" w:after="160" w:line="259" w:lineRule="auto"/>
        <w:contextualSpacing/>
        <w:jc w:val="both"/>
        <w:rPr>
          <w:rFonts w:eastAsiaTheme="minorEastAsia" w:cs="Times New Roman"/>
          <w:noProof/>
        </w:rPr>
      </w:pPr>
      <w:r>
        <w:rPr>
          <w:noProof/>
        </w:rPr>
        <w:t>Antreprenoriatul: prin măsuri precum (i) „cupon pentru întreprinderile nou-înființate – noi produse verzi și digitale”, un program de vouchere menit să sprijine întreprinderile nou-înființate care doresc să dezvolte modele de afaceri digitale și ecologice; II) „Consolidarea structurii naționale de antreprenoriat – Startup Portugal”, cu investiții în cartografierea mediului de întreprinderi nou-înființate pentru a identifica provocările și soluțiile legate de agenda antreprenorială și de punerea în aplicare a planurilor de acțiune respective; și iii) „vouchere pentru startup Incubators/Accelerators” pentru a sprijini incubatoarele și acceleratoarele în dezvoltarea lor, inclusiv adoptarea de noi tehnologii digitale, pentru a îmbunătăți resursele aflate la dispoziția lor și pentru a-și consolida cunoștințele și capacitățile pentru a sprijini întreprinderile nou-înființate cu modele de afaceri digitale.</w:t>
      </w:r>
    </w:p>
    <w:p w14:paraId="18C24393" w14:textId="77777777" w:rsidR="00A15990" w:rsidRDefault="00686A62">
      <w:pPr>
        <w:pStyle w:val="P68B1DB1-Normal4"/>
        <w:keepNext/>
        <w:spacing w:before="40" w:after="0" w:line="259" w:lineRule="auto"/>
        <w:jc w:val="both"/>
        <w:rPr>
          <w:rFonts w:eastAsiaTheme="minorEastAsia" w:cs="Times New Roman"/>
          <w:noProof/>
        </w:rPr>
      </w:pPr>
      <w:r>
        <w:rPr>
          <w:noProof/>
        </w:rPr>
        <w:t>Pentru instrumentele financiare, în cadrul măsurii „Acceleratori ai comerțului digital” care oferă sprijin financiar și stimulente financiare, pentru a se asigura că măsura respectă Orientările tehnice de „a nu prejudicia în mod semnificativ” (2021/C58/01), acordul juridic dintre autoritățile portugheze și entitatea căreia i-a fost încredințată execuția sau intermediarul financiar responsabil de instrumentul financiar și politica ulterioară de investiții a instrumentului financiar:</w:t>
      </w:r>
    </w:p>
    <w:p w14:paraId="6FA72369" w14:textId="77777777" w:rsidR="00A15990" w:rsidRDefault="00686A62">
      <w:pPr>
        <w:pStyle w:val="P68B1DB1-Normal4"/>
        <w:keepNext/>
        <w:numPr>
          <w:ilvl w:val="0"/>
          <w:numId w:val="33"/>
        </w:numPr>
        <w:spacing w:before="40" w:after="160" w:line="259" w:lineRule="auto"/>
        <w:contextualSpacing/>
        <w:jc w:val="both"/>
        <w:rPr>
          <w:rFonts w:eastAsiaTheme="minorEastAsia" w:cs="Times New Roman"/>
          <w:noProof/>
        </w:rPr>
      </w:pPr>
      <w:r>
        <w:rPr>
          <w:noProof/>
        </w:rPr>
        <w:t>să solicite aplicarea orientărilor tehnice ale Comisiei privind evaluarea durabilității pentru Fondul InvestEU; și</w:t>
      </w:r>
    </w:p>
    <w:p w14:paraId="7A065825" w14:textId="77777777" w:rsidR="00A15990" w:rsidRDefault="00686A62">
      <w:pPr>
        <w:pStyle w:val="P68B1DB1-Normal4"/>
        <w:keepNext/>
        <w:numPr>
          <w:ilvl w:val="0"/>
          <w:numId w:val="33"/>
        </w:numPr>
        <w:spacing w:before="40" w:after="160" w:line="259" w:lineRule="auto"/>
        <w:contextualSpacing/>
        <w:jc w:val="both"/>
        <w:rPr>
          <w:rFonts w:eastAsiaTheme="minorEastAsia" w:cs="Times New Roman"/>
          <w:noProof/>
        </w:rPr>
      </w:pPr>
      <w:r>
        <w:rPr>
          <w:noProof/>
        </w:rPr>
        <w:t>excluderea de la eligibilitate a următoarei liste de activități și active: I) activități și active legate de combustibilii fosili, inclusiv utilizarea în aval</w:t>
      </w:r>
      <w:r>
        <w:rPr>
          <w:noProof/>
        </w:rPr>
        <w:footnoteReference w:id="52"/>
      </w:r>
      <w:r>
        <w:rPr>
          <w:noProof/>
        </w:rPr>
        <w:t>; II) activitățile și activele din cadrul schemei UE de comercializare a certificatelor de emisii (ETS) care realizează emisii de gaze cu efect de seră preconizate care nu sunt mai mici decât valorile de referință relevante</w:t>
      </w:r>
      <w:r>
        <w:rPr>
          <w:noProof/>
        </w:rPr>
        <w:footnoteReference w:id="53"/>
      </w:r>
      <w:r>
        <w:rPr>
          <w:noProof/>
        </w:rPr>
        <w:t>; III) activități și active legate de depozitele de deșeuri, incineratoarele</w:t>
      </w:r>
      <w:r>
        <w:rPr>
          <w:noProof/>
        </w:rPr>
        <w:footnoteReference w:id="54"/>
      </w:r>
      <w:r>
        <w:rPr>
          <w:noProof/>
        </w:rPr>
        <w:t xml:space="preserve"> și stațiile de tratare mecano-biologică</w:t>
      </w:r>
      <w:r>
        <w:rPr>
          <w:noProof/>
        </w:rPr>
        <w:footnoteReference w:id="55"/>
      </w:r>
      <w:r>
        <w:rPr>
          <w:noProof/>
        </w:rPr>
        <w:t>; și iv) activități și active în cazul cărora eliminarea pe termen lung a deșeurilor poate dăuna mediului; și</w:t>
      </w:r>
    </w:p>
    <w:p w14:paraId="6BD38B90" w14:textId="77777777" w:rsidR="00A15990" w:rsidRDefault="00686A62">
      <w:pPr>
        <w:pStyle w:val="P68B1DB1-Normal4"/>
        <w:keepNext/>
        <w:numPr>
          <w:ilvl w:val="0"/>
          <w:numId w:val="33"/>
        </w:numPr>
        <w:spacing w:before="40" w:after="160" w:line="259" w:lineRule="auto"/>
        <w:contextualSpacing/>
        <w:jc w:val="both"/>
        <w:rPr>
          <w:rFonts w:eastAsiaTheme="minorEastAsia" w:cs="Times New Roman"/>
          <w:noProof/>
        </w:rPr>
      </w:pPr>
      <w:r>
        <w:rPr>
          <w:noProof/>
        </w:rPr>
        <w:t>să solicite verificarea conformității juridice a proiectelor cu legislația UE și națională relevantă în materie de mediu de către entitatea căreia i-a fost încredințată execuția/intermediarul financiar pentru toate tranzacțiile, inclusiv pentru cele exceptate de la evaluarea durabilității.</w:t>
      </w:r>
    </w:p>
    <w:p w14:paraId="2D9DFB3D" w14:textId="77777777" w:rsidR="00A15990" w:rsidRDefault="00686A62">
      <w:pPr>
        <w:pStyle w:val="P68B1DB1-Normal4"/>
        <w:keepNext/>
        <w:spacing w:before="40" w:after="0" w:line="259" w:lineRule="auto"/>
        <w:jc w:val="both"/>
        <w:rPr>
          <w:rFonts w:eastAsiaTheme="minorEastAsia" w:cs="Times New Roman"/>
          <w:noProof/>
          <w:highlight w:val="green"/>
        </w:rPr>
      </w:pPr>
      <w:r>
        <w:rPr>
          <w:noProof/>
        </w:rPr>
        <w:t>În cazul licitațiilor, 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56"/>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57"/>
      </w:r>
      <w:r>
        <w:rPr>
          <w:noProof/>
        </w:rPr>
        <w:t>; activități legate de depozitele de deșeuri, incineratoarele</w:t>
      </w:r>
      <w:r>
        <w:rPr>
          <w:noProof/>
        </w:rPr>
        <w:footnoteReference w:id="58"/>
      </w:r>
      <w:r>
        <w:rPr>
          <w:noProof/>
        </w:rPr>
        <w:t xml:space="preserve"> și stațiile de tratare mecano-biologică</w:t>
      </w:r>
      <w:r>
        <w:rPr>
          <w:noProof/>
        </w:rPr>
        <w:footnoteReference w:id="59"/>
      </w:r>
      <w:r>
        <w:rPr>
          <w:noProof/>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5BF7FFC2" w14:textId="77777777"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septembrie 2025.</w:t>
      </w:r>
    </w:p>
    <w:p w14:paraId="541BAAE3" w14:textId="77777777" w:rsidR="00A15990" w:rsidRDefault="00686A62">
      <w:pPr>
        <w:pStyle w:val="P68B1DB1-Normal5"/>
        <w:spacing w:before="240" w:after="0" w:line="259" w:lineRule="auto"/>
        <w:ind w:left="851"/>
        <w:jc w:val="both"/>
        <w:outlineLvl w:val="2"/>
        <w:rPr>
          <w:rFonts w:eastAsiaTheme="minorEastAsia" w:cs="Times New Roman"/>
          <w:noProof/>
        </w:rPr>
      </w:pPr>
      <w:r>
        <w:rPr>
          <w:noProof/>
        </w:rPr>
        <w:t>Investiția TD-C16-i03: catalizator pentru tranziția digitală a întreprinderilor</w:t>
      </w:r>
    </w:p>
    <w:p w14:paraId="4477B881" w14:textId="77777777" w:rsidR="00A15990" w:rsidRDefault="00686A62">
      <w:pPr>
        <w:pStyle w:val="P68B1DB1-Normal4"/>
        <w:spacing w:before="40" w:after="0" w:line="259" w:lineRule="auto"/>
        <w:jc w:val="both"/>
        <w:rPr>
          <w:rFonts w:eastAsiaTheme="minorEastAsia" w:cs="Times New Roman"/>
          <w:noProof/>
        </w:rPr>
      </w:pPr>
      <w:r>
        <w:rPr>
          <w:noProof/>
        </w:rPr>
        <w:t>Obiectivele măsurii sunt de a contribui la tranziția digitală și ecologică a societății și a întreprinderilor.</w:t>
      </w:r>
    </w:p>
    <w:p w14:paraId="3FEE183C" w14:textId="77777777" w:rsidR="00A15990" w:rsidRDefault="00686A62">
      <w:pPr>
        <w:pStyle w:val="P68B1DB1-Normal4"/>
        <w:spacing w:before="40" w:after="0" w:line="259" w:lineRule="auto"/>
        <w:jc w:val="both"/>
        <w:rPr>
          <w:rFonts w:eastAsiaTheme="minorEastAsia" w:cs="Times New Roman"/>
          <w:noProof/>
        </w:rPr>
      </w:pPr>
      <w:r>
        <w:rPr>
          <w:noProof/>
        </w:rPr>
        <w:t>Investiția constă în următoarele trei acțiuni:</w:t>
      </w:r>
    </w:p>
    <w:p w14:paraId="2C249ACD" w14:textId="77777777" w:rsidR="00A15990" w:rsidRDefault="00686A62">
      <w:pPr>
        <w:pStyle w:val="P68B1DB1-Normal4"/>
        <w:keepNext/>
        <w:numPr>
          <w:ilvl w:val="0"/>
          <w:numId w:val="34"/>
        </w:numPr>
        <w:spacing w:before="40" w:after="160" w:line="259" w:lineRule="auto"/>
        <w:contextualSpacing/>
        <w:jc w:val="both"/>
        <w:rPr>
          <w:rFonts w:eastAsiaTheme="minorEastAsia" w:cs="Times New Roman"/>
          <w:noProof/>
        </w:rPr>
      </w:pPr>
      <w:r>
        <w:rPr>
          <w:noProof/>
        </w:rPr>
        <w:t>„Dematerializarea facturării”, cu un proiect care vizează reducerea utilizării hârtiei prin intermediul unei platforme de trimitere a facturilor digitale;</w:t>
      </w:r>
    </w:p>
    <w:p w14:paraId="13537E9F" w14:textId="77777777" w:rsidR="00A15990" w:rsidRDefault="00686A62">
      <w:pPr>
        <w:pStyle w:val="P68B1DB1-Normal4"/>
        <w:keepNext/>
        <w:numPr>
          <w:ilvl w:val="0"/>
          <w:numId w:val="34"/>
        </w:numPr>
        <w:spacing w:before="40" w:after="160" w:line="259" w:lineRule="auto"/>
        <w:contextualSpacing/>
        <w:jc w:val="both"/>
        <w:rPr>
          <w:rFonts w:eastAsiaTheme="minorEastAsia" w:cs="Times New Roman"/>
          <w:noProof/>
        </w:rPr>
      </w:pPr>
      <w:r>
        <w:rPr>
          <w:noProof/>
        </w:rPr>
        <w:t>„Sigilii de certificare a securității cibernetice, a vieții private, a utilizabilității și a durabilității” – o investiție în: crearea a patru noi sigilii de certificare a securității cibernetice, a vieții private, a posibilității de utilizare și a durabilității; crearea de platforme care sprijină comunicarea între toți partenerii și entitățile implicate în proces (precum și generarea de date procedurale relevante pentru monitorizarea programului); o campanie de diseminare a inițiativei și de abilitare a organismelor de evaluare a conformității sau a entităților de evaluare tehnică care sprijină sigiliile de certificare în domeniile respective; și</w:t>
      </w:r>
    </w:p>
    <w:p w14:paraId="052D4C91" w14:textId="7B1A0935" w:rsidR="00A15990" w:rsidRDefault="00686A62">
      <w:pPr>
        <w:pStyle w:val="P68B1DB1-Normal4"/>
        <w:keepNext/>
        <w:numPr>
          <w:ilvl w:val="0"/>
          <w:numId w:val="34"/>
        </w:numPr>
        <w:spacing w:before="40" w:after="160" w:line="259" w:lineRule="auto"/>
        <w:contextualSpacing/>
        <w:jc w:val="both"/>
        <w:rPr>
          <w:rFonts w:eastAsiaTheme="minorEastAsia" w:cs="Times New Roman"/>
          <w:noProof/>
        </w:rPr>
      </w:pPr>
      <w:r>
        <w:rPr>
          <w:noProof/>
        </w:rPr>
        <w:t>„Centre de inovare digitală (DIH)”: un serviciu de sprijinire a întreprinderilor și a entităților administrației publice pentru ca acestea să devină mai competitive în sfera digitală, pentru a-și îmbunătăți procesele de producție, prin automatizare sau încorporarea de tehnologii disruptive. Aceste investiții consolidează și completează rețeaua aflată deja în curs de dezvoltare în cadrul programului Europa digitală, pentru a ajunge la un total de 16 de centre de inovare digitală stabilite în Portugalia.</w:t>
      </w:r>
    </w:p>
    <w:p w14:paraId="35DF0FFF" w14:textId="77777777" w:rsidR="00A15990" w:rsidRDefault="00686A62">
      <w:pPr>
        <w:pStyle w:val="P68B1DB1-Normal4"/>
        <w:spacing w:before="40" w:after="0" w:line="259" w:lineRule="auto"/>
        <w:jc w:val="both"/>
        <w:rPr>
          <w:rFonts w:eastAsiaTheme="minorEastAsia" w:cs="Times New Roman"/>
          <w:noProof/>
        </w:rPr>
      </w:pPr>
      <w:r>
        <w:rPr>
          <w:noProof/>
        </w:rPr>
        <w:t>Pentru licitațiile legate de înființarea de centre de inovare digitală și pentru selectarea beneficiarilor sprijiniți de centrele de inovare digitală, 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60"/>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61"/>
      </w:r>
      <w:r>
        <w:rPr>
          <w:noProof/>
        </w:rPr>
        <w:t>; activități legate de depozitele de deșeuri, incineratoarele</w:t>
      </w:r>
      <w:r>
        <w:rPr>
          <w:noProof/>
        </w:rPr>
        <w:footnoteReference w:id="62"/>
      </w:r>
      <w:r>
        <w:rPr>
          <w:noProof/>
        </w:rPr>
        <w:t xml:space="preserve"> și stațiile de tratare mecano-biologică</w:t>
      </w:r>
      <w:r>
        <w:rPr>
          <w:noProof/>
        </w:rPr>
        <w:footnoteReference w:id="63"/>
      </w:r>
      <w:r>
        <w:rPr>
          <w:noProof/>
        </w:rPr>
        <w:t>; și iv) activități în cazul cărora eliminarea pe termen lung a deșeurilor poate dăuna mediului. În plus, termenii de referință prevăd că pot fi selectate numai activitățile care respectă legislația UE și națională relevantă în materie de mediu.</w:t>
      </w:r>
    </w:p>
    <w:p w14:paraId="0B19FF08" w14:textId="77777777" w:rsidR="00A15990" w:rsidRDefault="00686A62">
      <w:pPr>
        <w:pStyle w:val="P68B1DB1-Normal4"/>
        <w:spacing w:before="40" w:after="0" w:line="259" w:lineRule="auto"/>
        <w:jc w:val="both"/>
        <w:rPr>
          <w:rFonts w:eastAsiaTheme="minorEastAsia" w:cs="Times New Roman"/>
          <w:noProof/>
        </w:rPr>
      </w:pPr>
      <w:r>
        <w:rPr>
          <w:noProof/>
        </w:rPr>
        <w:t>Punerea în aplicare a investiției se va finaliza până la 31 decembrie 2025.</w:t>
      </w:r>
    </w:p>
    <w:p w14:paraId="5085FC73" w14:textId="1BD6ADCA" w:rsidR="00A15990" w:rsidRDefault="00686A62">
      <w:pPr>
        <w:pStyle w:val="P68B1DB1-Normal5"/>
        <w:spacing w:before="240" w:after="0" w:line="259" w:lineRule="auto"/>
        <w:ind w:left="851"/>
        <w:jc w:val="both"/>
        <w:outlineLvl w:val="2"/>
        <w:rPr>
          <w:rFonts w:eastAsiaTheme="minorEastAsia" w:cs="Times New Roman"/>
          <w:noProof/>
        </w:rPr>
      </w:pPr>
      <w:r>
        <w:rPr>
          <w:noProof/>
        </w:rPr>
        <w:t xml:space="preserve">Investiția TD-C16-i04: </w:t>
      </w:r>
      <w:bookmarkStart w:id="31" w:name="_Toc137472467"/>
      <w:r>
        <w:rPr>
          <w:noProof/>
        </w:rPr>
        <w:t>Industrie 4.0</w:t>
      </w:r>
      <w:bookmarkEnd w:id="31"/>
    </w:p>
    <w:p w14:paraId="3F32B16D" w14:textId="77777777" w:rsidR="00A15990" w:rsidRDefault="00686A62">
      <w:pPr>
        <w:pStyle w:val="P68B1DB1-Normal4"/>
        <w:spacing w:after="0"/>
        <w:jc w:val="both"/>
        <w:rPr>
          <w:rFonts w:cs="Times New Roman"/>
          <w:noProof/>
        </w:rPr>
      </w:pPr>
      <w:r>
        <w:rPr>
          <w:noProof/>
        </w:rPr>
        <w:t xml:space="preserve">Obiectivul măsurilor este de a sprijini cercetarea industrială, dezvoltarea experimentală, proiectele de inovare organizațională și de proces, de a promova transformarea digitală a întreprinderilor și, prin urmare, de a îmbunătăți sustenabilitatea lor din punctul de vedere al mediului. </w:t>
      </w:r>
    </w:p>
    <w:p w14:paraId="16CD80C9" w14:textId="77233703" w:rsidR="00A15990" w:rsidRDefault="00686A62">
      <w:pPr>
        <w:pStyle w:val="P68B1DB1-Normal4"/>
        <w:spacing w:after="0"/>
        <w:jc w:val="both"/>
        <w:rPr>
          <w:rFonts w:cs="Times New Roman"/>
          <w:noProof/>
        </w:rPr>
      </w:pPr>
      <w:r>
        <w:rPr>
          <w:noProof/>
        </w:rPr>
        <w:t>Această măsură sprijină 200 proiecte de investiții care se încadrează în cel puțin unul dintre următoarele domenii de acțiune:</w:t>
      </w:r>
    </w:p>
    <w:p w14:paraId="64D25EDB" w14:textId="77777777" w:rsidR="00A15990" w:rsidRDefault="00686A62">
      <w:pPr>
        <w:pStyle w:val="P68B1DB1-Normal4"/>
        <w:spacing w:after="0"/>
        <w:ind w:left="720"/>
        <w:jc w:val="both"/>
        <w:rPr>
          <w:rFonts w:cs="Times New Roman"/>
          <w:noProof/>
        </w:rPr>
      </w:pPr>
      <w:r>
        <w:rPr>
          <w:noProof/>
        </w:rPr>
        <w:t>1.</w:t>
      </w:r>
      <w:r>
        <w:rPr>
          <w:noProof/>
        </w:rPr>
        <w:tab/>
        <w:t>Tranziția digitală a proceselor operaționale, inclusiv gestionarea și planificarea producției și a logisticii.</w:t>
      </w:r>
    </w:p>
    <w:p w14:paraId="758DEE78" w14:textId="77777777" w:rsidR="00A15990" w:rsidRDefault="00686A62">
      <w:pPr>
        <w:pStyle w:val="P68B1DB1-Normal4"/>
        <w:spacing w:after="0"/>
        <w:ind w:left="720"/>
        <w:jc w:val="both"/>
        <w:rPr>
          <w:rFonts w:cs="Times New Roman"/>
          <w:noProof/>
        </w:rPr>
      </w:pPr>
      <w:r>
        <w:rPr>
          <w:noProof/>
        </w:rPr>
        <w:t>2.</w:t>
      </w:r>
      <w:r>
        <w:rPr>
          <w:noProof/>
        </w:rPr>
        <w:tab/>
        <w:t>Soluții pentru stocarea, gestionarea și prelucrarea avansată a datelor.</w:t>
      </w:r>
    </w:p>
    <w:p w14:paraId="6102558C" w14:textId="77777777" w:rsidR="00A15990" w:rsidRDefault="00686A62">
      <w:pPr>
        <w:pStyle w:val="P68B1DB1-Normal4"/>
        <w:spacing w:after="0"/>
        <w:ind w:left="720"/>
        <w:jc w:val="both"/>
        <w:rPr>
          <w:rFonts w:cs="Times New Roman"/>
          <w:noProof/>
        </w:rPr>
      </w:pPr>
      <w:r>
        <w:rPr>
          <w:noProof/>
        </w:rPr>
        <w:t>3.</w:t>
      </w:r>
      <w:r>
        <w:rPr>
          <w:noProof/>
        </w:rPr>
        <w:tab/>
        <w:t>Soluții de inteligență artificială aplicate procesului de producție.</w:t>
      </w:r>
    </w:p>
    <w:p w14:paraId="3198C1B0" w14:textId="729CD56A" w:rsidR="00A15990" w:rsidRDefault="00686A62">
      <w:pPr>
        <w:spacing w:after="0"/>
        <w:ind w:left="720"/>
        <w:jc w:val="both"/>
        <w:rPr>
          <w:rFonts w:ascii="Times New Roman" w:hAnsi="Times New Roman" w:cs="Times New Roman"/>
          <w:noProof/>
          <w:sz w:val="24"/>
        </w:rPr>
      </w:pPr>
      <w:r>
        <w:rPr>
          <w:rFonts w:ascii="Times New Roman" w:hAnsi="Times New Roman"/>
          <w:noProof/>
          <w:sz w:val="24"/>
        </w:rPr>
        <w:t>4.</w:t>
      </w:r>
      <w:r>
        <w:rPr>
          <w:noProof/>
        </w:rPr>
        <w:tab/>
      </w:r>
      <w:r>
        <w:rPr>
          <w:rFonts w:ascii="Times New Roman" w:hAnsi="Times New Roman"/>
          <w:noProof/>
          <w:sz w:val="24"/>
        </w:rPr>
        <w:t>Reprezentări digitale și modelare virtuală (gemenii digitali), simulare și modelare industrială.</w:t>
      </w:r>
    </w:p>
    <w:p w14:paraId="4C4B5102" w14:textId="77777777" w:rsidR="00A15990" w:rsidRDefault="00686A62">
      <w:pPr>
        <w:pStyle w:val="P68B1DB1-Normal4"/>
        <w:spacing w:after="0"/>
        <w:ind w:left="720"/>
        <w:jc w:val="both"/>
        <w:rPr>
          <w:rFonts w:cs="Times New Roman"/>
          <w:noProof/>
        </w:rPr>
      </w:pPr>
      <w:r>
        <w:rPr>
          <w:noProof/>
        </w:rPr>
        <w:t>5.</w:t>
      </w:r>
      <w:r>
        <w:rPr>
          <w:noProof/>
        </w:rPr>
        <w:tab/>
        <w:t>Schiță și fabricație aditivă.</w:t>
      </w:r>
    </w:p>
    <w:p w14:paraId="006F8BED" w14:textId="77777777" w:rsidR="00A15990" w:rsidRDefault="00686A62">
      <w:pPr>
        <w:pStyle w:val="P68B1DB1-Normal4"/>
        <w:spacing w:after="0"/>
        <w:ind w:left="720"/>
        <w:jc w:val="both"/>
        <w:rPr>
          <w:rFonts w:cs="Times New Roman"/>
          <w:noProof/>
        </w:rPr>
      </w:pPr>
      <w:r>
        <w:rPr>
          <w:noProof/>
        </w:rPr>
        <w:t>6.</w:t>
      </w:r>
      <w:r>
        <w:rPr>
          <w:noProof/>
        </w:rPr>
        <w:tab/>
        <w:t>Proiecte de realitate augmentată, realitate virtuală și viziune artificială aplicate proceselor.</w:t>
      </w:r>
    </w:p>
    <w:p w14:paraId="5257C08A" w14:textId="77777777" w:rsidR="00A15990" w:rsidRDefault="00686A62">
      <w:pPr>
        <w:pStyle w:val="P68B1DB1-Normal4"/>
        <w:spacing w:after="0"/>
        <w:ind w:left="720"/>
        <w:jc w:val="both"/>
        <w:rPr>
          <w:rFonts w:cs="Times New Roman"/>
          <w:noProof/>
        </w:rPr>
      </w:pPr>
      <w:r>
        <w:rPr>
          <w:noProof/>
        </w:rPr>
        <w:t>7.</w:t>
      </w:r>
      <w:r>
        <w:rPr>
          <w:noProof/>
        </w:rPr>
        <w:tab/>
        <w:t>Robotica colaborativă și cognitivă, interfața om-mașină, sistemele de fizică cibernetică.</w:t>
      </w:r>
    </w:p>
    <w:p w14:paraId="0B8245E1" w14:textId="26E5916E" w:rsidR="00A15990" w:rsidRDefault="00686A62">
      <w:pPr>
        <w:spacing w:after="0"/>
        <w:ind w:left="720"/>
        <w:jc w:val="both"/>
        <w:rPr>
          <w:rFonts w:ascii="Times New Roman" w:hAnsi="Times New Roman" w:cs="Times New Roman"/>
          <w:noProof/>
          <w:sz w:val="24"/>
        </w:rPr>
      </w:pPr>
      <w:r>
        <w:rPr>
          <w:rFonts w:ascii="Times New Roman" w:hAnsi="Times New Roman"/>
          <w:noProof/>
          <w:sz w:val="24"/>
        </w:rPr>
        <w:t>8.</w:t>
      </w:r>
      <w:r>
        <w:rPr>
          <w:noProof/>
        </w:rPr>
        <w:tab/>
      </w:r>
      <w:r>
        <w:rPr>
          <w:rFonts w:ascii="Times New Roman" w:hAnsi="Times New Roman"/>
          <w:noProof/>
          <w:sz w:val="24"/>
        </w:rPr>
        <w:t>Senzori și electronice avansate, internetul obiectelor, soluții de tip cloud și edge.</w:t>
      </w:r>
    </w:p>
    <w:p w14:paraId="1FBF7C37" w14:textId="77777777" w:rsidR="00A15990" w:rsidRDefault="00686A62">
      <w:pPr>
        <w:pStyle w:val="P68B1DB1-Normal4"/>
        <w:spacing w:after="0"/>
        <w:ind w:left="720"/>
        <w:jc w:val="both"/>
        <w:rPr>
          <w:rFonts w:cs="Times New Roman"/>
          <w:noProof/>
        </w:rPr>
      </w:pPr>
      <w:r>
        <w:rPr>
          <w:noProof/>
        </w:rPr>
        <w:t>9.</w:t>
      </w:r>
      <w:r>
        <w:rPr>
          <w:noProof/>
        </w:rPr>
        <w:tab/>
        <w:t>Infrastructuri de rețea, de comunicații și informatice avansate asociate cu procesele.</w:t>
      </w:r>
    </w:p>
    <w:p w14:paraId="100D1BA8" w14:textId="77777777" w:rsidR="00A15990" w:rsidRDefault="00686A62">
      <w:pPr>
        <w:pStyle w:val="P68B1DB1-Normal4"/>
        <w:spacing w:after="0"/>
        <w:ind w:left="720"/>
        <w:jc w:val="both"/>
        <w:rPr>
          <w:rFonts w:cs="Times New Roman"/>
          <w:noProof/>
        </w:rPr>
      </w:pPr>
      <w:r>
        <w:rPr>
          <w:noProof/>
        </w:rPr>
        <w:t>10.</w:t>
      </w:r>
      <w:r>
        <w:rPr>
          <w:noProof/>
        </w:rPr>
        <w:tab/>
        <w:t>Software inovator, interoperabilitatea sistemelor.</w:t>
      </w:r>
    </w:p>
    <w:p w14:paraId="61EAAF0E" w14:textId="09B532F8" w:rsidR="00A15990" w:rsidRDefault="00686A62">
      <w:pPr>
        <w:pStyle w:val="P68B1DB1-Normal4"/>
        <w:spacing w:after="0"/>
        <w:jc w:val="both"/>
        <w:rPr>
          <w:rFonts w:cs="Times New Roman"/>
          <w:noProof/>
        </w:rPr>
      </w:pPr>
      <w:r>
        <w:rPr>
          <w:noProof/>
        </w:rPr>
        <w:t>În cazul licitațiilor, 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64"/>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65"/>
      </w:r>
      <w:r>
        <w:rPr>
          <w:noProof/>
        </w:rPr>
        <w:t>; activități legate de depozitele de deșeuri, incineratoarele</w:t>
      </w:r>
      <w:r>
        <w:rPr>
          <w:noProof/>
        </w:rPr>
        <w:footnoteReference w:id="66"/>
      </w:r>
      <w:r>
        <w:rPr>
          <w:noProof/>
        </w:rPr>
        <w:t xml:space="preserve"> și stațiile de tratare mecano-biologică</w:t>
      </w:r>
      <w:r>
        <w:rPr>
          <w:noProof/>
        </w:rPr>
        <w:footnoteReference w:id="67"/>
      </w:r>
      <w:r>
        <w:rPr>
          <w:noProof/>
        </w:rPr>
        <w:t>. În plus, termenii de referință prevăd că pot fi selectate numai activitățile care respectă legislația UE și națională relevantă în materie de mediu.</w:t>
      </w:r>
    </w:p>
    <w:p w14:paraId="6102D899" w14:textId="33A71017" w:rsidR="00A15990" w:rsidRDefault="00686A62">
      <w:pPr>
        <w:pStyle w:val="P68B1DB1-Normal4"/>
        <w:jc w:val="both"/>
        <w:rPr>
          <w:rFonts w:cs="Times New Roman"/>
          <w:noProof/>
        </w:rPr>
      </w:pPr>
      <w:r>
        <w:rPr>
          <w:noProof/>
        </w:rPr>
        <w:t>Punerea în aplicare a investiției se va finaliza până la 31 decembrie 2025.</w:t>
      </w:r>
    </w:p>
    <w:p w14:paraId="0DED3033" w14:textId="15D5D742" w:rsidR="00A15990" w:rsidRDefault="00686A62">
      <w:pPr>
        <w:pStyle w:val="P68B1DB1-Heading214"/>
        <w:spacing w:before="240"/>
        <w:rPr>
          <w:noProof/>
        </w:rPr>
      </w:pPr>
      <w:bookmarkStart w:id="32" w:name="_Toc137472468"/>
      <w:r>
        <w:rPr>
          <w:noProof/>
        </w:rPr>
        <w:t>Investiții TD-C16-i05-RAA: Capacitatea digitală și transformarea întreprinderilor în Azore</w:t>
      </w:r>
      <w:bookmarkEnd w:id="32"/>
    </w:p>
    <w:p w14:paraId="5F5ED56A" w14:textId="77777777" w:rsidR="00A15990" w:rsidRDefault="00686A62">
      <w:pPr>
        <w:pStyle w:val="P68B1DB1-Normal4"/>
        <w:spacing w:before="40" w:after="0" w:line="22" w:lineRule="atLeast"/>
        <w:jc w:val="both"/>
        <w:rPr>
          <w:rFonts w:cs="Times New Roman"/>
          <w:noProof/>
        </w:rPr>
      </w:pPr>
      <w:r>
        <w:rPr>
          <w:noProof/>
        </w:rPr>
        <w:t>Obiectivele măsurii sunt de a finanța crearea unui sistem de stimulare a tranziției digitale pentru întreprinderile din Azore, precum și echipamentele informatice și de rețea și extinderea parcurilor științifice și tehnologice din Azore.</w:t>
      </w:r>
    </w:p>
    <w:p w14:paraId="542E28E3" w14:textId="77777777" w:rsidR="00A15990" w:rsidRDefault="00686A62">
      <w:pPr>
        <w:pStyle w:val="P68B1DB1-Normal4"/>
        <w:spacing w:before="40" w:after="0" w:line="22" w:lineRule="atLeast"/>
        <w:jc w:val="both"/>
        <w:rPr>
          <w:rFonts w:cs="Times New Roman"/>
          <w:noProof/>
        </w:rPr>
      </w:pPr>
      <w:r>
        <w:rPr>
          <w:noProof/>
        </w:rPr>
        <w:t>Sistemul de stimulente pentru tranziția digitală a întreprinderilor urmărește să sprijine întreprinderile regionale în adaptarea și integrarea tehnologiilor digitale, cu acțiuni axate, printre altele, pe gestionare, comerț electronic, instrumente de automatizare, consolidarea securității cibernetice, inteligența artificială, internetul obiectelor.</w:t>
      </w:r>
    </w:p>
    <w:p w14:paraId="09E35D17" w14:textId="77777777" w:rsidR="00A15990" w:rsidRDefault="00686A62">
      <w:pPr>
        <w:pStyle w:val="P68B1DB1-Normal4"/>
        <w:spacing w:before="40" w:after="0" w:line="22" w:lineRule="atLeast"/>
        <w:jc w:val="both"/>
        <w:rPr>
          <w:rFonts w:cs="Times New Roman"/>
          <w:noProof/>
        </w:rPr>
      </w:pPr>
      <w:r>
        <w:rPr>
          <w:noProof/>
        </w:rPr>
        <w:t>Investițiile în parcurile științifice și tehnologice din Azore (Nonagon și Terinov) vizează sprijinirea condițiilor logistice și tehnologice ale ecosistemului antreprenorial al regiunii. Această investiție urmărește să contribuie la dezvoltarea economiei bazate pe tehnologie în sectoare strategice, permițând know-how-ul și îmbunătățind calitatea și fiabilitatea serviciilor furnizate de aceste parcuri.</w:t>
      </w:r>
    </w:p>
    <w:p w14:paraId="5A449590" w14:textId="77777777" w:rsidR="00A15990" w:rsidRDefault="00686A62">
      <w:pPr>
        <w:pStyle w:val="P68B1DB1-Normal4"/>
        <w:spacing w:before="40" w:after="0" w:line="22" w:lineRule="atLeast"/>
        <w:jc w:val="both"/>
        <w:rPr>
          <w:rFonts w:cs="Times New Roman"/>
          <w:noProof/>
        </w:rPr>
      </w:pPr>
      <w:r>
        <w:rPr>
          <w:noProof/>
        </w:rPr>
        <w:t>Sistemul de stimulare a tranziției digitale a întreprinderilor este structurat în jurul a 3 linii de acțiune, iar proiectele eligibile contribuie la cel puțin una dintre acestea:</w:t>
      </w:r>
    </w:p>
    <w:p w14:paraId="142AA256" w14:textId="77777777" w:rsidR="00A15990" w:rsidRDefault="00686A62">
      <w:pPr>
        <w:pStyle w:val="ListParagraph"/>
        <w:keepNext w:val="0"/>
        <w:numPr>
          <w:ilvl w:val="0"/>
          <w:numId w:val="74"/>
        </w:numPr>
        <w:spacing w:before="40" w:after="0" w:line="22" w:lineRule="atLeast"/>
        <w:rPr>
          <w:noProof/>
        </w:rPr>
      </w:pPr>
      <w:r>
        <w:rPr>
          <w:noProof/>
        </w:rPr>
        <w:t>Linia de acțiune 1 – sprijinirea întreprinderilor regionale în adaptarea și integrarea tehnologiilor digitale care sporesc competitivitatea, îmbunătățesc productivitatea, stimulează inovarea și reduc costurile proceselor operaționale.</w:t>
      </w:r>
    </w:p>
    <w:p w14:paraId="42A27BBC" w14:textId="77777777" w:rsidR="00A15990" w:rsidRDefault="00686A62">
      <w:pPr>
        <w:pStyle w:val="ListParagraph"/>
        <w:keepNext w:val="0"/>
        <w:numPr>
          <w:ilvl w:val="0"/>
          <w:numId w:val="74"/>
        </w:numPr>
        <w:spacing w:before="40" w:after="0" w:line="22" w:lineRule="atLeast"/>
        <w:rPr>
          <w:noProof/>
        </w:rPr>
      </w:pPr>
      <w:r>
        <w:rPr>
          <w:noProof/>
        </w:rPr>
        <w:t>Linia de acțiune 2 – pentru a oferi întreprinderilor din Insulele Azore posibilitatea de a utiliza servicii de consiliere specializate pentru punerea în aplicare a accelerării proceselor operaționale și a metodologiilor de securitate cibernetică.</w:t>
      </w:r>
    </w:p>
    <w:p w14:paraId="6E71A181" w14:textId="77777777" w:rsidR="00A15990" w:rsidRDefault="00686A62">
      <w:pPr>
        <w:pStyle w:val="ListParagraph"/>
        <w:keepNext w:val="0"/>
        <w:numPr>
          <w:ilvl w:val="0"/>
          <w:numId w:val="74"/>
        </w:numPr>
        <w:spacing w:before="40" w:after="0" w:line="22" w:lineRule="atLeast"/>
        <w:rPr>
          <w:noProof/>
        </w:rPr>
      </w:pPr>
      <w:r>
        <w:rPr>
          <w:noProof/>
        </w:rPr>
        <w:t>Linia de acțiune 3 – pentru a sprijini organizarea de către entități publice sau private a unor evenimente tematice pentru a promova sinergiile întreprinderilor din Insulele Azore prin schimbul de soluții tehnologice, instrumente, metodologii și bune practici.</w:t>
      </w:r>
    </w:p>
    <w:p w14:paraId="184DB346" w14:textId="77777777" w:rsidR="00A15990" w:rsidRDefault="00686A62">
      <w:pPr>
        <w:pStyle w:val="P68B1DB1-Normal4"/>
        <w:spacing w:before="40" w:after="0" w:line="22" w:lineRule="atLeast"/>
        <w:jc w:val="both"/>
        <w:rPr>
          <w:rFonts w:cs="Times New Roman"/>
          <w:noProof/>
        </w:rPr>
      </w:pPr>
      <w:r>
        <w:rPr>
          <w:noProof/>
        </w:rPr>
        <w:t>Investițiile în parcurile științifice și tehnologice vor furniza noi active de infrastructură de rețea și informatică (hardware) în parcul științific și tehnologic Nonangon și construirea unei noi clădiri eficiente din punct de vedere energetic în parcul științific și tehnologic Terinov.</w:t>
      </w:r>
    </w:p>
    <w:p w14:paraId="63A80828" w14:textId="089A50CF" w:rsidR="00A15990" w:rsidRDefault="00686A62">
      <w:pPr>
        <w:pStyle w:val="P68B1DB1-Normal4"/>
        <w:spacing w:before="40" w:after="0" w:line="22" w:lineRule="atLeast"/>
        <w:jc w:val="both"/>
        <w:rPr>
          <w:rFonts w:cs="Times New Roman"/>
          <w:noProof/>
        </w:rPr>
      </w:pPr>
      <w:r>
        <w:rPr>
          <w:noProof/>
        </w:rPr>
        <w:t>În cazul licitațiilor, 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68"/>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69"/>
      </w:r>
      <w:r>
        <w:rPr>
          <w:noProof/>
        </w:rPr>
        <w:t>; activități legate de depozitele de deșeuri, incineratoarele</w:t>
      </w:r>
      <w:r>
        <w:rPr>
          <w:noProof/>
        </w:rPr>
        <w:footnoteReference w:id="70"/>
      </w:r>
      <w:r>
        <w:rPr>
          <w:noProof/>
        </w:rPr>
        <w:t xml:space="preserve"> și stațiile de tratare mecano-biologică</w:t>
      </w:r>
      <w:r>
        <w:rPr>
          <w:noProof/>
        </w:rPr>
        <w:footnoteReference w:id="71"/>
      </w:r>
      <w:r>
        <w:rPr>
          <w:noProof/>
        </w:rPr>
        <w:t>. În plus, termenii de referință prevăd că pot fi selectate numai activitățile care respectă legislația UE și națională relevantă în materie de mediu.</w:t>
      </w:r>
    </w:p>
    <w:p w14:paraId="05CDA0AA" w14:textId="77777777" w:rsidR="00A15990" w:rsidRDefault="00686A62">
      <w:pPr>
        <w:pStyle w:val="P68B1DB1-Normal4"/>
        <w:spacing w:before="40" w:after="0" w:line="22" w:lineRule="atLeast"/>
        <w:jc w:val="both"/>
        <w:rPr>
          <w:rFonts w:cs="Times New Roman"/>
          <w:noProof/>
          <w:highlight w:val="green"/>
        </w:rPr>
      </w:pPr>
      <w:r>
        <w:rPr>
          <w:noProof/>
        </w:rPr>
        <w:t>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p w14:paraId="61377CD4" w14:textId="77777777" w:rsidR="00A15990" w:rsidRDefault="00686A62">
      <w:pPr>
        <w:pStyle w:val="P68B1DB1-Normal4"/>
        <w:spacing w:before="40" w:after="0" w:line="22" w:lineRule="atLeast"/>
        <w:jc w:val="both"/>
        <w:rPr>
          <w:rFonts w:cs="Times New Roman"/>
          <w:noProof/>
        </w:rPr>
      </w:pPr>
      <w:r>
        <w:rPr>
          <w:noProof/>
        </w:rPr>
        <w:t>Punerea în aplicare a investiției se va finaliza până la 31 august 2026.</w:t>
      </w:r>
    </w:p>
    <w:p w14:paraId="28BCB725" w14:textId="47AFAD48" w:rsidR="00A15990" w:rsidRDefault="00686A62">
      <w:pPr>
        <w:pStyle w:val="P68B1DB1-Heading214"/>
        <w:spacing w:before="240"/>
        <w:rPr>
          <w:noProof/>
        </w:rPr>
      </w:pPr>
      <w:bookmarkStart w:id="33" w:name="_Toc137472469"/>
      <w:r>
        <w:rPr>
          <w:noProof/>
        </w:rPr>
        <w:t>Investiția TD-C16-i06-RAM: Întreprinderea 4.0</w:t>
      </w:r>
      <w:bookmarkEnd w:id="33"/>
    </w:p>
    <w:p w14:paraId="6ACAD005" w14:textId="77777777" w:rsidR="00A15990" w:rsidRDefault="00686A62">
      <w:pPr>
        <w:pStyle w:val="P68B1DB1-Normal4"/>
        <w:spacing w:before="40" w:after="0" w:line="22" w:lineRule="atLeast"/>
        <w:jc w:val="both"/>
        <w:rPr>
          <w:rFonts w:cs="Times New Roman"/>
          <w:noProof/>
        </w:rPr>
      </w:pPr>
      <w:r>
        <w:rPr>
          <w:noProof/>
        </w:rPr>
        <w:t xml:space="preserve">Obiectivul măsurii este de a contribui la transformarea modelelor de afaceri ale IMM-urilor din Regiunea Autonomă Madeira, cu scopul de a o face mai digitală, mai competitivă și mai rezilientă. </w:t>
      </w:r>
    </w:p>
    <w:p w14:paraId="019B37E5" w14:textId="77777777" w:rsidR="00A15990" w:rsidRDefault="00686A62">
      <w:pPr>
        <w:pStyle w:val="P68B1DB1-Normal4"/>
        <w:spacing w:before="40" w:after="0" w:line="22" w:lineRule="atLeast"/>
        <w:jc w:val="both"/>
        <w:rPr>
          <w:rFonts w:cs="Times New Roman"/>
          <w:noProof/>
        </w:rPr>
      </w:pPr>
      <w:r>
        <w:rPr>
          <w:noProof/>
        </w:rPr>
        <w:t>Măsura sprijină investițiile în următoarele două domenii:</w:t>
      </w:r>
    </w:p>
    <w:p w14:paraId="3ABC0B35" w14:textId="77777777" w:rsidR="00A15990" w:rsidRDefault="00686A62">
      <w:pPr>
        <w:pStyle w:val="ListParagraph"/>
        <w:keepNext w:val="0"/>
        <w:numPr>
          <w:ilvl w:val="0"/>
          <w:numId w:val="74"/>
        </w:numPr>
        <w:spacing w:before="40" w:after="0" w:line="22" w:lineRule="atLeast"/>
        <w:rPr>
          <w:noProof/>
        </w:rPr>
      </w:pPr>
      <w:r>
        <w:rPr>
          <w:noProof/>
        </w:rPr>
        <w:t>Imobilizări corporale, inclusiv achiziționarea de mașini și echipamente direct legate de investițiile în tranziția digitală, precum și achiziționarea de echipamente informatice, inclusiv de software necesare pentru funcționarea acestora, direct legate de dezvoltarea proiectului.</w:t>
      </w:r>
    </w:p>
    <w:p w14:paraId="5B06C0E0" w14:textId="77777777" w:rsidR="00A15990" w:rsidRDefault="00686A62">
      <w:pPr>
        <w:pStyle w:val="ListParagraph"/>
        <w:keepNext w:val="0"/>
        <w:numPr>
          <w:ilvl w:val="0"/>
          <w:numId w:val="74"/>
        </w:numPr>
        <w:spacing w:before="40" w:after="0" w:line="22" w:lineRule="atLeast"/>
        <w:rPr>
          <w:noProof/>
        </w:rPr>
      </w:pPr>
      <w:r>
        <w:rPr>
          <w:noProof/>
        </w:rPr>
        <w:t>Imobilizări necorporale, inclusiv transferul de tehnologie prin achiziționarea de drepturi de brevet și software standardizat sau dezvoltat în mod specific.</w:t>
      </w:r>
    </w:p>
    <w:p w14:paraId="1727DD62" w14:textId="0C896F62" w:rsidR="00A15990" w:rsidRDefault="00686A62">
      <w:pPr>
        <w:pStyle w:val="P68B1DB1-Normal4"/>
        <w:spacing w:before="40" w:after="0" w:line="22" w:lineRule="atLeast"/>
        <w:jc w:val="both"/>
        <w:rPr>
          <w:rFonts w:cs="Times New Roman"/>
          <w:noProof/>
        </w:rPr>
      </w:pPr>
      <w:r>
        <w:rPr>
          <w:noProof/>
        </w:rPr>
        <w:t>În cazul licitațiilor, pentru a se asigura că măsura respectă Orientările tehnice de „a nu prejudicia în mod semnificativ” (2021/C58/01), criteriile de eligibilitate cuprinse în termenii de referință pentru viitoarele cereri de proiecte exclud următoarea listă de activități: I) activități legate de combustibilii fosili, inclusiv utilizarea în aval</w:t>
      </w:r>
      <w:r>
        <w:rPr>
          <w:noProof/>
        </w:rPr>
        <w:footnoteReference w:id="72"/>
      </w:r>
      <w:r>
        <w:rPr>
          <w:noProof/>
        </w:rPr>
        <w:t>; II) activități în cadrul schemei UE de comercializare a certificatelor de emisii (ETS) care vizează atingerea unor emisii de gaze cu efect de seră preconizate care să nu fie inferioare valorilor de referință relevante</w:t>
      </w:r>
      <w:r>
        <w:rPr>
          <w:noProof/>
        </w:rPr>
        <w:footnoteReference w:id="73"/>
      </w:r>
      <w:r>
        <w:rPr>
          <w:noProof/>
        </w:rPr>
        <w:t>; activități legate de depozitele de deșeuri, incineratoarele</w:t>
      </w:r>
      <w:r>
        <w:rPr>
          <w:noProof/>
        </w:rPr>
        <w:footnoteReference w:id="74"/>
      </w:r>
      <w:r>
        <w:rPr>
          <w:noProof/>
        </w:rPr>
        <w:t xml:space="preserve"> și stațiile de tratare mecano-biologică</w:t>
      </w:r>
      <w:r>
        <w:rPr>
          <w:noProof/>
        </w:rPr>
        <w:footnoteReference w:id="75"/>
      </w:r>
      <w:r>
        <w:rPr>
          <w:noProof/>
        </w:rPr>
        <w:t>. În plus, termenii de referință prevăd că pot fi selectate numai activitățile care respectă legislația UE și națională relevantă în materie de mediu.</w:t>
      </w:r>
    </w:p>
    <w:p w14:paraId="048368EF" w14:textId="77777777" w:rsidR="00A15990" w:rsidRDefault="00686A62">
      <w:pPr>
        <w:pStyle w:val="P68B1DB1-Normal4"/>
        <w:spacing w:before="40" w:after="0" w:line="22" w:lineRule="atLeast"/>
        <w:jc w:val="both"/>
        <w:rPr>
          <w:rFonts w:cs="Times New Roman"/>
          <w:noProof/>
        </w:rPr>
      </w:pPr>
      <w:r>
        <w:rPr>
          <w:noProof/>
        </w:rPr>
        <w:t>Punerea în aplicare a investiției se va finaliza până la 31 decembrie 2025.</w:t>
      </w:r>
    </w:p>
    <w:p w14:paraId="164509CF" w14:textId="77777777" w:rsidR="00A15990" w:rsidRDefault="00A15990">
      <w:pPr>
        <w:spacing w:before="40" w:after="0" w:line="259" w:lineRule="auto"/>
        <w:jc w:val="both"/>
        <w:rPr>
          <w:rFonts w:ascii="Times New Roman" w:eastAsiaTheme="minorEastAsia" w:hAnsi="Times New Roman" w:cs="Times New Roman"/>
          <w:noProof/>
          <w:sz w:val="24"/>
        </w:rPr>
      </w:pPr>
    </w:p>
    <w:p w14:paraId="362ADC30" w14:textId="079570EE" w:rsidR="00A15990" w:rsidRDefault="00A15990">
      <w:pPr>
        <w:spacing w:before="40" w:after="0" w:line="259" w:lineRule="auto"/>
        <w:jc w:val="both"/>
        <w:rPr>
          <w:rFonts w:ascii="Times New Roman" w:eastAsiaTheme="minorEastAsia" w:hAnsi="Times New Roman" w:cs="Times New Roman"/>
          <w:noProof/>
          <w:sz w:val="24"/>
        </w:rPr>
        <w:sectPr w:rsidR="00A15990" w:rsidSect="00E00EDD">
          <w:headerReference w:type="even" r:id="rId306"/>
          <w:headerReference w:type="default" r:id="rId307"/>
          <w:footerReference w:type="even" r:id="rId308"/>
          <w:footerReference w:type="default" r:id="rId309"/>
          <w:headerReference w:type="first" r:id="rId310"/>
          <w:footerReference w:type="first" r:id="rId311"/>
          <w:pgSz w:w="11907" w:h="16839"/>
          <w:pgMar w:top="1134" w:right="1134" w:bottom="1134" w:left="1134" w:header="567" w:footer="567" w:gutter="0"/>
          <w:cols w:space="720"/>
          <w:docGrid w:linePitch="360"/>
        </w:sectPr>
      </w:pPr>
    </w:p>
    <w:p w14:paraId="254DFD7F"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P.2. Obiective de etapă, ținte, indicatori și calendar pentru monitorizarea și punerea în aplicare a sprijinului financiar nerambursabil</w:t>
      </w:r>
    </w:p>
    <w:p w14:paraId="3C02C5BB"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850"/>
        <w:gridCol w:w="426"/>
        <w:gridCol w:w="708"/>
        <w:gridCol w:w="3969"/>
      </w:tblGrid>
      <w:tr w:rsidR="00A15990" w14:paraId="7423F777" w14:textId="77777777">
        <w:trPr>
          <w:trHeight w:val="910"/>
          <w:tblHeader/>
        </w:trPr>
        <w:tc>
          <w:tcPr>
            <w:tcW w:w="1135" w:type="dxa"/>
            <w:vMerge w:val="restart"/>
            <w:shd w:val="clear" w:color="auto" w:fill="BDD6EE"/>
            <w:vAlign w:val="center"/>
            <w:hideMark/>
          </w:tcPr>
          <w:p w14:paraId="5168738B"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2F2588D1"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29213AC1" w14:textId="19D3AA40" w:rsidR="00A15990" w:rsidRDefault="008D37D6">
            <w:pPr>
              <w:pStyle w:val="P68B1DB1-Normal6"/>
              <w:spacing w:after="0" w:line="240" w:lineRule="auto"/>
              <w:jc w:val="center"/>
              <w:rPr>
                <w:rFonts w:eastAsia="Times New Roman" w:cs="Times New Roman"/>
                <w:noProof/>
              </w:rPr>
            </w:pPr>
            <w:r>
              <w:rPr>
                <w:noProof/>
              </w:rPr>
              <w:t>Jalon</w:t>
            </w:r>
            <w:r w:rsidR="00686A62">
              <w:rPr>
                <w:noProof/>
              </w:rPr>
              <w:t>/</w:t>
            </w:r>
          </w:p>
          <w:p w14:paraId="4DFE944A" w14:textId="7AD7D494" w:rsidR="00A15990" w:rsidRDefault="00686A62">
            <w:pPr>
              <w:pStyle w:val="P68B1DB1-Normal6"/>
              <w:spacing w:after="0" w:line="240" w:lineRule="auto"/>
              <w:jc w:val="center"/>
              <w:rPr>
                <w:rFonts w:eastAsia="Times New Roman" w:cs="Times New Roman"/>
                <w:noProof/>
              </w:rPr>
            </w:pPr>
            <w:r>
              <w:rPr>
                <w:noProof/>
              </w:rPr>
              <w:t>Țintă</w:t>
            </w:r>
          </w:p>
        </w:tc>
        <w:tc>
          <w:tcPr>
            <w:tcW w:w="1701" w:type="dxa"/>
            <w:vMerge w:val="restart"/>
            <w:shd w:val="clear" w:color="auto" w:fill="BDD6EE"/>
            <w:vAlign w:val="center"/>
            <w:hideMark/>
          </w:tcPr>
          <w:p w14:paraId="3A8BB6F8"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1CF72B00"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835" w:type="dxa"/>
            <w:gridSpan w:val="3"/>
            <w:shd w:val="clear" w:color="auto" w:fill="BDD6EE"/>
            <w:vAlign w:val="center"/>
            <w:hideMark/>
          </w:tcPr>
          <w:p w14:paraId="51396FD9"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134" w:type="dxa"/>
            <w:gridSpan w:val="2"/>
            <w:shd w:val="clear" w:color="auto" w:fill="BDD6EE"/>
            <w:vAlign w:val="center"/>
            <w:hideMark/>
          </w:tcPr>
          <w:p w14:paraId="2384B14C"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349285CE"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18352C4C" w14:textId="77777777">
        <w:trPr>
          <w:trHeight w:val="470"/>
          <w:tblHeader/>
        </w:trPr>
        <w:tc>
          <w:tcPr>
            <w:tcW w:w="1135" w:type="dxa"/>
            <w:vMerge/>
            <w:vAlign w:val="center"/>
            <w:hideMark/>
          </w:tcPr>
          <w:p w14:paraId="22D982F3"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0D815B5A"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shd w:val="clear" w:color="auto" w:fill="BDD6EE"/>
            <w:vAlign w:val="center"/>
            <w:hideMark/>
          </w:tcPr>
          <w:p w14:paraId="369A5294" w14:textId="6750FDB0" w:rsidR="00A15990" w:rsidRDefault="00A15990">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95ECB29"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24A4C41B"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6003FBF9"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13E67A31"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850" w:type="dxa"/>
            <w:shd w:val="clear" w:color="auto" w:fill="BDD6EE"/>
            <w:vAlign w:val="center"/>
            <w:hideMark/>
          </w:tcPr>
          <w:p w14:paraId="0BEA7183"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426" w:type="dxa"/>
            <w:shd w:val="clear" w:color="auto" w:fill="BDD6EE"/>
            <w:vAlign w:val="center"/>
            <w:hideMark/>
          </w:tcPr>
          <w:p w14:paraId="3C115B8C"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00F1E31A"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5AA21CBC" w14:textId="77777777" w:rsidR="00A15990" w:rsidRDefault="00A15990">
            <w:pPr>
              <w:spacing w:after="0" w:line="240" w:lineRule="auto"/>
              <w:rPr>
                <w:rFonts w:ascii="Times New Roman" w:eastAsia="Times New Roman" w:hAnsi="Times New Roman" w:cs="Times New Roman"/>
                <w:b/>
                <w:noProof/>
                <w:sz w:val="18"/>
              </w:rPr>
            </w:pPr>
          </w:p>
        </w:tc>
      </w:tr>
      <w:tr w:rsidR="00A15990" w14:paraId="7B1ED792" w14:textId="77777777">
        <w:trPr>
          <w:trHeight w:val="1480"/>
        </w:trPr>
        <w:tc>
          <w:tcPr>
            <w:tcW w:w="1135" w:type="dxa"/>
            <w:shd w:val="clear" w:color="auto" w:fill="C5EFCE"/>
            <w:vAlign w:val="center"/>
            <w:hideMark/>
          </w:tcPr>
          <w:p w14:paraId="4AF10FF0" w14:textId="77777777" w:rsidR="00A15990" w:rsidRDefault="00686A62">
            <w:pPr>
              <w:pStyle w:val="P68B1DB1-Normal7"/>
              <w:spacing w:after="0" w:line="240" w:lineRule="auto"/>
              <w:jc w:val="center"/>
              <w:rPr>
                <w:rFonts w:eastAsia="Times New Roman" w:cs="Calibri"/>
                <w:noProof/>
              </w:rPr>
            </w:pPr>
            <w:r>
              <w:rPr>
                <w:noProof/>
              </w:rPr>
              <w:t>16.1</w:t>
            </w:r>
          </w:p>
        </w:tc>
        <w:tc>
          <w:tcPr>
            <w:tcW w:w="1276" w:type="dxa"/>
            <w:shd w:val="clear" w:color="auto" w:fill="C4EFCE"/>
            <w:noWrap/>
            <w:vAlign w:val="center"/>
            <w:hideMark/>
          </w:tcPr>
          <w:p w14:paraId="1CFD4A19" w14:textId="77777777" w:rsidR="00A15990" w:rsidRDefault="00686A62">
            <w:pPr>
              <w:pStyle w:val="P68B1DB1-Normal8"/>
              <w:spacing w:after="0" w:line="240" w:lineRule="auto"/>
              <w:jc w:val="center"/>
              <w:rPr>
                <w:rFonts w:eastAsia="Times New Roman" w:cs="Calibri"/>
                <w:noProof/>
              </w:rPr>
            </w:pPr>
            <w:r>
              <w:rPr>
                <w:noProof/>
              </w:rPr>
              <w:t>TD-C16-r31</w:t>
            </w:r>
          </w:p>
        </w:tc>
        <w:tc>
          <w:tcPr>
            <w:tcW w:w="1134" w:type="dxa"/>
            <w:shd w:val="clear" w:color="auto" w:fill="C4EFCE"/>
            <w:noWrap/>
            <w:vAlign w:val="center"/>
            <w:hideMark/>
          </w:tcPr>
          <w:p w14:paraId="3C1067BD"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5C68A283" w14:textId="77777777" w:rsidR="00A15990" w:rsidRDefault="00686A62">
            <w:pPr>
              <w:pStyle w:val="P68B1DB1-Normal8"/>
              <w:spacing w:after="0" w:line="240" w:lineRule="auto"/>
              <w:jc w:val="center"/>
              <w:rPr>
                <w:rFonts w:eastAsia="Times New Roman" w:cs="Calibri"/>
                <w:noProof/>
              </w:rPr>
            </w:pPr>
            <w:r>
              <w:rPr>
                <w:noProof/>
              </w:rPr>
              <w:t>Intrarea în vigoare a revizuirii conținutului formării inclus în Catalogul național al calificărilor în ceea ce privește modulele din domeniul competențelor digitale și legislația sau regulamentul pentru crearea semnăturilor și sigiliilor digitale</w:t>
            </w:r>
          </w:p>
        </w:tc>
        <w:tc>
          <w:tcPr>
            <w:tcW w:w="1275" w:type="dxa"/>
            <w:shd w:val="clear" w:color="auto" w:fill="C4EFCE"/>
            <w:noWrap/>
            <w:vAlign w:val="center"/>
            <w:hideMark/>
          </w:tcPr>
          <w:p w14:paraId="352F6829" w14:textId="77777777" w:rsidR="00A15990" w:rsidRDefault="00686A62">
            <w:pPr>
              <w:pStyle w:val="P68B1DB1-Normal8"/>
              <w:spacing w:after="0" w:line="240" w:lineRule="auto"/>
              <w:jc w:val="center"/>
              <w:rPr>
                <w:rFonts w:eastAsia="Times New Roman" w:cs="Calibri"/>
                <w:noProof/>
              </w:rPr>
            </w:pPr>
            <w:r>
              <w:rPr>
                <w:noProof/>
              </w:rPr>
              <w:t>Intrarea în vigoare a revizuirii conținutului formării inclus în Catalogul național al calificărilor în ceea ce privește modulele din domeniul competențelor digitale și legislația sau regulamentul pentru crearea semnăturilor și sigiliilor digitale</w:t>
            </w:r>
          </w:p>
        </w:tc>
        <w:tc>
          <w:tcPr>
            <w:tcW w:w="993" w:type="dxa"/>
            <w:shd w:val="clear" w:color="auto" w:fill="C4EFCE"/>
            <w:noWrap/>
            <w:vAlign w:val="center"/>
            <w:hideMark/>
          </w:tcPr>
          <w:p w14:paraId="76BBCE4C"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DE63EE9"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25082984" w14:textId="77777777" w:rsidR="00A15990" w:rsidRDefault="00686A62">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452D819F"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7DD29457"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1291B6CF" w14:textId="77777777" w:rsidR="00A15990" w:rsidRDefault="00686A62">
            <w:pPr>
              <w:pStyle w:val="P68B1DB1-Normal8"/>
              <w:spacing w:after="0" w:line="240" w:lineRule="auto"/>
              <w:jc w:val="both"/>
              <w:rPr>
                <w:rFonts w:eastAsia="Times New Roman" w:cs="Calibri"/>
                <w:noProof/>
              </w:rPr>
            </w:pPr>
            <w:r>
              <w:rPr>
                <w:noProof/>
              </w:rPr>
              <w:t>Intrarea în vigoare a următoarelor acte cu putere de lege sau norme administrative: (1) revizuirea conținutului formării profesionale și educaționale inclus în Catalogul național al calificărilor în domeniul competențelor digitale, și anume modulele de formare legate de tehnologii și instrumente, pentru a dezvolta competențele cele mai necesare în contextul profesional pe baza diagnosticării anticipării competențelor. (2) legislația sau reglementările necesare pentru crearea de semnături și sigilii digitale în domeniul securității cibernetice, al vieții private, al durabilității și al posibilității de utilizare. Crearea acestui cadru juridic și promovarea încrederii digitale reprezintă o condiție pentru punerea în aplicare a investițiilor pentru sigiliile digitale prevăzute în această componentă.</w:t>
            </w:r>
          </w:p>
        </w:tc>
      </w:tr>
      <w:tr w:rsidR="00A15990" w14:paraId="6459D986" w14:textId="77777777">
        <w:trPr>
          <w:trHeight w:val="630"/>
        </w:trPr>
        <w:tc>
          <w:tcPr>
            <w:tcW w:w="1135" w:type="dxa"/>
            <w:shd w:val="clear" w:color="auto" w:fill="C5EFCE"/>
            <w:vAlign w:val="center"/>
            <w:hideMark/>
          </w:tcPr>
          <w:p w14:paraId="6940FAF7" w14:textId="77777777" w:rsidR="00A15990" w:rsidRDefault="00686A62">
            <w:pPr>
              <w:pStyle w:val="P68B1DB1-Normal7"/>
              <w:spacing w:after="0" w:line="240" w:lineRule="auto"/>
              <w:jc w:val="center"/>
              <w:rPr>
                <w:rFonts w:eastAsia="Times New Roman" w:cs="Calibri"/>
                <w:noProof/>
              </w:rPr>
            </w:pPr>
            <w:r>
              <w:rPr>
                <w:noProof/>
              </w:rPr>
              <w:t>16.2</w:t>
            </w:r>
          </w:p>
        </w:tc>
        <w:tc>
          <w:tcPr>
            <w:tcW w:w="1276" w:type="dxa"/>
            <w:shd w:val="clear" w:color="auto" w:fill="C4EFCE"/>
            <w:noWrap/>
            <w:vAlign w:val="center"/>
            <w:hideMark/>
          </w:tcPr>
          <w:p w14:paraId="7CE8CA8A" w14:textId="77777777" w:rsidR="00A15990" w:rsidRDefault="00686A62">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09AF1728"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1D18194C" w14:textId="77777777" w:rsidR="00A15990" w:rsidRDefault="00686A62">
            <w:pPr>
              <w:pStyle w:val="P68B1DB1-Normal8"/>
              <w:spacing w:after="0" w:line="240" w:lineRule="auto"/>
              <w:jc w:val="center"/>
              <w:rPr>
                <w:rFonts w:eastAsia="Times New Roman" w:cs="Calibri"/>
                <w:noProof/>
              </w:rPr>
            </w:pPr>
            <w:r>
              <w:rPr>
                <w:noProof/>
              </w:rPr>
              <w:t xml:space="preserve">Lansarea programelor „Academia digitală” din Portugalia și „Ocuparea forței de muncă + sectorul digital” </w:t>
            </w:r>
          </w:p>
        </w:tc>
        <w:tc>
          <w:tcPr>
            <w:tcW w:w="1275" w:type="dxa"/>
            <w:shd w:val="clear" w:color="auto" w:fill="C4EFCE"/>
            <w:noWrap/>
            <w:vAlign w:val="center"/>
            <w:hideMark/>
          </w:tcPr>
          <w:p w14:paraId="408F4230" w14:textId="77777777" w:rsidR="00A15990" w:rsidRDefault="00686A62">
            <w:pPr>
              <w:pStyle w:val="P68B1DB1-Normal8"/>
              <w:spacing w:after="0" w:line="240" w:lineRule="auto"/>
              <w:jc w:val="center"/>
              <w:rPr>
                <w:rFonts w:eastAsia="Times New Roman" w:cs="Calibri"/>
                <w:noProof/>
              </w:rPr>
            </w:pPr>
            <w:r>
              <w:rPr>
                <w:noProof/>
              </w:rPr>
              <w:t>Lansarea programelor „Academia digitală și ocuparea forței de muncă + digitale” din Portugalia</w:t>
            </w:r>
          </w:p>
        </w:tc>
        <w:tc>
          <w:tcPr>
            <w:tcW w:w="993" w:type="dxa"/>
            <w:shd w:val="clear" w:color="auto" w:fill="C4EFCE"/>
            <w:noWrap/>
            <w:vAlign w:val="center"/>
            <w:hideMark/>
          </w:tcPr>
          <w:p w14:paraId="52EB1383" w14:textId="77777777" w:rsidR="00A15990" w:rsidRDefault="00686A62">
            <w:pPr>
              <w:pStyle w:val="P68B1DB1-Normal9"/>
              <w:spacing w:after="0" w:line="240" w:lineRule="auto"/>
              <w:rPr>
                <w:rFonts w:eastAsia="Times New Roman" w:cs="Calibri"/>
                <w:noProof/>
              </w:rPr>
            </w:pPr>
            <w:r>
              <w:rPr>
                <w:noProof/>
              </w:rPr>
              <w:t> </w:t>
            </w:r>
          </w:p>
        </w:tc>
        <w:tc>
          <w:tcPr>
            <w:tcW w:w="992" w:type="dxa"/>
            <w:shd w:val="clear" w:color="auto" w:fill="C4EFCE"/>
            <w:noWrap/>
            <w:vAlign w:val="center"/>
            <w:hideMark/>
          </w:tcPr>
          <w:p w14:paraId="1F586DE5"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1E7CB3D9" w14:textId="77777777" w:rsidR="00A15990" w:rsidRDefault="00686A62">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310C5484" w14:textId="77777777" w:rsidR="00A15990" w:rsidRDefault="00686A62">
            <w:pPr>
              <w:pStyle w:val="P68B1DB1-Normal8"/>
              <w:spacing w:after="0" w:line="240" w:lineRule="auto"/>
              <w:jc w:val="center"/>
              <w:rPr>
                <w:rFonts w:eastAsia="Times New Roman" w:cs="Calibri"/>
                <w:noProof/>
              </w:rPr>
            </w:pPr>
            <w:r>
              <w:rPr>
                <w:noProof/>
              </w:rPr>
              <w:t>TRIMESTRUL 1</w:t>
            </w:r>
          </w:p>
        </w:tc>
        <w:tc>
          <w:tcPr>
            <w:tcW w:w="708" w:type="dxa"/>
            <w:shd w:val="clear" w:color="auto" w:fill="C4EFCE"/>
            <w:noWrap/>
            <w:vAlign w:val="center"/>
            <w:hideMark/>
          </w:tcPr>
          <w:p w14:paraId="411306C6"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498F74B2" w14:textId="77777777" w:rsidR="00A15990" w:rsidRDefault="00686A62">
            <w:pPr>
              <w:pStyle w:val="P68B1DB1-Normal8"/>
              <w:spacing w:after="0" w:line="240" w:lineRule="auto"/>
              <w:jc w:val="both"/>
              <w:rPr>
                <w:rFonts w:eastAsia="Times New Roman" w:cs="Calibri"/>
                <w:noProof/>
              </w:rPr>
            </w:pPr>
            <w:r>
              <w:rPr>
                <w:noProof/>
              </w:rPr>
              <w:t xml:space="preserve">Portugalia Digital Academy – (1) Platforma online este operațională și accesibilă utilizatorilor săi, (2) procedurile de diagnosticare sunt definite pentru a evalua recomandările privind competențele digitale pentru cursanți și pentru a defini cursurile de formare personalizate de care au nevoie, iar primul set de cursuri de formare online sunt lansate și sunt accesibile cursanților. </w:t>
            </w:r>
          </w:p>
          <w:p w14:paraId="11F7A3F6" w14:textId="421B983E" w:rsidR="00A15990" w:rsidRDefault="00686A62">
            <w:pPr>
              <w:pStyle w:val="P68B1DB1-Normal8"/>
              <w:spacing w:after="0" w:line="240" w:lineRule="auto"/>
              <w:jc w:val="both"/>
              <w:rPr>
                <w:rFonts w:eastAsia="Times New Roman" w:cs="Calibri"/>
                <w:noProof/>
              </w:rPr>
            </w:pPr>
            <w:r>
              <w:rPr>
                <w:noProof/>
              </w:rPr>
              <w:t>Ocuparea forței de muncă + sectorul digital – (1) sunt identificate sectoarele economice vizate și sunt definite principalele provocări digitale care trebuie abordate prin cursuri; (2) sunt identificați partenerii și părțile interesate pentru punerea în aplicare a programului; (3) programul de formare este lansat și se începe formarea online, directă sau mixtă.</w:t>
            </w:r>
          </w:p>
        </w:tc>
      </w:tr>
      <w:tr w:rsidR="00A15990" w14:paraId="641661D3" w14:textId="77777777">
        <w:trPr>
          <w:trHeight w:val="640"/>
        </w:trPr>
        <w:tc>
          <w:tcPr>
            <w:tcW w:w="1135" w:type="dxa"/>
            <w:shd w:val="clear" w:color="auto" w:fill="C5EFCE"/>
            <w:vAlign w:val="center"/>
            <w:hideMark/>
          </w:tcPr>
          <w:p w14:paraId="7B9A6855" w14:textId="77777777" w:rsidR="00A15990" w:rsidRDefault="00686A62">
            <w:pPr>
              <w:pStyle w:val="P68B1DB1-Normal7"/>
              <w:spacing w:after="0" w:line="240" w:lineRule="auto"/>
              <w:jc w:val="center"/>
              <w:rPr>
                <w:rFonts w:eastAsia="Times New Roman" w:cs="Calibri"/>
                <w:noProof/>
              </w:rPr>
            </w:pPr>
            <w:r>
              <w:rPr>
                <w:noProof/>
              </w:rPr>
              <w:t>16.3</w:t>
            </w:r>
          </w:p>
        </w:tc>
        <w:tc>
          <w:tcPr>
            <w:tcW w:w="1276" w:type="dxa"/>
            <w:shd w:val="clear" w:color="auto" w:fill="C4EFCE"/>
            <w:noWrap/>
            <w:vAlign w:val="center"/>
            <w:hideMark/>
          </w:tcPr>
          <w:p w14:paraId="6DA18CB9" w14:textId="77777777" w:rsidR="00A15990" w:rsidRDefault="00686A62">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69A0921C"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0123495" w14:textId="77777777" w:rsidR="00A15990" w:rsidRDefault="00686A62">
            <w:pPr>
              <w:pStyle w:val="P68B1DB1-Normal8"/>
              <w:spacing w:after="0" w:line="240" w:lineRule="auto"/>
              <w:jc w:val="center"/>
              <w:rPr>
                <w:rFonts w:eastAsia="Times New Roman" w:cs="Calibri"/>
                <w:noProof/>
              </w:rPr>
            </w:pPr>
            <w:r>
              <w:rPr>
                <w:noProof/>
              </w:rPr>
              <w:t>Ocuparea forței de muncă + participanți la formarea digitală</w:t>
            </w:r>
          </w:p>
        </w:tc>
        <w:tc>
          <w:tcPr>
            <w:tcW w:w="1275" w:type="dxa"/>
            <w:shd w:val="clear" w:color="auto" w:fill="C4EFCE"/>
            <w:noWrap/>
            <w:vAlign w:val="center"/>
            <w:hideMark/>
          </w:tcPr>
          <w:p w14:paraId="65780DFF"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9BDCF9F"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11D2D464"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02ABAB2" w14:textId="77777777" w:rsidR="00A15990" w:rsidRDefault="00686A62">
            <w:pPr>
              <w:pStyle w:val="P68B1DB1-Normal8"/>
              <w:spacing w:after="0" w:line="240" w:lineRule="auto"/>
              <w:jc w:val="center"/>
              <w:rPr>
                <w:rFonts w:eastAsia="Times New Roman" w:cs="Calibri"/>
                <w:noProof/>
              </w:rPr>
            </w:pPr>
            <w:r>
              <w:rPr>
                <w:noProof/>
              </w:rPr>
              <w:t>200 000</w:t>
            </w:r>
          </w:p>
        </w:tc>
        <w:tc>
          <w:tcPr>
            <w:tcW w:w="426" w:type="dxa"/>
            <w:shd w:val="clear" w:color="auto" w:fill="C4EFCE"/>
            <w:noWrap/>
            <w:vAlign w:val="center"/>
            <w:hideMark/>
          </w:tcPr>
          <w:p w14:paraId="62492B9C"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2C1ADD8F"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DB28148" w14:textId="409C353B" w:rsidR="00A15990" w:rsidRDefault="00686A62">
            <w:pPr>
              <w:pStyle w:val="P68B1DB1-Normal8"/>
              <w:spacing w:after="0" w:line="240" w:lineRule="auto"/>
              <w:jc w:val="both"/>
              <w:rPr>
                <w:rFonts w:eastAsia="Times New Roman" w:cs="Calibri"/>
                <w:noProof/>
              </w:rPr>
            </w:pPr>
            <w:r>
              <w:rPr>
                <w:noProof/>
              </w:rPr>
              <w:t>Numărul de participanți la formare care au finalizat un modul de formare online, față în față sau mixt, de recalificare și perfecționare, axat pe competențele digitale care abordează provocările sectoarelor economice identificate în cadrul programului „Ocuparea forței de muncă + sectorul digital”. Sectoarele economice selectate sunt cele identificate în etapa de referință din T1 2022.</w:t>
            </w:r>
          </w:p>
        </w:tc>
      </w:tr>
      <w:tr w:rsidR="00A15990" w14:paraId="3B45A3FB" w14:textId="77777777">
        <w:trPr>
          <w:trHeight w:val="430"/>
        </w:trPr>
        <w:tc>
          <w:tcPr>
            <w:tcW w:w="1135" w:type="dxa"/>
            <w:shd w:val="clear" w:color="auto" w:fill="C5EFCE"/>
            <w:vAlign w:val="center"/>
            <w:hideMark/>
          </w:tcPr>
          <w:p w14:paraId="49B3BE1C" w14:textId="77777777" w:rsidR="00A15990" w:rsidRDefault="00686A62">
            <w:pPr>
              <w:pStyle w:val="P68B1DB1-Normal7"/>
              <w:spacing w:after="0" w:line="240" w:lineRule="auto"/>
              <w:jc w:val="center"/>
              <w:rPr>
                <w:rFonts w:eastAsia="Times New Roman" w:cs="Calibri"/>
                <w:noProof/>
              </w:rPr>
            </w:pPr>
            <w:r>
              <w:rPr>
                <w:noProof/>
              </w:rPr>
              <w:t>16.4</w:t>
            </w:r>
          </w:p>
        </w:tc>
        <w:tc>
          <w:tcPr>
            <w:tcW w:w="1276" w:type="dxa"/>
            <w:shd w:val="clear" w:color="auto" w:fill="C4EFCE"/>
            <w:noWrap/>
            <w:vAlign w:val="center"/>
            <w:hideMark/>
          </w:tcPr>
          <w:p w14:paraId="0F910593" w14:textId="77777777" w:rsidR="00A15990" w:rsidRDefault="00686A62">
            <w:pPr>
              <w:pStyle w:val="P68B1DB1-Normal8"/>
              <w:spacing w:after="0" w:line="240" w:lineRule="auto"/>
              <w:jc w:val="center"/>
              <w:rPr>
                <w:rFonts w:eastAsia="Times New Roman" w:cs="Calibri"/>
                <w:noProof/>
              </w:rPr>
            </w:pPr>
            <w:r>
              <w:rPr>
                <w:noProof/>
              </w:rPr>
              <w:t>TD-C16-i01</w:t>
            </w:r>
          </w:p>
        </w:tc>
        <w:tc>
          <w:tcPr>
            <w:tcW w:w="1134" w:type="dxa"/>
            <w:shd w:val="clear" w:color="auto" w:fill="C4EFCE"/>
            <w:noWrap/>
            <w:vAlign w:val="center"/>
            <w:hideMark/>
          </w:tcPr>
          <w:p w14:paraId="498FA43B"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69C3E62" w14:textId="77777777" w:rsidR="00A15990" w:rsidRDefault="00686A62">
            <w:pPr>
              <w:pStyle w:val="P68B1DB1-Normal8"/>
              <w:spacing w:after="0" w:line="240" w:lineRule="auto"/>
              <w:jc w:val="center"/>
              <w:rPr>
                <w:rFonts w:eastAsia="Times New Roman" w:cs="Calibri"/>
                <w:noProof/>
              </w:rPr>
            </w:pPr>
            <w:r>
              <w:rPr>
                <w:noProof/>
              </w:rPr>
              <w:t>Portugalia Participanți la cursuri de formare în cadrul Academiei digitale</w:t>
            </w:r>
          </w:p>
        </w:tc>
        <w:tc>
          <w:tcPr>
            <w:tcW w:w="1275" w:type="dxa"/>
            <w:shd w:val="clear" w:color="auto" w:fill="C4EFCE"/>
            <w:noWrap/>
            <w:vAlign w:val="center"/>
            <w:hideMark/>
          </w:tcPr>
          <w:p w14:paraId="5311EC00"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9790E4"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5E9E7350"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FBAA0E5" w14:textId="755ABA93" w:rsidR="00A15990" w:rsidRDefault="00686A62">
            <w:pPr>
              <w:pStyle w:val="P68B1DB1-Normal8"/>
              <w:spacing w:after="0" w:line="240" w:lineRule="auto"/>
              <w:jc w:val="center"/>
              <w:rPr>
                <w:rFonts w:eastAsia="Times New Roman" w:cs="Calibri"/>
                <w:noProof/>
              </w:rPr>
            </w:pPr>
            <w:r>
              <w:rPr>
                <w:noProof/>
              </w:rPr>
              <w:t>500 000</w:t>
            </w:r>
          </w:p>
        </w:tc>
        <w:tc>
          <w:tcPr>
            <w:tcW w:w="426" w:type="dxa"/>
            <w:shd w:val="clear" w:color="auto" w:fill="C4EFCE"/>
            <w:noWrap/>
            <w:vAlign w:val="center"/>
            <w:hideMark/>
          </w:tcPr>
          <w:p w14:paraId="35BB736B"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73479E05"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2B4C4465" w14:textId="72846C38" w:rsidR="00A15990" w:rsidRDefault="00686A62">
            <w:pPr>
              <w:pStyle w:val="P68B1DB1-Normal8"/>
              <w:spacing w:after="0" w:line="240" w:lineRule="auto"/>
              <w:jc w:val="both"/>
              <w:rPr>
                <w:rFonts w:eastAsia="Times New Roman" w:cs="Calibri"/>
                <w:noProof/>
              </w:rPr>
            </w:pPr>
            <w:r>
              <w:rPr>
                <w:noProof/>
              </w:rPr>
              <w:t>Numărul de participanți la formare care au primit un diagnostic al competențelor digitale. 125 000 de participanți trebuie să completeze, de asemenea, un modul online mixt sau cu prezență fizică în programul Academiei digitale portugheze.</w:t>
            </w:r>
          </w:p>
          <w:p w14:paraId="1D8610F7" w14:textId="5BE4E11C" w:rsidR="00A15990" w:rsidRDefault="00686A62">
            <w:pPr>
              <w:pStyle w:val="P68B1DB1-Normal8"/>
              <w:spacing w:after="0" w:line="240" w:lineRule="auto"/>
              <w:jc w:val="both"/>
              <w:rPr>
                <w:rFonts w:eastAsia="Times New Roman" w:cs="Calibri"/>
                <w:noProof/>
              </w:rPr>
            </w:pPr>
            <w:r>
              <w:rPr>
                <w:noProof/>
              </w:rPr>
              <w:t>În plus, trebuie puse la dispoziție cincizeci de MOOC nou dezvoltate.</w:t>
            </w:r>
          </w:p>
        </w:tc>
      </w:tr>
      <w:tr w:rsidR="00A15990" w14:paraId="36F65094" w14:textId="77777777">
        <w:trPr>
          <w:trHeight w:val="840"/>
        </w:trPr>
        <w:tc>
          <w:tcPr>
            <w:tcW w:w="1135" w:type="dxa"/>
            <w:shd w:val="clear" w:color="auto" w:fill="C5EFCE"/>
            <w:vAlign w:val="center"/>
            <w:hideMark/>
          </w:tcPr>
          <w:p w14:paraId="79B09C43" w14:textId="77777777" w:rsidR="00A15990" w:rsidRDefault="00686A62">
            <w:pPr>
              <w:pStyle w:val="P68B1DB1-Normal7"/>
              <w:spacing w:after="0" w:line="240" w:lineRule="auto"/>
              <w:jc w:val="center"/>
              <w:rPr>
                <w:rFonts w:eastAsia="Times New Roman" w:cs="Calibri"/>
                <w:noProof/>
              </w:rPr>
            </w:pPr>
            <w:r>
              <w:rPr>
                <w:noProof/>
              </w:rPr>
              <w:t>16.5</w:t>
            </w:r>
          </w:p>
        </w:tc>
        <w:tc>
          <w:tcPr>
            <w:tcW w:w="1276" w:type="dxa"/>
            <w:shd w:val="clear" w:color="auto" w:fill="C4EFCE"/>
            <w:noWrap/>
            <w:vAlign w:val="center"/>
            <w:hideMark/>
          </w:tcPr>
          <w:p w14:paraId="0767AC81"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2F519593"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67E3F188" w14:textId="77777777" w:rsidR="00A15990" w:rsidRDefault="00686A62">
            <w:pPr>
              <w:pStyle w:val="P68B1DB1-Normal8"/>
              <w:spacing w:after="0" w:line="240" w:lineRule="auto"/>
              <w:jc w:val="center"/>
              <w:rPr>
                <w:rFonts w:eastAsia="Times New Roman" w:cs="Calibri"/>
                <w:noProof/>
              </w:rPr>
            </w:pPr>
            <w:r>
              <w:rPr>
                <w:noProof/>
              </w:rPr>
              <w:t xml:space="preserve">IMM-uri sprijinite de acceleratori ai comerțului digital </w:t>
            </w:r>
          </w:p>
        </w:tc>
        <w:tc>
          <w:tcPr>
            <w:tcW w:w="1275" w:type="dxa"/>
            <w:shd w:val="clear" w:color="auto" w:fill="C4EFCE"/>
            <w:noWrap/>
            <w:vAlign w:val="center"/>
            <w:hideMark/>
          </w:tcPr>
          <w:p w14:paraId="2EB5D309"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06DD7F0"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6101D998"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1F057A08" w14:textId="769CE70E" w:rsidR="00A15990" w:rsidRDefault="00686A62">
            <w:pPr>
              <w:pStyle w:val="P68B1DB1-Normal8"/>
              <w:spacing w:after="0" w:line="240" w:lineRule="auto"/>
              <w:jc w:val="center"/>
              <w:rPr>
                <w:rFonts w:eastAsia="Times New Roman" w:cs="Calibri"/>
                <w:noProof/>
              </w:rPr>
            </w:pPr>
            <w:r>
              <w:rPr>
                <w:noProof/>
              </w:rPr>
              <w:t>12 500</w:t>
            </w:r>
          </w:p>
        </w:tc>
        <w:tc>
          <w:tcPr>
            <w:tcW w:w="426" w:type="dxa"/>
            <w:shd w:val="clear" w:color="auto" w:fill="C4EFCE"/>
            <w:noWrap/>
            <w:vAlign w:val="center"/>
            <w:hideMark/>
          </w:tcPr>
          <w:p w14:paraId="30274845"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6E0C3DDB" w14:textId="7C58F5E6"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317110C0" w14:textId="77777777" w:rsidR="00A15990" w:rsidRDefault="00686A62">
            <w:pPr>
              <w:pStyle w:val="P68B1DB1-Normal8"/>
              <w:spacing w:after="0" w:line="240" w:lineRule="auto"/>
              <w:jc w:val="both"/>
              <w:rPr>
                <w:rFonts w:eastAsia="Times New Roman" w:cs="Calibri"/>
                <w:noProof/>
              </w:rPr>
            </w:pPr>
            <w:r>
              <w:rPr>
                <w:noProof/>
              </w:rPr>
              <w:t xml:space="preserve">Numărul de IMM-uri sprijinite prin crearea a 25 de acceleratoare locale, regionale sau sectoriale ale comerțului digital, precum și un sistem de stimulente financiare pentru digitalizarea modelelor de afaceri ale IMM-urilor. Sprijinul constă în evaluarea și diagnosticarea nivelului de digitalizare al IMM-urilor beneficiare, precum și în furnizarea de servicii și stimulente specifice pentru a spori gradul de adoptare a tehnologiilor digitale în modelul de afaceri al beneficiarilor. </w:t>
            </w:r>
          </w:p>
          <w:p w14:paraId="66ADDCA3" w14:textId="10D0B309" w:rsidR="00A15990" w:rsidRDefault="00686A62">
            <w:pPr>
              <w:pStyle w:val="P68B1DB1-Normal8"/>
              <w:spacing w:after="0" w:line="240" w:lineRule="auto"/>
              <w:jc w:val="both"/>
              <w:rPr>
                <w:rFonts w:eastAsia="Times New Roman" w:cs="Calibri"/>
                <w:noProof/>
              </w:rPr>
            </w:pPr>
            <w:r>
              <w:rPr>
                <w:noProof/>
              </w:rPr>
              <w:t>Criteriile de selecție asigură conformitatea cu Orientările tehnice de „a nu prejudicia în mod semnificativ” (2021/C58/01) ale tranzacțiilor sprijinite în cadrul acestei măsuri prin utilizarea evaluării durabilității, utilizarea unei liste de excludere și cerința de conformitate cu legislația UE și națională relevantă în materie de mediu.</w:t>
            </w:r>
          </w:p>
        </w:tc>
      </w:tr>
      <w:tr w:rsidR="00A15990" w14:paraId="5705A32B" w14:textId="77777777">
        <w:trPr>
          <w:trHeight w:val="420"/>
        </w:trPr>
        <w:tc>
          <w:tcPr>
            <w:tcW w:w="1135" w:type="dxa"/>
            <w:shd w:val="clear" w:color="auto" w:fill="C5EFCE"/>
            <w:vAlign w:val="center"/>
            <w:hideMark/>
          </w:tcPr>
          <w:p w14:paraId="000270AE" w14:textId="77777777" w:rsidR="00A15990" w:rsidRDefault="00686A62">
            <w:pPr>
              <w:pStyle w:val="P68B1DB1-Normal7"/>
              <w:spacing w:after="0" w:line="240" w:lineRule="auto"/>
              <w:jc w:val="center"/>
              <w:rPr>
                <w:rFonts w:eastAsia="Times New Roman" w:cs="Calibri"/>
                <w:noProof/>
              </w:rPr>
            </w:pPr>
            <w:r>
              <w:rPr>
                <w:noProof/>
              </w:rPr>
              <w:t>16.6</w:t>
            </w:r>
          </w:p>
        </w:tc>
        <w:tc>
          <w:tcPr>
            <w:tcW w:w="1276" w:type="dxa"/>
            <w:shd w:val="clear" w:color="auto" w:fill="C4EFCE"/>
            <w:noWrap/>
            <w:vAlign w:val="center"/>
            <w:hideMark/>
          </w:tcPr>
          <w:p w14:paraId="78A96FDD"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7357B62"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CB16DF" w14:textId="46C25FDB" w:rsidR="00A15990" w:rsidRDefault="00686A62">
            <w:pPr>
              <w:pStyle w:val="P68B1DB1-Normal8"/>
              <w:spacing w:after="0" w:line="240" w:lineRule="auto"/>
              <w:jc w:val="center"/>
              <w:rPr>
                <w:rFonts w:eastAsia="Times New Roman" w:cs="Calibri"/>
                <w:noProof/>
              </w:rPr>
            </w:pPr>
            <w:r>
              <w:rPr>
                <w:noProof/>
              </w:rPr>
              <w:t>Dezvoltarea de produse și servicii pilot ale rețelei naționale de baze de testare</w:t>
            </w:r>
          </w:p>
        </w:tc>
        <w:tc>
          <w:tcPr>
            <w:tcW w:w="1275" w:type="dxa"/>
            <w:shd w:val="clear" w:color="auto" w:fill="C4EFCE"/>
            <w:noWrap/>
            <w:vAlign w:val="center"/>
            <w:hideMark/>
          </w:tcPr>
          <w:p w14:paraId="7F3952A8"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524FBBA"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06DA02CA"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74A9A84A" w14:textId="7BDE7575" w:rsidR="00A15990" w:rsidRDefault="00686A62">
            <w:pPr>
              <w:pStyle w:val="P68B1DB1-Normal8"/>
              <w:spacing w:after="0" w:line="240" w:lineRule="auto"/>
              <w:jc w:val="center"/>
              <w:rPr>
                <w:rFonts w:eastAsia="Times New Roman" w:cs="Calibri"/>
                <w:noProof/>
              </w:rPr>
            </w:pPr>
            <w:r>
              <w:rPr>
                <w:noProof/>
              </w:rPr>
              <w:t>600</w:t>
            </w:r>
          </w:p>
        </w:tc>
        <w:tc>
          <w:tcPr>
            <w:tcW w:w="426" w:type="dxa"/>
            <w:shd w:val="clear" w:color="auto" w:fill="C4EFCE"/>
            <w:noWrap/>
            <w:vAlign w:val="center"/>
            <w:hideMark/>
          </w:tcPr>
          <w:p w14:paraId="2BAA25D5" w14:textId="204D01EA"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397A151A" w14:textId="454F43F3"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6A17EC12" w14:textId="0CEEA83B" w:rsidR="00A15990" w:rsidRDefault="00686A62">
            <w:pPr>
              <w:pStyle w:val="P68B1DB1-Normal8"/>
              <w:spacing w:after="0" w:line="240" w:lineRule="auto"/>
              <w:jc w:val="both"/>
              <w:rPr>
                <w:rFonts w:eastAsia="Times New Roman" w:cs="Calibri"/>
                <w:noProof/>
              </w:rPr>
            </w:pPr>
            <w:r>
              <w:rPr>
                <w:noProof/>
              </w:rPr>
              <w:t xml:space="preserve">Numărul de produse sau servicii pilot dezvoltate (cu intenția de a atinge cel puțin nivelul de maturitate tehnologică 5) în cadrul rețelei naționale pentru teste. </w:t>
            </w:r>
          </w:p>
          <w:p w14:paraId="1B884D2E" w14:textId="229931CB" w:rsidR="00A15990" w:rsidRDefault="00686A62">
            <w:pPr>
              <w:pStyle w:val="P68B1DB1-Normal8"/>
              <w:spacing w:after="0" w:line="240" w:lineRule="auto"/>
              <w:jc w:val="both"/>
              <w:rPr>
                <w:rFonts w:eastAsia="Times New Roman" w:cs="Calibri"/>
                <w:noProof/>
              </w:rPr>
            </w:pPr>
            <w:r>
              <w:rPr>
                <w:noProof/>
              </w:rPr>
              <w:t>Criteriile de selecție asigură conformitatea cu Orientările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302E1901" w14:textId="77777777">
        <w:trPr>
          <w:trHeight w:val="920"/>
        </w:trPr>
        <w:tc>
          <w:tcPr>
            <w:tcW w:w="1135" w:type="dxa"/>
            <w:shd w:val="clear" w:color="auto" w:fill="C5EFCE"/>
            <w:vAlign w:val="center"/>
            <w:hideMark/>
          </w:tcPr>
          <w:p w14:paraId="04EB0D69" w14:textId="77777777" w:rsidR="00A15990" w:rsidRDefault="00686A62">
            <w:pPr>
              <w:pStyle w:val="P68B1DB1-Normal7"/>
              <w:spacing w:after="0" w:line="240" w:lineRule="auto"/>
              <w:jc w:val="center"/>
              <w:rPr>
                <w:rFonts w:eastAsia="Times New Roman" w:cs="Calibri"/>
                <w:noProof/>
              </w:rPr>
            </w:pPr>
            <w:r>
              <w:rPr>
                <w:noProof/>
              </w:rPr>
              <w:t>16.7</w:t>
            </w:r>
          </w:p>
        </w:tc>
        <w:tc>
          <w:tcPr>
            <w:tcW w:w="1276" w:type="dxa"/>
            <w:shd w:val="clear" w:color="auto" w:fill="C4EFCE"/>
            <w:noWrap/>
            <w:vAlign w:val="center"/>
            <w:hideMark/>
          </w:tcPr>
          <w:p w14:paraId="486E2805"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022E78"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FBD8596" w14:textId="77777777" w:rsidR="00A15990" w:rsidRDefault="00686A62">
            <w:pPr>
              <w:pStyle w:val="P68B1DB1-Normal8"/>
              <w:spacing w:after="0" w:line="240" w:lineRule="auto"/>
              <w:jc w:val="center"/>
              <w:rPr>
                <w:rFonts w:eastAsia="Times New Roman" w:cs="Calibri"/>
                <w:noProof/>
              </w:rPr>
            </w:pPr>
            <w:r>
              <w:rPr>
                <w:noProof/>
              </w:rPr>
              <w:t>Bancuri de testare selectate pentru rețeaua națională de bănci de testare</w:t>
            </w:r>
          </w:p>
        </w:tc>
        <w:tc>
          <w:tcPr>
            <w:tcW w:w="1275" w:type="dxa"/>
            <w:shd w:val="clear" w:color="auto" w:fill="C4EFCE"/>
            <w:noWrap/>
            <w:vAlign w:val="center"/>
            <w:hideMark/>
          </w:tcPr>
          <w:p w14:paraId="24BABD16" w14:textId="77777777" w:rsidR="00A15990" w:rsidRDefault="00686A62">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2AF4B68E"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090C3CF5" w14:textId="77777777" w:rsidR="00A15990" w:rsidRDefault="00686A62">
            <w:pPr>
              <w:pStyle w:val="P68B1DB1-Normal8"/>
              <w:spacing w:after="0" w:line="240" w:lineRule="auto"/>
              <w:jc w:val="center"/>
              <w:rPr>
                <w:rFonts w:eastAsia="Times New Roman" w:cs="Calibri"/>
                <w:noProof/>
              </w:rPr>
            </w:pPr>
            <w:r>
              <w:rPr>
                <w:noProof/>
              </w:rPr>
              <w:t> 0</w:t>
            </w:r>
          </w:p>
        </w:tc>
        <w:tc>
          <w:tcPr>
            <w:tcW w:w="850" w:type="dxa"/>
            <w:shd w:val="clear" w:color="auto" w:fill="C4EFCE"/>
            <w:noWrap/>
            <w:vAlign w:val="center"/>
            <w:hideMark/>
          </w:tcPr>
          <w:p w14:paraId="358B2E8A" w14:textId="77777777" w:rsidR="00A15990" w:rsidRDefault="00686A62">
            <w:pPr>
              <w:pStyle w:val="P68B1DB1-Normal8"/>
              <w:spacing w:after="0" w:line="240" w:lineRule="auto"/>
              <w:jc w:val="center"/>
              <w:rPr>
                <w:rFonts w:eastAsia="Times New Roman" w:cs="Calibri"/>
                <w:noProof/>
              </w:rPr>
            </w:pPr>
            <w:r>
              <w:rPr>
                <w:noProof/>
              </w:rPr>
              <w:t>30 </w:t>
            </w:r>
          </w:p>
        </w:tc>
        <w:tc>
          <w:tcPr>
            <w:tcW w:w="426" w:type="dxa"/>
            <w:shd w:val="clear" w:color="auto" w:fill="C4EFCE"/>
            <w:noWrap/>
            <w:vAlign w:val="center"/>
            <w:hideMark/>
          </w:tcPr>
          <w:p w14:paraId="37852C11"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0AF84A0B"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3D5DF3F" w14:textId="77777777" w:rsidR="00A15990" w:rsidRDefault="00686A62">
            <w:pPr>
              <w:pStyle w:val="P68B1DB1-Normal9"/>
              <w:spacing w:after="0" w:line="240" w:lineRule="auto"/>
              <w:jc w:val="both"/>
              <w:rPr>
                <w:rFonts w:eastAsia="Times New Roman" w:cs="Calibri"/>
                <w:noProof/>
                <w:sz w:val="16"/>
              </w:rPr>
            </w:pPr>
            <w:r>
              <w:rPr>
                <w:noProof/>
                <w:sz w:val="16"/>
              </w:rPr>
              <w:t xml:space="preserve">Numărul de benzi de testare selectate pentru a fi instalate în continuare cu echipamentele necesare pentru a permite dezvoltarea și testarea produselor-pilot în rețeaua națională de teste. Acoperirea sectoarelor industriale, precum și a subsectoarelor acestora corespunde celor preconizate pentru rețeaua de centre de inovare digitală (DIH), pentru a genera sinergii și complementarități cu rețeaua de centre de inovare digitală. </w:t>
            </w:r>
          </w:p>
          <w:p w14:paraId="723D2E82" w14:textId="1C437B17" w:rsidR="00A15990" w:rsidRDefault="00686A62">
            <w:pPr>
              <w:pStyle w:val="P68B1DB1-Normal8"/>
              <w:spacing w:after="0" w:line="240" w:lineRule="auto"/>
              <w:jc w:val="both"/>
              <w:rPr>
                <w:rFonts w:eastAsia="Times New Roman" w:cs="Calibri"/>
                <w:noProof/>
              </w:rPr>
            </w:pPr>
            <w:r>
              <w:rPr>
                <w:noProof/>
              </w:rPr>
              <w:t>Criteriile de selecție asigură respectarea Orientărilor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642663A6" w14:textId="77777777">
        <w:trPr>
          <w:trHeight w:val="420"/>
        </w:trPr>
        <w:tc>
          <w:tcPr>
            <w:tcW w:w="1135" w:type="dxa"/>
            <w:shd w:val="clear" w:color="auto" w:fill="C5EFCE"/>
            <w:vAlign w:val="center"/>
            <w:hideMark/>
          </w:tcPr>
          <w:p w14:paraId="0C199B10" w14:textId="77777777" w:rsidR="00A15990" w:rsidRDefault="00686A62">
            <w:pPr>
              <w:pStyle w:val="P68B1DB1-Normal7"/>
              <w:spacing w:after="0" w:line="240" w:lineRule="auto"/>
              <w:jc w:val="center"/>
              <w:rPr>
                <w:rFonts w:eastAsia="Times New Roman" w:cs="Calibri"/>
                <w:noProof/>
              </w:rPr>
            </w:pPr>
            <w:r>
              <w:rPr>
                <w:noProof/>
              </w:rPr>
              <w:t>16.8</w:t>
            </w:r>
          </w:p>
        </w:tc>
        <w:tc>
          <w:tcPr>
            <w:tcW w:w="1276" w:type="dxa"/>
            <w:shd w:val="clear" w:color="auto" w:fill="C4EFCE"/>
            <w:noWrap/>
            <w:vAlign w:val="center"/>
            <w:hideMark/>
          </w:tcPr>
          <w:p w14:paraId="4D5E6E95"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3AC525B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843CFCB" w14:textId="17138ACC" w:rsidR="00A15990" w:rsidRDefault="00686A62">
            <w:pPr>
              <w:pStyle w:val="P68B1DB1-Normal8"/>
              <w:spacing w:after="0" w:line="240" w:lineRule="auto"/>
              <w:jc w:val="center"/>
              <w:rPr>
                <w:rFonts w:eastAsia="Times New Roman" w:cs="Calibri"/>
                <w:noProof/>
              </w:rPr>
            </w:pPr>
            <w:r>
              <w:rPr>
                <w:noProof/>
              </w:rPr>
              <w:t xml:space="preserve">Dezvoltarea de produse și servicii pilot ale rețelei naționale de baze de testare </w:t>
            </w:r>
          </w:p>
        </w:tc>
        <w:tc>
          <w:tcPr>
            <w:tcW w:w="1275" w:type="dxa"/>
            <w:shd w:val="clear" w:color="auto" w:fill="C4EFCE"/>
            <w:noWrap/>
            <w:vAlign w:val="center"/>
            <w:hideMark/>
          </w:tcPr>
          <w:p w14:paraId="1C876615"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163E41C"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4032CDA7" w14:textId="3AB8A8F0" w:rsidR="00A15990" w:rsidRDefault="00686A62">
            <w:pPr>
              <w:pStyle w:val="P68B1DB1-Normal8"/>
              <w:spacing w:after="0" w:line="240" w:lineRule="auto"/>
              <w:jc w:val="center"/>
              <w:rPr>
                <w:rFonts w:eastAsia="Times New Roman" w:cs="Calibri"/>
                <w:noProof/>
              </w:rPr>
            </w:pPr>
            <w:r>
              <w:rPr>
                <w:noProof/>
              </w:rPr>
              <w:t>600</w:t>
            </w:r>
          </w:p>
        </w:tc>
        <w:tc>
          <w:tcPr>
            <w:tcW w:w="850" w:type="dxa"/>
            <w:shd w:val="clear" w:color="auto" w:fill="C4EFCE"/>
            <w:noWrap/>
            <w:vAlign w:val="center"/>
            <w:hideMark/>
          </w:tcPr>
          <w:p w14:paraId="78086472" w14:textId="5935E04B" w:rsidR="00A15990" w:rsidRDefault="00686A62">
            <w:pPr>
              <w:pStyle w:val="P68B1DB1-Normal8"/>
              <w:spacing w:after="0" w:line="240" w:lineRule="auto"/>
              <w:jc w:val="center"/>
              <w:rPr>
                <w:rFonts w:eastAsia="Times New Roman" w:cs="Calibri"/>
                <w:noProof/>
              </w:rPr>
            </w:pPr>
            <w:r>
              <w:rPr>
                <w:noProof/>
              </w:rPr>
              <w:t>3 000</w:t>
            </w:r>
          </w:p>
        </w:tc>
        <w:tc>
          <w:tcPr>
            <w:tcW w:w="426" w:type="dxa"/>
            <w:shd w:val="clear" w:color="auto" w:fill="C4EFCE"/>
            <w:noWrap/>
            <w:vAlign w:val="center"/>
            <w:hideMark/>
          </w:tcPr>
          <w:p w14:paraId="75024F04"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749E31FA"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5E28F56" w14:textId="02EA86AD" w:rsidR="00A15990" w:rsidRDefault="00686A62">
            <w:pPr>
              <w:pStyle w:val="P68B1DB1-Normal8"/>
              <w:spacing w:after="0" w:line="240" w:lineRule="auto"/>
              <w:jc w:val="both"/>
              <w:rPr>
                <w:rFonts w:eastAsia="Times New Roman" w:cs="Calibri"/>
                <w:noProof/>
              </w:rPr>
            </w:pPr>
            <w:r>
              <w:rPr>
                <w:noProof/>
              </w:rPr>
              <w:t xml:space="preserve">Numărul de produse sau servicii pilot dezvoltate cu intenția de a atinge nivelul de maturitate tehnologică 5) în rețeaua națională pentru teste. </w:t>
            </w:r>
          </w:p>
          <w:p w14:paraId="73F048D1" w14:textId="0BEE092C" w:rsidR="00A15990" w:rsidRDefault="00686A62">
            <w:pPr>
              <w:pStyle w:val="P68B1DB1-Normal8"/>
              <w:spacing w:after="0" w:line="240" w:lineRule="auto"/>
              <w:jc w:val="both"/>
              <w:rPr>
                <w:rFonts w:eastAsia="Times New Roman" w:cs="Calibri"/>
                <w:noProof/>
              </w:rPr>
            </w:pPr>
            <w:r>
              <w:rPr>
                <w:noProof/>
              </w:rPr>
              <w:t>Criteriile de selecție asigură respectarea Orientărilor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5FCAF347" w14:textId="77777777">
        <w:trPr>
          <w:trHeight w:val="1050"/>
        </w:trPr>
        <w:tc>
          <w:tcPr>
            <w:tcW w:w="1135" w:type="dxa"/>
            <w:shd w:val="clear" w:color="auto" w:fill="C5EFCE"/>
            <w:vAlign w:val="center"/>
            <w:hideMark/>
          </w:tcPr>
          <w:p w14:paraId="6A609E24" w14:textId="77777777" w:rsidR="00A15990" w:rsidRDefault="00686A62">
            <w:pPr>
              <w:pStyle w:val="P68B1DB1-Normal7"/>
              <w:spacing w:after="0" w:line="240" w:lineRule="auto"/>
              <w:jc w:val="center"/>
              <w:rPr>
                <w:rFonts w:eastAsia="Times New Roman" w:cs="Calibri"/>
                <w:noProof/>
              </w:rPr>
            </w:pPr>
            <w:r>
              <w:rPr>
                <w:noProof/>
              </w:rPr>
              <w:t>16.9</w:t>
            </w:r>
          </w:p>
        </w:tc>
        <w:tc>
          <w:tcPr>
            <w:tcW w:w="1276" w:type="dxa"/>
            <w:shd w:val="clear" w:color="auto" w:fill="C4EFCE"/>
            <w:noWrap/>
            <w:vAlign w:val="center"/>
            <w:hideMark/>
          </w:tcPr>
          <w:p w14:paraId="179FBF25"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6674AFC7"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5884E1F" w14:textId="77777777" w:rsidR="00A15990" w:rsidRDefault="00686A62">
            <w:pPr>
              <w:pStyle w:val="P68B1DB1-Normal8"/>
              <w:spacing w:after="0" w:line="240" w:lineRule="auto"/>
              <w:jc w:val="center"/>
              <w:rPr>
                <w:rFonts w:eastAsia="Times New Roman" w:cs="Calibri"/>
                <w:noProof/>
              </w:rPr>
            </w:pPr>
            <w:r>
              <w:rPr>
                <w:noProof/>
              </w:rPr>
              <w:t xml:space="preserve">Cartierele comerțului digital  </w:t>
            </w:r>
          </w:p>
        </w:tc>
        <w:tc>
          <w:tcPr>
            <w:tcW w:w="1275" w:type="dxa"/>
            <w:shd w:val="clear" w:color="auto" w:fill="C4EFCE"/>
            <w:noWrap/>
            <w:vAlign w:val="center"/>
            <w:hideMark/>
          </w:tcPr>
          <w:p w14:paraId="7929B328"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FCAF2B3"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37CDAFE5"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8E1A920" w14:textId="7A3D3DC3" w:rsidR="00A15990" w:rsidRDefault="00686A62">
            <w:pPr>
              <w:pStyle w:val="P68B1DB1-Normal8"/>
              <w:spacing w:after="0" w:line="240" w:lineRule="auto"/>
              <w:jc w:val="center"/>
              <w:rPr>
                <w:rFonts w:eastAsia="Times New Roman" w:cs="Calibri"/>
                <w:noProof/>
              </w:rPr>
            </w:pPr>
            <w:r>
              <w:rPr>
                <w:noProof/>
              </w:rPr>
              <w:t>75</w:t>
            </w:r>
          </w:p>
        </w:tc>
        <w:tc>
          <w:tcPr>
            <w:tcW w:w="426" w:type="dxa"/>
            <w:shd w:val="clear" w:color="auto" w:fill="C4EFCE"/>
            <w:noWrap/>
            <w:vAlign w:val="center"/>
            <w:hideMark/>
          </w:tcPr>
          <w:p w14:paraId="34220EA9"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199941AA"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A0B7D8F" w14:textId="77777777" w:rsidR="00A15990" w:rsidRDefault="00686A62">
            <w:pPr>
              <w:pStyle w:val="P68B1DB1-Normal8"/>
              <w:spacing w:after="0" w:line="240" w:lineRule="auto"/>
              <w:jc w:val="both"/>
              <w:rPr>
                <w:rFonts w:eastAsia="Times New Roman" w:cs="Calibri"/>
                <w:noProof/>
              </w:rPr>
            </w:pPr>
            <w:r>
              <w:rPr>
                <w:noProof/>
              </w:rPr>
              <w:t xml:space="preserve">Numărul cartierelor de comerț digital din centrele urbane, suburbane sau rurale. Aceste investiții vizează conectivitatea și infrastructura digitală locală, în special instalarea (sau modernizarea) echipamentelor și instalațiilor existente de acces la internet Wi-fi pentru clienții din zonele comerciale. Aceasta acoperă, de asemenea, integrarea soluțiilor tehnologice pentru gestionarea livrării de colete și adoptarea mijloacelor electronice de plată pentru a digitaliza experiența consumatorilor, precum și modelul de afaceri al magazinelor. </w:t>
            </w:r>
          </w:p>
          <w:p w14:paraId="2778C930" w14:textId="5EE6DF25" w:rsidR="00A15990" w:rsidRDefault="00686A62">
            <w:pPr>
              <w:pStyle w:val="P68B1DB1-Normal8"/>
              <w:spacing w:after="0" w:line="240" w:lineRule="auto"/>
              <w:jc w:val="both"/>
              <w:rPr>
                <w:rFonts w:eastAsia="Times New Roman" w:cs="Calibri"/>
                <w:noProof/>
              </w:rPr>
            </w:pPr>
            <w:r>
              <w:rPr>
                <w:noProof/>
              </w:rPr>
              <w:t>Criteriile de selecție asigură respectarea Orientărilor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3DFAB9AF" w14:textId="77777777">
        <w:trPr>
          <w:trHeight w:val="840"/>
        </w:trPr>
        <w:tc>
          <w:tcPr>
            <w:tcW w:w="1135" w:type="dxa"/>
            <w:shd w:val="clear" w:color="auto" w:fill="C5EFCE"/>
            <w:vAlign w:val="center"/>
            <w:hideMark/>
          </w:tcPr>
          <w:p w14:paraId="0F8CC808" w14:textId="77777777" w:rsidR="00A15990" w:rsidRDefault="00686A62">
            <w:pPr>
              <w:pStyle w:val="P68B1DB1-Normal7"/>
              <w:spacing w:after="0" w:line="240" w:lineRule="auto"/>
              <w:jc w:val="center"/>
              <w:rPr>
                <w:rFonts w:eastAsia="Times New Roman" w:cs="Calibri"/>
                <w:noProof/>
              </w:rPr>
            </w:pPr>
            <w:r>
              <w:rPr>
                <w:noProof/>
              </w:rPr>
              <w:t>16.10</w:t>
            </w:r>
          </w:p>
        </w:tc>
        <w:tc>
          <w:tcPr>
            <w:tcW w:w="1276" w:type="dxa"/>
            <w:shd w:val="clear" w:color="auto" w:fill="C4EFCE"/>
            <w:noWrap/>
            <w:vAlign w:val="center"/>
            <w:hideMark/>
          </w:tcPr>
          <w:p w14:paraId="26E29367"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5D3DAE9B"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2260687F" w14:textId="77777777" w:rsidR="00A15990" w:rsidRDefault="00686A62">
            <w:pPr>
              <w:pStyle w:val="P68B1DB1-Normal8"/>
              <w:spacing w:after="0" w:line="240" w:lineRule="auto"/>
              <w:jc w:val="center"/>
              <w:rPr>
                <w:rFonts w:eastAsia="Times New Roman" w:cs="Calibri"/>
                <w:noProof/>
              </w:rPr>
            </w:pPr>
            <w:r>
              <w:rPr>
                <w:noProof/>
              </w:rPr>
              <w:t xml:space="preserve">IMM-uri sprijinite de acceleratori ai comerțului digital </w:t>
            </w:r>
          </w:p>
        </w:tc>
        <w:tc>
          <w:tcPr>
            <w:tcW w:w="1275" w:type="dxa"/>
            <w:shd w:val="clear" w:color="auto" w:fill="C4EFCE"/>
            <w:noWrap/>
            <w:vAlign w:val="center"/>
            <w:hideMark/>
          </w:tcPr>
          <w:p w14:paraId="67959119"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FEC586D"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59094076" w14:textId="1A775469" w:rsidR="00A15990" w:rsidRDefault="00686A62">
            <w:pPr>
              <w:pStyle w:val="P68B1DB1-Normal8"/>
              <w:spacing w:after="0" w:line="240" w:lineRule="auto"/>
              <w:jc w:val="center"/>
              <w:rPr>
                <w:rFonts w:eastAsia="Times New Roman" w:cs="Calibri"/>
                <w:noProof/>
              </w:rPr>
            </w:pPr>
            <w:r>
              <w:rPr>
                <w:noProof/>
              </w:rPr>
              <w:t>12 500</w:t>
            </w:r>
          </w:p>
        </w:tc>
        <w:tc>
          <w:tcPr>
            <w:tcW w:w="850" w:type="dxa"/>
            <w:shd w:val="clear" w:color="auto" w:fill="C4EFCE"/>
            <w:noWrap/>
            <w:vAlign w:val="center"/>
            <w:hideMark/>
          </w:tcPr>
          <w:p w14:paraId="52FADA3D" w14:textId="6EEE0035" w:rsidR="00A15990" w:rsidRDefault="00686A62">
            <w:pPr>
              <w:pStyle w:val="P68B1DB1-Normal8"/>
              <w:spacing w:after="0" w:line="240" w:lineRule="auto"/>
              <w:jc w:val="center"/>
              <w:rPr>
                <w:rFonts w:eastAsia="Times New Roman" w:cs="Calibri"/>
                <w:noProof/>
              </w:rPr>
            </w:pPr>
            <w:r>
              <w:rPr>
                <w:noProof/>
              </w:rPr>
              <w:t>25 000</w:t>
            </w:r>
          </w:p>
        </w:tc>
        <w:tc>
          <w:tcPr>
            <w:tcW w:w="426" w:type="dxa"/>
            <w:shd w:val="clear" w:color="auto" w:fill="C4EFCE"/>
            <w:noWrap/>
            <w:vAlign w:val="center"/>
            <w:hideMark/>
          </w:tcPr>
          <w:p w14:paraId="7C933B29"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37518E67" w14:textId="78F8B329"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3308F67E" w14:textId="77777777" w:rsidR="00A15990" w:rsidRDefault="00686A62">
            <w:pPr>
              <w:pStyle w:val="P68B1DB1-Normal8"/>
              <w:spacing w:after="0" w:line="240" w:lineRule="auto"/>
              <w:jc w:val="both"/>
              <w:rPr>
                <w:rFonts w:eastAsia="Times New Roman" w:cs="Calibri"/>
                <w:noProof/>
              </w:rPr>
            </w:pPr>
            <w:r>
              <w:rPr>
                <w:noProof/>
              </w:rPr>
              <w:t xml:space="preserve">Numărul de IMM-uri sprijinite prin crearea a 25 de acceleratoare locale, regionale sau sectoriale ale comerțului digital, precum și un sistem de stimulente financiare pentru digitalizarea modelelor de afaceri ale IMM-urilor. Sprijinul constă în evaluarea și diagnosticarea nivelului de digitalizare al IMM-urilor beneficiare, precum și în furnizarea de servicii și stimulente specifice pentru a spori gradul de adoptare a tehnologiilor digitale în modelul de afaceri al beneficiarilor. </w:t>
            </w:r>
          </w:p>
          <w:p w14:paraId="4ED0DEA8" w14:textId="4B2A5B9A" w:rsidR="00A15990" w:rsidRDefault="00686A62">
            <w:pPr>
              <w:pStyle w:val="P68B1DB1-Normal8"/>
              <w:spacing w:after="0" w:line="240" w:lineRule="auto"/>
              <w:jc w:val="both"/>
              <w:rPr>
                <w:rFonts w:eastAsia="Times New Roman" w:cs="Calibri"/>
                <w:noProof/>
              </w:rPr>
            </w:pPr>
            <w:r>
              <w:rPr>
                <w:noProof/>
              </w:rPr>
              <w:t>Criteriile de selecție asigură conformitatea cu Orientările tehnice de „a nu prejudicia în mod semnificativ” (2021/C58/01) ale tranzacțiilor sprijinite în cadrul acestei măsuri prin utilizarea evaluării durabilității, utilizarea unei liste de excludere și cerința de conformitate cu legislația UE și națională relevantă în materie de mediu.</w:t>
            </w:r>
          </w:p>
        </w:tc>
      </w:tr>
      <w:tr w:rsidR="00A15990" w14:paraId="2F71EA50" w14:textId="77777777">
        <w:trPr>
          <w:trHeight w:val="840"/>
        </w:trPr>
        <w:tc>
          <w:tcPr>
            <w:tcW w:w="1135" w:type="dxa"/>
            <w:shd w:val="clear" w:color="auto" w:fill="C5EFCE"/>
            <w:vAlign w:val="center"/>
            <w:hideMark/>
          </w:tcPr>
          <w:p w14:paraId="3D28E0B0" w14:textId="77777777" w:rsidR="00A15990" w:rsidRDefault="00686A62">
            <w:pPr>
              <w:pStyle w:val="P68B1DB1-Normal7"/>
              <w:spacing w:after="0" w:line="240" w:lineRule="auto"/>
              <w:jc w:val="center"/>
              <w:rPr>
                <w:rFonts w:eastAsia="Times New Roman" w:cs="Calibri"/>
                <w:noProof/>
              </w:rPr>
            </w:pPr>
            <w:r>
              <w:rPr>
                <w:noProof/>
              </w:rPr>
              <w:t>16.11</w:t>
            </w:r>
          </w:p>
        </w:tc>
        <w:tc>
          <w:tcPr>
            <w:tcW w:w="1276" w:type="dxa"/>
            <w:shd w:val="clear" w:color="auto" w:fill="C4EFCE"/>
            <w:noWrap/>
            <w:vAlign w:val="center"/>
            <w:hideMark/>
          </w:tcPr>
          <w:p w14:paraId="644097FA"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1D133C12"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5F447BF" w14:textId="77777777" w:rsidR="00A15990" w:rsidRDefault="00686A62">
            <w:pPr>
              <w:pStyle w:val="P68B1DB1-Normal8"/>
              <w:spacing w:after="0" w:line="240" w:lineRule="auto"/>
              <w:jc w:val="center"/>
              <w:rPr>
                <w:rFonts w:eastAsia="Times New Roman" w:cs="Calibri"/>
                <w:noProof/>
              </w:rPr>
            </w:pPr>
            <w:r>
              <w:rPr>
                <w:noProof/>
              </w:rPr>
              <w:t>IMM-urile și incubatoarele de întreprinderi nou-înființate sprijinite direct de programele de digitalizare</w:t>
            </w:r>
          </w:p>
        </w:tc>
        <w:tc>
          <w:tcPr>
            <w:tcW w:w="1275" w:type="dxa"/>
            <w:shd w:val="clear" w:color="auto" w:fill="C4EFCE"/>
            <w:noWrap/>
            <w:vAlign w:val="center"/>
            <w:hideMark/>
          </w:tcPr>
          <w:p w14:paraId="07712FA0"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C3CBA4F"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60C4307B"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84B8F8" w14:textId="3B8AD6B5" w:rsidR="00A15990" w:rsidRDefault="00686A62">
            <w:pPr>
              <w:pStyle w:val="P68B1DB1-Normal8"/>
              <w:spacing w:after="0" w:line="240" w:lineRule="auto"/>
              <w:jc w:val="center"/>
              <w:rPr>
                <w:rFonts w:eastAsia="Times New Roman" w:cs="Calibri"/>
                <w:noProof/>
              </w:rPr>
            </w:pPr>
            <w:r>
              <w:rPr>
                <w:noProof/>
              </w:rPr>
              <w:t>8 600</w:t>
            </w:r>
          </w:p>
        </w:tc>
        <w:tc>
          <w:tcPr>
            <w:tcW w:w="426" w:type="dxa"/>
            <w:shd w:val="clear" w:color="auto" w:fill="C4EFCE"/>
            <w:noWrap/>
            <w:vAlign w:val="center"/>
            <w:hideMark/>
          </w:tcPr>
          <w:p w14:paraId="3BB8FD93"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42E4D76E"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019B1A1" w14:textId="514E9783" w:rsidR="00A15990" w:rsidRDefault="00686A62">
            <w:pPr>
              <w:pStyle w:val="P68B1DB1-Normal8"/>
              <w:spacing w:after="0" w:line="240" w:lineRule="auto"/>
              <w:jc w:val="both"/>
              <w:rPr>
                <w:rFonts w:eastAsia="Times New Roman" w:cs="Calibri"/>
                <w:noProof/>
              </w:rPr>
            </w:pPr>
            <w:r>
              <w:rPr>
                <w:noProof/>
              </w:rPr>
              <w:t xml:space="preserve">Numărul de IMM-uri (8500) și incubatoare de afaceri nou-înființate (100) sprijinite de unul dintre următoarele programe: (1) internaționalizarea prin intermediul comerțului electronic; (2) îndrumare pentru 4.0 acțiuni de sprijinire a modelelor de afaceri pentru tranziția digitală; (3) cupoane valorice pentru întreprinderile nou-înființate pentru dezvoltarea de noi produse verzi și digitale; (4) bonuri valorice pentru incubatoarele și acceleratoarele de întreprinderi nou-înființate pentru dezvoltarea lor tehnologică. </w:t>
            </w:r>
          </w:p>
          <w:p w14:paraId="6029676F" w14:textId="7C82C703" w:rsidR="00A15990" w:rsidRDefault="00686A62">
            <w:pPr>
              <w:pStyle w:val="P68B1DB1-Normal8"/>
              <w:spacing w:after="0" w:line="240" w:lineRule="auto"/>
              <w:jc w:val="both"/>
              <w:rPr>
                <w:rFonts w:eastAsia="Times New Roman" w:cs="Calibri"/>
                <w:noProof/>
              </w:rPr>
            </w:pPr>
            <w:r>
              <w:rPr>
                <w:noProof/>
              </w:rPr>
              <w:t>Criteriile de selecție asigură respectarea Orientărilor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38A52C15" w14:textId="77777777">
        <w:trPr>
          <w:trHeight w:val="1643"/>
        </w:trPr>
        <w:tc>
          <w:tcPr>
            <w:tcW w:w="1135" w:type="dxa"/>
            <w:shd w:val="clear" w:color="auto" w:fill="C5EFCE"/>
            <w:vAlign w:val="center"/>
            <w:hideMark/>
          </w:tcPr>
          <w:p w14:paraId="4CAE8DE6" w14:textId="77777777" w:rsidR="00A15990" w:rsidRDefault="00686A62">
            <w:pPr>
              <w:pStyle w:val="P68B1DB1-Normal7"/>
              <w:spacing w:after="0" w:line="240" w:lineRule="auto"/>
              <w:jc w:val="center"/>
              <w:rPr>
                <w:rFonts w:eastAsia="Times New Roman" w:cs="Calibri"/>
                <w:noProof/>
              </w:rPr>
            </w:pPr>
            <w:r>
              <w:rPr>
                <w:noProof/>
              </w:rPr>
              <w:t>16.12</w:t>
            </w:r>
          </w:p>
        </w:tc>
        <w:tc>
          <w:tcPr>
            <w:tcW w:w="1276" w:type="dxa"/>
            <w:shd w:val="clear" w:color="auto" w:fill="C4EFCE"/>
            <w:noWrap/>
            <w:vAlign w:val="center"/>
            <w:hideMark/>
          </w:tcPr>
          <w:p w14:paraId="5F867C02" w14:textId="77777777" w:rsidR="00A15990" w:rsidRDefault="00686A62">
            <w:pPr>
              <w:pStyle w:val="P68B1DB1-Normal8"/>
              <w:spacing w:after="0" w:line="240" w:lineRule="auto"/>
              <w:jc w:val="center"/>
              <w:rPr>
                <w:rFonts w:eastAsia="Times New Roman" w:cs="Calibri"/>
                <w:noProof/>
              </w:rPr>
            </w:pPr>
            <w:r>
              <w:rPr>
                <w:noProof/>
              </w:rPr>
              <w:t>TD-C16-i02</w:t>
            </w:r>
          </w:p>
        </w:tc>
        <w:tc>
          <w:tcPr>
            <w:tcW w:w="1134" w:type="dxa"/>
            <w:shd w:val="clear" w:color="auto" w:fill="C4EFCE"/>
            <w:noWrap/>
            <w:vAlign w:val="center"/>
            <w:hideMark/>
          </w:tcPr>
          <w:p w14:paraId="45502F32"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02F5C2B" w14:textId="77777777" w:rsidR="00A15990" w:rsidRDefault="00686A62">
            <w:pPr>
              <w:pStyle w:val="P68B1DB1-Normal8"/>
              <w:spacing w:after="0" w:line="240" w:lineRule="auto"/>
              <w:jc w:val="center"/>
              <w:rPr>
                <w:rFonts w:eastAsia="Times New Roman" w:cs="Calibri"/>
                <w:noProof/>
              </w:rPr>
            </w:pPr>
            <w:r>
              <w:rPr>
                <w:noProof/>
              </w:rPr>
              <w:t>Startup-uri cartografiate pe platforma Startup Portugal</w:t>
            </w:r>
          </w:p>
        </w:tc>
        <w:tc>
          <w:tcPr>
            <w:tcW w:w="1275" w:type="dxa"/>
            <w:shd w:val="clear" w:color="auto" w:fill="C4EFCE"/>
            <w:noWrap/>
            <w:vAlign w:val="center"/>
            <w:hideMark/>
          </w:tcPr>
          <w:p w14:paraId="23EFB0A5"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D58674F"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0380127A"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3517E74" w14:textId="77777777" w:rsidR="00A15990" w:rsidRDefault="00686A62">
            <w:pPr>
              <w:pStyle w:val="P68B1DB1-Normal8"/>
              <w:spacing w:after="0" w:line="240" w:lineRule="auto"/>
              <w:jc w:val="center"/>
              <w:rPr>
                <w:rFonts w:eastAsia="Times New Roman" w:cs="Calibri"/>
                <w:noProof/>
              </w:rPr>
            </w:pPr>
            <w:r>
              <w:rPr>
                <w:noProof/>
              </w:rPr>
              <w:t>5 000</w:t>
            </w:r>
          </w:p>
        </w:tc>
        <w:tc>
          <w:tcPr>
            <w:tcW w:w="426" w:type="dxa"/>
            <w:shd w:val="clear" w:color="auto" w:fill="C4EFCE"/>
            <w:noWrap/>
            <w:vAlign w:val="center"/>
            <w:hideMark/>
          </w:tcPr>
          <w:p w14:paraId="486D0174"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18DDACC3"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B3984B8" w14:textId="77777777" w:rsidR="00A15990" w:rsidRDefault="00686A62">
            <w:pPr>
              <w:pStyle w:val="P68B1DB1-Normal8"/>
              <w:spacing w:after="0" w:line="240" w:lineRule="auto"/>
              <w:jc w:val="both"/>
              <w:rPr>
                <w:rFonts w:eastAsia="Times New Roman" w:cs="Calibri"/>
                <w:noProof/>
              </w:rPr>
            </w:pPr>
            <w:r>
              <w:rPr>
                <w:noProof/>
              </w:rPr>
              <w:t>Numărul de întreprinderi nou-înființate cartografiate prin identificarea principalelor lor caracteristici comerciale pe platforma Start-up Portugal. Noua platformă monitorizează ecosistemul întreprinderilor nou-înființate, în special, dar fără a se limita la acestea, întreprinderile digitale. Platforma este pusă la dispoziția întregului ecosistem (întreprinderi nou-înființate, investitori, acceleratori/incubatoare, entități publice).</w:t>
            </w:r>
          </w:p>
        </w:tc>
      </w:tr>
      <w:tr w:rsidR="00A15990" w14:paraId="7350D2DA" w14:textId="77777777">
        <w:trPr>
          <w:trHeight w:val="840"/>
        </w:trPr>
        <w:tc>
          <w:tcPr>
            <w:tcW w:w="1135" w:type="dxa"/>
            <w:shd w:val="clear" w:color="auto" w:fill="C5EFCE"/>
            <w:vAlign w:val="center"/>
            <w:hideMark/>
          </w:tcPr>
          <w:p w14:paraId="33990609" w14:textId="77777777" w:rsidR="00A15990" w:rsidRDefault="00686A62">
            <w:pPr>
              <w:pStyle w:val="P68B1DB1-Normal7"/>
              <w:spacing w:after="0" w:line="240" w:lineRule="auto"/>
              <w:jc w:val="center"/>
              <w:rPr>
                <w:rFonts w:eastAsia="Times New Roman" w:cs="Calibri"/>
                <w:noProof/>
              </w:rPr>
            </w:pPr>
            <w:r>
              <w:rPr>
                <w:noProof/>
              </w:rPr>
              <w:t>16.13</w:t>
            </w:r>
          </w:p>
        </w:tc>
        <w:tc>
          <w:tcPr>
            <w:tcW w:w="1276" w:type="dxa"/>
            <w:shd w:val="clear" w:color="auto" w:fill="C4EFCE"/>
            <w:noWrap/>
            <w:vAlign w:val="center"/>
            <w:hideMark/>
          </w:tcPr>
          <w:p w14:paraId="10894A09" w14:textId="77777777" w:rsidR="00A15990" w:rsidRDefault="00686A62">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7DE9E8AC"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190118A" w14:textId="77777777" w:rsidR="00A15990" w:rsidRDefault="00686A62">
            <w:pPr>
              <w:pStyle w:val="P68B1DB1-Normal8"/>
              <w:spacing w:after="0" w:line="240" w:lineRule="auto"/>
              <w:jc w:val="center"/>
              <w:rPr>
                <w:rFonts w:eastAsia="Times New Roman" w:cs="Calibri"/>
                <w:noProof/>
              </w:rPr>
            </w:pPr>
            <w:r>
              <w:rPr>
                <w:noProof/>
              </w:rPr>
              <w:t xml:space="preserve">Centre de inovare digitală (DIH) </w:t>
            </w:r>
          </w:p>
        </w:tc>
        <w:tc>
          <w:tcPr>
            <w:tcW w:w="1275" w:type="dxa"/>
            <w:shd w:val="clear" w:color="auto" w:fill="C4EFCE"/>
            <w:noWrap/>
            <w:vAlign w:val="center"/>
            <w:hideMark/>
          </w:tcPr>
          <w:p w14:paraId="5EFD82C5" w14:textId="77777777" w:rsidR="00A15990" w:rsidRDefault="00686A62">
            <w:pPr>
              <w:pStyle w:val="P68B1DB1-Normal9"/>
              <w:spacing w:after="0" w:line="240" w:lineRule="auto"/>
              <w:rPr>
                <w:rFonts w:eastAsia="Times New Roman" w:cs="Calibri"/>
                <w:noProof/>
              </w:rPr>
            </w:pPr>
            <w:r>
              <w:rPr>
                <w:noProof/>
              </w:rPr>
              <w:t> </w:t>
            </w:r>
          </w:p>
        </w:tc>
        <w:tc>
          <w:tcPr>
            <w:tcW w:w="993" w:type="dxa"/>
            <w:shd w:val="clear" w:color="auto" w:fill="C4EFCE"/>
            <w:noWrap/>
            <w:vAlign w:val="center"/>
            <w:hideMark/>
          </w:tcPr>
          <w:p w14:paraId="3E8E9CC7" w14:textId="77777777" w:rsidR="00A15990" w:rsidRDefault="00686A62">
            <w:pPr>
              <w:pStyle w:val="P68B1DB1-Normal8"/>
              <w:spacing w:after="0" w:line="240" w:lineRule="auto"/>
              <w:jc w:val="center"/>
              <w:rPr>
                <w:rFonts w:eastAsia="Times New Roman" w:cs="Calibri"/>
                <w:noProof/>
              </w:rPr>
            </w:pPr>
            <w:r>
              <w:rPr>
                <w:noProof/>
              </w:rPr>
              <w:t> Numărul</w:t>
            </w:r>
          </w:p>
        </w:tc>
        <w:tc>
          <w:tcPr>
            <w:tcW w:w="992" w:type="dxa"/>
            <w:shd w:val="clear" w:color="auto" w:fill="C4EFCE"/>
            <w:noWrap/>
            <w:vAlign w:val="center"/>
            <w:hideMark/>
          </w:tcPr>
          <w:p w14:paraId="002156A3" w14:textId="77777777" w:rsidR="00A15990" w:rsidRDefault="00686A62">
            <w:pPr>
              <w:pStyle w:val="P68B1DB1-Normal8"/>
              <w:spacing w:after="0" w:line="240" w:lineRule="auto"/>
              <w:jc w:val="center"/>
              <w:rPr>
                <w:rFonts w:eastAsia="Times New Roman" w:cs="Calibri"/>
                <w:noProof/>
              </w:rPr>
            </w:pPr>
            <w:r>
              <w:rPr>
                <w:noProof/>
              </w:rPr>
              <w:t>0 </w:t>
            </w:r>
          </w:p>
        </w:tc>
        <w:tc>
          <w:tcPr>
            <w:tcW w:w="850" w:type="dxa"/>
            <w:shd w:val="clear" w:color="auto" w:fill="C4EFCE"/>
            <w:noWrap/>
            <w:vAlign w:val="center"/>
            <w:hideMark/>
          </w:tcPr>
          <w:p w14:paraId="1A05649D" w14:textId="77777777" w:rsidR="00A15990" w:rsidRDefault="00686A62">
            <w:pPr>
              <w:pStyle w:val="P68B1DB1-Normal8"/>
              <w:spacing w:after="0" w:line="240" w:lineRule="auto"/>
              <w:jc w:val="center"/>
              <w:rPr>
                <w:rFonts w:eastAsia="Times New Roman" w:cs="Calibri"/>
                <w:noProof/>
              </w:rPr>
            </w:pPr>
            <w:r>
              <w:rPr>
                <w:noProof/>
              </w:rPr>
              <w:t>16 </w:t>
            </w:r>
          </w:p>
        </w:tc>
        <w:tc>
          <w:tcPr>
            <w:tcW w:w="426" w:type="dxa"/>
            <w:shd w:val="clear" w:color="auto" w:fill="C4EFCE"/>
            <w:noWrap/>
            <w:vAlign w:val="center"/>
            <w:hideMark/>
          </w:tcPr>
          <w:p w14:paraId="5BF193C2"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DBE4E93"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hideMark/>
          </w:tcPr>
          <w:p w14:paraId="4DEDE547" w14:textId="77777777" w:rsidR="00A15990" w:rsidRDefault="00686A62">
            <w:pPr>
              <w:pStyle w:val="P68B1DB1-Normal8"/>
              <w:spacing w:after="0" w:line="240" w:lineRule="auto"/>
              <w:jc w:val="both"/>
              <w:rPr>
                <w:rFonts w:eastAsia="Times New Roman" w:cs="Calibri"/>
                <w:noProof/>
              </w:rPr>
            </w:pPr>
            <w:r>
              <w:rPr>
                <w:noProof/>
              </w:rPr>
              <w:t xml:space="preserve">Numărul de consorții de centre de inovare digitală selectate prin aprobarea ofertelor. Crearea fiecărui centru de inovare digitală implică ulterior înființarea unui incubator/accelerator pentru a promova ecosistemul antreprenorial asociat sectoarelor acoperite de centru. Aceste investiții consolidează și completează rețeaua aflată deja în curs de dezvoltare în cadrul programului Europa digitală. </w:t>
            </w:r>
          </w:p>
          <w:p w14:paraId="68D94C4B" w14:textId="6D8CCEFE" w:rsidR="00A15990" w:rsidRDefault="00686A62">
            <w:pPr>
              <w:pStyle w:val="P68B1DB1-Normal8"/>
              <w:spacing w:after="0" w:line="240" w:lineRule="auto"/>
              <w:jc w:val="both"/>
              <w:rPr>
                <w:rFonts w:eastAsia="Times New Roman" w:cs="Calibri"/>
                <w:noProof/>
              </w:rPr>
            </w:pPr>
            <w:r>
              <w:rPr>
                <w:noProof/>
              </w:rPr>
              <w:t>Criteriile de selecție asigură respectarea Orientărilor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79AB1DD3" w14:textId="77777777">
        <w:trPr>
          <w:trHeight w:val="1260"/>
        </w:trPr>
        <w:tc>
          <w:tcPr>
            <w:tcW w:w="1135" w:type="dxa"/>
            <w:shd w:val="clear" w:color="auto" w:fill="C5EFCE"/>
            <w:vAlign w:val="center"/>
            <w:hideMark/>
          </w:tcPr>
          <w:p w14:paraId="5646FF40" w14:textId="77777777" w:rsidR="00A15990" w:rsidRDefault="00686A62">
            <w:pPr>
              <w:pStyle w:val="P68B1DB1-Normal7"/>
              <w:spacing w:after="0" w:line="240" w:lineRule="auto"/>
              <w:jc w:val="center"/>
              <w:rPr>
                <w:rFonts w:eastAsia="Times New Roman" w:cs="Calibri"/>
                <w:noProof/>
              </w:rPr>
            </w:pPr>
            <w:r>
              <w:rPr>
                <w:noProof/>
              </w:rPr>
              <w:t>16.14</w:t>
            </w:r>
          </w:p>
        </w:tc>
        <w:tc>
          <w:tcPr>
            <w:tcW w:w="1276" w:type="dxa"/>
            <w:shd w:val="clear" w:color="auto" w:fill="C4EFCE"/>
            <w:noWrap/>
            <w:vAlign w:val="center"/>
            <w:hideMark/>
          </w:tcPr>
          <w:p w14:paraId="7CBB2F82" w14:textId="77777777" w:rsidR="00A15990" w:rsidRDefault="00686A62">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341A98B2"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B60B1E9" w14:textId="4F175647" w:rsidR="00A15990" w:rsidRDefault="00686A62">
            <w:pPr>
              <w:pStyle w:val="P68B1DB1-Normal8"/>
              <w:spacing w:after="0" w:line="240" w:lineRule="auto"/>
              <w:jc w:val="center"/>
              <w:rPr>
                <w:rFonts w:eastAsia="Times New Roman" w:cs="Calibri"/>
                <w:noProof/>
              </w:rPr>
            </w:pPr>
            <w:r>
              <w:rPr>
                <w:noProof/>
              </w:rPr>
              <w:t>Crearea de servicii pentru trimiterea facturilor digitale și certificarea în materie de securitate cibernetică, confidențialitate, utilizare și durabilitate</w:t>
            </w:r>
          </w:p>
        </w:tc>
        <w:tc>
          <w:tcPr>
            <w:tcW w:w="1275" w:type="dxa"/>
            <w:shd w:val="clear" w:color="auto" w:fill="C4EFCE"/>
            <w:noWrap/>
            <w:vAlign w:val="center"/>
            <w:hideMark/>
          </w:tcPr>
          <w:p w14:paraId="47964243" w14:textId="23D0FDDC" w:rsidR="00A15990" w:rsidRDefault="00686A62">
            <w:pPr>
              <w:pStyle w:val="P68B1DB1-Normal8"/>
              <w:spacing w:after="0" w:line="240" w:lineRule="auto"/>
              <w:jc w:val="center"/>
              <w:rPr>
                <w:rFonts w:eastAsia="Times New Roman" w:cs="Calibri"/>
                <w:noProof/>
              </w:rPr>
            </w:pPr>
            <w:r>
              <w:rPr>
                <w:noProof/>
              </w:rPr>
              <w:t>Crearea de servicii pentru trimiterea facturilor digitale și certificarea în materie de securitate cibernetică, confidențialitate, utilizare și durabilitate</w:t>
            </w:r>
          </w:p>
        </w:tc>
        <w:tc>
          <w:tcPr>
            <w:tcW w:w="993" w:type="dxa"/>
            <w:shd w:val="clear" w:color="auto" w:fill="C4EFCE"/>
            <w:noWrap/>
            <w:vAlign w:val="center"/>
            <w:hideMark/>
          </w:tcPr>
          <w:p w14:paraId="6A78DFAD"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A29D9CC" w14:textId="77777777" w:rsidR="00A15990" w:rsidRDefault="00686A62">
            <w:pPr>
              <w:pStyle w:val="P68B1DB1-Normal8"/>
              <w:spacing w:after="0" w:line="240" w:lineRule="auto"/>
              <w:jc w:val="center"/>
              <w:rPr>
                <w:rFonts w:eastAsia="Times New Roman" w:cs="Calibri"/>
                <w:noProof/>
              </w:rPr>
            </w:pPr>
            <w:r>
              <w:rPr>
                <w:noProof/>
              </w:rPr>
              <w:t> </w:t>
            </w:r>
          </w:p>
        </w:tc>
        <w:tc>
          <w:tcPr>
            <w:tcW w:w="850" w:type="dxa"/>
            <w:shd w:val="clear" w:color="auto" w:fill="C4EFCE"/>
            <w:noWrap/>
            <w:vAlign w:val="center"/>
            <w:hideMark/>
          </w:tcPr>
          <w:p w14:paraId="72953ACD" w14:textId="77777777" w:rsidR="00A15990" w:rsidRDefault="00686A62">
            <w:pPr>
              <w:pStyle w:val="P68B1DB1-Normal8"/>
              <w:spacing w:after="0" w:line="240" w:lineRule="auto"/>
              <w:jc w:val="center"/>
              <w:rPr>
                <w:rFonts w:eastAsia="Times New Roman" w:cs="Calibri"/>
                <w:noProof/>
              </w:rPr>
            </w:pPr>
            <w:r>
              <w:rPr>
                <w:noProof/>
              </w:rPr>
              <w:t> </w:t>
            </w:r>
          </w:p>
        </w:tc>
        <w:tc>
          <w:tcPr>
            <w:tcW w:w="426" w:type="dxa"/>
            <w:shd w:val="clear" w:color="auto" w:fill="C4EFCE"/>
            <w:noWrap/>
            <w:vAlign w:val="center"/>
            <w:hideMark/>
          </w:tcPr>
          <w:p w14:paraId="61FDC68D"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FB707A1" w14:textId="4D55CBE4" w:rsidR="00A15990" w:rsidRDefault="00686A62">
            <w:pPr>
              <w:pStyle w:val="P68B1DB1-Normal8"/>
              <w:spacing w:after="0" w:line="240" w:lineRule="auto"/>
              <w:jc w:val="center"/>
              <w:rPr>
                <w:rFonts w:eastAsia="Times New Roman" w:cs="Calibri"/>
                <w:noProof/>
              </w:rPr>
            </w:pPr>
            <w:r>
              <w:rPr>
                <w:noProof/>
              </w:rPr>
              <w:t>2023</w:t>
            </w:r>
          </w:p>
        </w:tc>
        <w:tc>
          <w:tcPr>
            <w:tcW w:w="3969" w:type="dxa"/>
            <w:shd w:val="clear" w:color="auto" w:fill="C4EFCE"/>
            <w:vAlign w:val="center"/>
            <w:hideMark/>
          </w:tcPr>
          <w:p w14:paraId="47407F89" w14:textId="556CFAD8" w:rsidR="00A15990" w:rsidRDefault="00686A62">
            <w:pPr>
              <w:pStyle w:val="P68B1DB1-Normal8"/>
              <w:spacing w:after="0" w:line="240" w:lineRule="auto"/>
              <w:jc w:val="both"/>
              <w:rPr>
                <w:rFonts w:eastAsia="Times New Roman" w:cs="Calibri"/>
                <w:noProof/>
              </w:rPr>
            </w:pPr>
            <w:r>
              <w:rPr>
                <w:noProof/>
              </w:rPr>
              <w:t xml:space="preserve">Se înființează cinci noi servicii pentru: 1) trimiterea facturilor digitale; și 2) certificarea de securitate cibernetică, 3) certificarea protecției vieții private, 4) certificarea capacității de utilizare și 5) certificarea durabilității; inclusiv campaniile de diseminare conexe privind toate serviciile. Serviciile de certificare sprijină cererile și depunerea cererilor de certificare, gestionarea proceselor, eliberarea și arhiva centralizată a certificatelor și sigiliilor eliberate. Serviciile de certificare sprijină, de asemenea, comunicarea între toți partenerii și entitățile implicate în procese, precum și generarea de date procedurale relevante pentru monitorizarea programului. </w:t>
            </w:r>
          </w:p>
          <w:p w14:paraId="0BACA7B9" w14:textId="50E00C55" w:rsidR="00A15990" w:rsidRDefault="00686A62">
            <w:pPr>
              <w:pStyle w:val="P68B1DB1-Normal8"/>
              <w:spacing w:after="0" w:line="240" w:lineRule="auto"/>
              <w:jc w:val="both"/>
              <w:rPr>
                <w:rFonts w:eastAsia="Times New Roman" w:cs="Calibri"/>
                <w:noProof/>
              </w:rPr>
            </w:pPr>
            <w:r>
              <w:rPr>
                <w:noProof/>
              </w:rPr>
              <w:t>Serviciile trebuie să fie operaționale și accesibile utilizatorilor vizați.</w:t>
            </w:r>
          </w:p>
        </w:tc>
      </w:tr>
      <w:tr w:rsidR="00A15990" w14:paraId="6CC3F169" w14:textId="77777777">
        <w:trPr>
          <w:trHeight w:val="420"/>
        </w:trPr>
        <w:tc>
          <w:tcPr>
            <w:tcW w:w="1135" w:type="dxa"/>
            <w:shd w:val="clear" w:color="auto" w:fill="C5EFCE"/>
            <w:vAlign w:val="center"/>
            <w:hideMark/>
          </w:tcPr>
          <w:p w14:paraId="1DB80902" w14:textId="77777777" w:rsidR="00A15990" w:rsidRDefault="00686A62">
            <w:pPr>
              <w:pStyle w:val="P68B1DB1-Normal7"/>
              <w:spacing w:after="0" w:line="240" w:lineRule="auto"/>
              <w:jc w:val="center"/>
              <w:rPr>
                <w:rFonts w:eastAsia="Times New Roman" w:cs="Calibri"/>
                <w:noProof/>
              </w:rPr>
            </w:pPr>
            <w:r>
              <w:rPr>
                <w:noProof/>
              </w:rPr>
              <w:t>16.15</w:t>
            </w:r>
          </w:p>
        </w:tc>
        <w:tc>
          <w:tcPr>
            <w:tcW w:w="1276" w:type="dxa"/>
            <w:shd w:val="clear" w:color="auto" w:fill="C4EFCE"/>
            <w:noWrap/>
            <w:vAlign w:val="center"/>
            <w:hideMark/>
          </w:tcPr>
          <w:p w14:paraId="383E4833" w14:textId="77777777" w:rsidR="00A15990" w:rsidRDefault="00686A62">
            <w:pPr>
              <w:pStyle w:val="P68B1DB1-Normal8"/>
              <w:spacing w:after="0" w:line="240" w:lineRule="auto"/>
              <w:jc w:val="center"/>
              <w:rPr>
                <w:rFonts w:eastAsia="Times New Roman" w:cs="Calibri"/>
                <w:noProof/>
              </w:rPr>
            </w:pPr>
            <w:r>
              <w:rPr>
                <w:noProof/>
              </w:rPr>
              <w:t>TD-C16-i03</w:t>
            </w:r>
          </w:p>
        </w:tc>
        <w:tc>
          <w:tcPr>
            <w:tcW w:w="1134" w:type="dxa"/>
            <w:shd w:val="clear" w:color="auto" w:fill="C4EFCE"/>
            <w:noWrap/>
            <w:vAlign w:val="center"/>
            <w:hideMark/>
          </w:tcPr>
          <w:p w14:paraId="4864A864"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89CD254" w14:textId="77777777" w:rsidR="00A15990" w:rsidRDefault="00686A62">
            <w:pPr>
              <w:pStyle w:val="P68B1DB1-Normal8"/>
              <w:spacing w:after="0" w:line="240" w:lineRule="auto"/>
              <w:jc w:val="center"/>
              <w:rPr>
                <w:rFonts w:eastAsia="Times New Roman" w:cs="Calibri"/>
                <w:noProof/>
              </w:rPr>
            </w:pPr>
            <w:r>
              <w:rPr>
                <w:noProof/>
              </w:rPr>
              <w:t xml:space="preserve">Beneficiarii serviciilor de consultanță ale centrelor de inovare digitală </w:t>
            </w:r>
          </w:p>
        </w:tc>
        <w:tc>
          <w:tcPr>
            <w:tcW w:w="1275" w:type="dxa"/>
            <w:shd w:val="clear" w:color="auto" w:fill="C4EFCE"/>
            <w:noWrap/>
            <w:vAlign w:val="center"/>
            <w:hideMark/>
          </w:tcPr>
          <w:p w14:paraId="133DBDBB"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A460E9"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3726AA67" w14:textId="77777777" w:rsidR="00A15990" w:rsidRDefault="00686A62">
            <w:pPr>
              <w:pStyle w:val="P68B1DB1-Normal8"/>
              <w:spacing w:after="0" w:line="240" w:lineRule="auto"/>
              <w:jc w:val="center"/>
              <w:rPr>
                <w:rFonts w:eastAsia="Times New Roman" w:cs="Calibri"/>
                <w:noProof/>
              </w:rPr>
            </w:pPr>
            <w:r>
              <w:rPr>
                <w:noProof/>
              </w:rPr>
              <w:t>0</w:t>
            </w:r>
          </w:p>
        </w:tc>
        <w:tc>
          <w:tcPr>
            <w:tcW w:w="850" w:type="dxa"/>
            <w:shd w:val="clear" w:color="auto" w:fill="C4EFCE"/>
            <w:noWrap/>
            <w:vAlign w:val="center"/>
            <w:hideMark/>
          </w:tcPr>
          <w:p w14:paraId="61641080" w14:textId="77777777" w:rsidR="00A15990" w:rsidRDefault="00686A62">
            <w:pPr>
              <w:pStyle w:val="P68B1DB1-Normal8"/>
              <w:spacing w:after="0" w:line="240" w:lineRule="auto"/>
              <w:jc w:val="center"/>
              <w:rPr>
                <w:rFonts w:eastAsia="Times New Roman" w:cs="Calibri"/>
                <w:noProof/>
              </w:rPr>
            </w:pPr>
            <w:r>
              <w:rPr>
                <w:noProof/>
              </w:rPr>
              <w:t>4 000</w:t>
            </w:r>
          </w:p>
        </w:tc>
        <w:tc>
          <w:tcPr>
            <w:tcW w:w="426" w:type="dxa"/>
            <w:shd w:val="clear" w:color="auto" w:fill="C4EFCE"/>
            <w:noWrap/>
            <w:vAlign w:val="center"/>
            <w:hideMark/>
          </w:tcPr>
          <w:p w14:paraId="56D9EB98" w14:textId="7777777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hideMark/>
          </w:tcPr>
          <w:p w14:paraId="0130120B"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1636AA94" w14:textId="0B784B8C" w:rsidR="00A15990" w:rsidRDefault="00686A62">
            <w:pPr>
              <w:pStyle w:val="P68B1DB1-Normal8"/>
              <w:spacing w:after="0" w:line="240" w:lineRule="auto"/>
              <w:jc w:val="both"/>
              <w:rPr>
                <w:rFonts w:eastAsia="Times New Roman" w:cs="Calibri"/>
                <w:noProof/>
              </w:rPr>
            </w:pPr>
            <w:r>
              <w:rPr>
                <w:noProof/>
              </w:rPr>
              <w:t xml:space="preserve">Numărul de întreprinderi și entități publice care au beneficiat de servicii de consultanță din partea rețelei de centre de inovare digitală pentru a îmbunătăți cunoștințele și procesele de producție prin automatizare sau încorporarea de tehnologii disruptive. </w:t>
            </w:r>
          </w:p>
          <w:p w14:paraId="5AE72FC4" w14:textId="77777777" w:rsidR="00A15990" w:rsidRDefault="00A15990">
            <w:pPr>
              <w:spacing w:after="0" w:line="240" w:lineRule="auto"/>
              <w:jc w:val="both"/>
              <w:rPr>
                <w:rFonts w:ascii="Calibri" w:eastAsia="Times New Roman" w:hAnsi="Calibri" w:cs="Calibri"/>
                <w:noProof/>
                <w:sz w:val="16"/>
              </w:rPr>
            </w:pPr>
          </w:p>
          <w:p w14:paraId="2C30F216" w14:textId="36F5FEA4" w:rsidR="00A15990" w:rsidRDefault="00686A62">
            <w:pPr>
              <w:pStyle w:val="P68B1DB1-Normal8"/>
              <w:spacing w:after="0" w:line="240" w:lineRule="auto"/>
              <w:jc w:val="both"/>
              <w:rPr>
                <w:rFonts w:eastAsia="Times New Roman" w:cs="Calibri"/>
                <w:noProof/>
              </w:rPr>
            </w:pPr>
            <w:r>
              <w:rPr>
                <w:noProof/>
              </w:rPr>
              <w:t>Criteriile de selecție asigură respectarea Orientărilor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4304841E" w14:textId="77777777">
        <w:trPr>
          <w:trHeight w:val="420"/>
        </w:trPr>
        <w:tc>
          <w:tcPr>
            <w:tcW w:w="1135" w:type="dxa"/>
            <w:shd w:val="clear" w:color="auto" w:fill="C5EFCE"/>
            <w:vAlign w:val="center"/>
          </w:tcPr>
          <w:p w14:paraId="539E2D22" w14:textId="3A085AAA" w:rsidR="00A15990" w:rsidRDefault="00686A62">
            <w:pPr>
              <w:pStyle w:val="P68B1DB1-Normal11"/>
              <w:spacing w:after="0" w:line="240" w:lineRule="auto"/>
              <w:jc w:val="center"/>
              <w:rPr>
                <w:rFonts w:eastAsia="Times New Roman"/>
                <w:noProof/>
              </w:rPr>
            </w:pPr>
            <w:r>
              <w:rPr>
                <w:noProof/>
              </w:rPr>
              <w:t>16.16</w:t>
            </w:r>
          </w:p>
        </w:tc>
        <w:tc>
          <w:tcPr>
            <w:tcW w:w="1276" w:type="dxa"/>
            <w:shd w:val="clear" w:color="auto" w:fill="C4EFCE"/>
            <w:noWrap/>
            <w:vAlign w:val="center"/>
          </w:tcPr>
          <w:p w14:paraId="763655D4" w14:textId="6D8AFDF4" w:rsidR="00A15990" w:rsidRDefault="00686A62">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1D87961C" w14:textId="083D5D73" w:rsidR="00A15990" w:rsidRDefault="00686A62">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75967FD1" w14:textId="3536B628" w:rsidR="00A15990" w:rsidRDefault="00686A62">
            <w:pPr>
              <w:pStyle w:val="P68B1DB1-Normal12"/>
              <w:spacing w:after="0" w:line="240" w:lineRule="auto"/>
              <w:jc w:val="center"/>
              <w:rPr>
                <w:rFonts w:eastAsia="Times New Roman"/>
                <w:noProof/>
              </w:rPr>
            </w:pPr>
            <w:r>
              <w:rPr>
                <w:noProof/>
              </w:rPr>
              <w:t>Selectarea proiectelor din cadrul Industriei 4.0</w:t>
            </w:r>
          </w:p>
        </w:tc>
        <w:tc>
          <w:tcPr>
            <w:tcW w:w="1275" w:type="dxa"/>
            <w:shd w:val="clear" w:color="auto" w:fill="C4EFCE"/>
            <w:noWrap/>
            <w:vAlign w:val="center"/>
          </w:tcPr>
          <w:p w14:paraId="29B2785A" w14:textId="77777777" w:rsidR="00A15990" w:rsidRDefault="00A15990">
            <w:pPr>
              <w:spacing w:after="0" w:line="240" w:lineRule="auto"/>
              <w:jc w:val="center"/>
              <w:rPr>
                <w:rFonts w:eastAsia="Times New Roman"/>
                <w:noProof/>
                <w:sz w:val="16"/>
              </w:rPr>
            </w:pPr>
          </w:p>
        </w:tc>
        <w:tc>
          <w:tcPr>
            <w:tcW w:w="993" w:type="dxa"/>
            <w:shd w:val="clear" w:color="auto" w:fill="C4EFCE"/>
            <w:noWrap/>
            <w:vAlign w:val="center"/>
          </w:tcPr>
          <w:p w14:paraId="3EBFDF40" w14:textId="0EF6EAE9" w:rsidR="00A15990" w:rsidRDefault="00686A62">
            <w:pPr>
              <w:pStyle w:val="P68B1DB1-Normal12"/>
              <w:spacing w:after="0" w:line="240" w:lineRule="auto"/>
              <w:jc w:val="center"/>
              <w:rPr>
                <w:rFonts w:eastAsia="Times New Roman"/>
                <w:noProof/>
              </w:rPr>
            </w:pPr>
            <w:r>
              <w:rPr>
                <w:noProof/>
              </w:rPr>
              <w:t>Numărul</w:t>
            </w:r>
          </w:p>
        </w:tc>
        <w:tc>
          <w:tcPr>
            <w:tcW w:w="992" w:type="dxa"/>
            <w:shd w:val="clear" w:color="auto" w:fill="C4EFCE"/>
            <w:noWrap/>
            <w:vAlign w:val="center"/>
          </w:tcPr>
          <w:p w14:paraId="61E469D2" w14:textId="319E9FF9" w:rsidR="00A15990" w:rsidRDefault="00686A62">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12BC99BF" w14:textId="2D6BD732" w:rsidR="00A15990" w:rsidRDefault="00686A62">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686302E9" w14:textId="1D2B546F" w:rsidR="00A15990" w:rsidRDefault="00686A62">
            <w:pPr>
              <w:pStyle w:val="P68B1DB1-Normal12"/>
              <w:spacing w:after="0" w:line="240" w:lineRule="auto"/>
              <w:jc w:val="center"/>
              <w:rPr>
                <w:rFonts w:eastAsia="Times New Roman"/>
                <w:noProof/>
              </w:rPr>
            </w:pPr>
            <w:r>
              <w:rPr>
                <w:noProof/>
              </w:rPr>
              <w:t>TRIMESTRUL 4</w:t>
            </w:r>
          </w:p>
        </w:tc>
        <w:tc>
          <w:tcPr>
            <w:tcW w:w="708" w:type="dxa"/>
            <w:shd w:val="clear" w:color="auto" w:fill="C4EFCE"/>
            <w:noWrap/>
            <w:vAlign w:val="center"/>
          </w:tcPr>
          <w:p w14:paraId="39738C45" w14:textId="2252F3CD" w:rsidR="00A15990" w:rsidRDefault="00686A62">
            <w:pPr>
              <w:pStyle w:val="P68B1DB1-Normal12"/>
              <w:spacing w:after="0" w:line="240" w:lineRule="auto"/>
              <w:jc w:val="center"/>
              <w:rPr>
                <w:rFonts w:eastAsia="Times New Roman"/>
                <w:noProof/>
              </w:rPr>
            </w:pPr>
            <w:r>
              <w:rPr>
                <w:noProof/>
              </w:rPr>
              <w:t>2023</w:t>
            </w:r>
          </w:p>
        </w:tc>
        <w:tc>
          <w:tcPr>
            <w:tcW w:w="3969" w:type="dxa"/>
            <w:shd w:val="clear" w:color="auto" w:fill="C4EFCE"/>
            <w:vAlign w:val="center"/>
          </w:tcPr>
          <w:p w14:paraId="635FD244" w14:textId="3B0DF872" w:rsidR="00A15990" w:rsidRDefault="00686A62">
            <w:pPr>
              <w:pStyle w:val="P68B1DB1-Bodytext1013"/>
              <w:spacing w:after="0" w:line="240" w:lineRule="auto"/>
              <w:rPr>
                <w:rFonts w:cstheme="minorBidi"/>
                <w:noProof/>
              </w:rPr>
            </w:pPr>
            <w:r>
              <w:rPr>
                <w:noProof/>
              </w:rPr>
              <w:t>Trebuie selectate 200 proiecte din cadrul industriei 4.0. Proiectele respectă tipologia acțiunilor descrise în descrierea măsurii.</w:t>
            </w:r>
          </w:p>
          <w:p w14:paraId="20D914ED" w14:textId="5E511421" w:rsidR="00A15990" w:rsidRDefault="00686A62">
            <w:pPr>
              <w:pStyle w:val="P68B1DB1-Normal12"/>
              <w:spacing w:after="0" w:line="240" w:lineRule="auto"/>
              <w:jc w:val="both"/>
              <w:rPr>
                <w:rFonts w:eastAsia="Times New Roman"/>
                <w:noProof/>
              </w:rPr>
            </w:pPr>
            <w:r>
              <w:rPr>
                <w:noProof/>
              </w:rPr>
              <w:t>Criteriile de selecție asigură conformitatea tranzacțiilor sprijinite în cadrul acestei măsuri cu Orientările tehnice de „a nu prejudicia în mod semnificativ” (2021/C58/01) prin utilizarea unei liste de excludere, astfel cum se specifică în descrierea măsurii și în cerința de conformitate cu legislația UE și națională relevantă în materie de mediu.</w:t>
            </w:r>
          </w:p>
        </w:tc>
      </w:tr>
      <w:tr w:rsidR="00A15990" w14:paraId="46C66D80" w14:textId="77777777">
        <w:trPr>
          <w:trHeight w:val="420"/>
        </w:trPr>
        <w:tc>
          <w:tcPr>
            <w:tcW w:w="1135" w:type="dxa"/>
            <w:shd w:val="clear" w:color="auto" w:fill="C5EFCE"/>
            <w:vAlign w:val="center"/>
          </w:tcPr>
          <w:p w14:paraId="26F66ABE" w14:textId="545B5AF7" w:rsidR="00A15990" w:rsidRDefault="00686A62">
            <w:pPr>
              <w:pStyle w:val="P68B1DB1-Normal11"/>
              <w:spacing w:after="0" w:line="240" w:lineRule="auto"/>
              <w:jc w:val="center"/>
              <w:rPr>
                <w:rFonts w:eastAsia="Times New Roman"/>
                <w:noProof/>
              </w:rPr>
            </w:pPr>
            <w:r>
              <w:rPr>
                <w:noProof/>
              </w:rPr>
              <w:t>16.17</w:t>
            </w:r>
          </w:p>
        </w:tc>
        <w:tc>
          <w:tcPr>
            <w:tcW w:w="1276" w:type="dxa"/>
            <w:shd w:val="clear" w:color="auto" w:fill="C4EFCE"/>
            <w:noWrap/>
            <w:vAlign w:val="center"/>
          </w:tcPr>
          <w:p w14:paraId="5669B910" w14:textId="4FBD872D" w:rsidR="00A15990" w:rsidRDefault="00686A62">
            <w:pPr>
              <w:pStyle w:val="P68B1DB1-Normal12"/>
              <w:spacing w:after="0" w:line="240" w:lineRule="auto"/>
              <w:jc w:val="center"/>
              <w:rPr>
                <w:rFonts w:eastAsia="Times New Roman"/>
                <w:noProof/>
              </w:rPr>
            </w:pPr>
            <w:r>
              <w:rPr>
                <w:noProof/>
              </w:rPr>
              <w:t>TD-C16-i04</w:t>
            </w:r>
          </w:p>
        </w:tc>
        <w:tc>
          <w:tcPr>
            <w:tcW w:w="1134" w:type="dxa"/>
            <w:shd w:val="clear" w:color="auto" w:fill="C4EFCE"/>
            <w:noWrap/>
            <w:vAlign w:val="center"/>
          </w:tcPr>
          <w:p w14:paraId="30ED83F0" w14:textId="34F7B432" w:rsidR="00A15990" w:rsidRDefault="00686A62">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EB61F6" w14:textId="1577C572" w:rsidR="00A15990" w:rsidRDefault="00686A62">
            <w:pPr>
              <w:pStyle w:val="P68B1DB1-Bodytext1013"/>
              <w:rPr>
                <w:rFonts w:cstheme="minorBidi"/>
                <w:noProof/>
              </w:rPr>
            </w:pPr>
            <w:r>
              <w:rPr>
                <w:noProof/>
              </w:rPr>
              <w:t>Finalizarea proiectelor din cadrul Industriei 4.0</w:t>
            </w:r>
          </w:p>
        </w:tc>
        <w:tc>
          <w:tcPr>
            <w:tcW w:w="1275" w:type="dxa"/>
            <w:shd w:val="clear" w:color="auto" w:fill="C4EFCE"/>
            <w:noWrap/>
            <w:vAlign w:val="center"/>
          </w:tcPr>
          <w:p w14:paraId="3B19D0B1" w14:textId="77777777" w:rsidR="00A15990" w:rsidRDefault="00A15990">
            <w:pPr>
              <w:spacing w:after="0" w:line="240" w:lineRule="auto"/>
              <w:jc w:val="center"/>
              <w:rPr>
                <w:rFonts w:eastAsia="Times New Roman"/>
                <w:noProof/>
                <w:sz w:val="16"/>
              </w:rPr>
            </w:pPr>
          </w:p>
        </w:tc>
        <w:tc>
          <w:tcPr>
            <w:tcW w:w="993" w:type="dxa"/>
            <w:shd w:val="clear" w:color="auto" w:fill="C4EFCE"/>
            <w:noWrap/>
            <w:vAlign w:val="center"/>
          </w:tcPr>
          <w:p w14:paraId="6867E439" w14:textId="38FE02BE" w:rsidR="00A15990" w:rsidRDefault="00686A62">
            <w:pPr>
              <w:pStyle w:val="P68B1DB1-Normal12"/>
              <w:spacing w:after="0" w:line="240" w:lineRule="auto"/>
              <w:jc w:val="center"/>
              <w:rPr>
                <w:rFonts w:eastAsia="Times New Roman"/>
                <w:noProof/>
              </w:rPr>
            </w:pPr>
            <w:r>
              <w:rPr>
                <w:noProof/>
              </w:rPr>
              <w:t>Numărul</w:t>
            </w:r>
          </w:p>
        </w:tc>
        <w:tc>
          <w:tcPr>
            <w:tcW w:w="992" w:type="dxa"/>
            <w:shd w:val="clear" w:color="auto" w:fill="C4EFCE"/>
            <w:noWrap/>
            <w:vAlign w:val="center"/>
          </w:tcPr>
          <w:p w14:paraId="74AB5B4F" w14:textId="03BC0992" w:rsidR="00A15990" w:rsidRDefault="00686A62">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6CDAE886" w14:textId="5FC7D1A5" w:rsidR="00A15990" w:rsidRDefault="00686A62">
            <w:pPr>
              <w:pStyle w:val="P68B1DB1-Normal12"/>
              <w:spacing w:after="0" w:line="240" w:lineRule="auto"/>
              <w:jc w:val="center"/>
              <w:rPr>
                <w:rFonts w:eastAsia="Times New Roman"/>
                <w:noProof/>
              </w:rPr>
            </w:pPr>
            <w:r>
              <w:rPr>
                <w:noProof/>
              </w:rPr>
              <w:t>200</w:t>
            </w:r>
          </w:p>
        </w:tc>
        <w:tc>
          <w:tcPr>
            <w:tcW w:w="426" w:type="dxa"/>
            <w:shd w:val="clear" w:color="auto" w:fill="C4EFCE"/>
            <w:noWrap/>
            <w:vAlign w:val="center"/>
          </w:tcPr>
          <w:p w14:paraId="25173C37" w14:textId="0FC29C35" w:rsidR="00A15990" w:rsidRDefault="00686A62">
            <w:pPr>
              <w:pStyle w:val="P68B1DB1-Normal12"/>
              <w:spacing w:after="0" w:line="240" w:lineRule="auto"/>
              <w:jc w:val="center"/>
              <w:rPr>
                <w:rFonts w:eastAsia="Times New Roman"/>
                <w:noProof/>
              </w:rPr>
            </w:pPr>
            <w:r>
              <w:rPr>
                <w:noProof/>
              </w:rPr>
              <w:t>TRIMESTRUL 4</w:t>
            </w:r>
          </w:p>
        </w:tc>
        <w:tc>
          <w:tcPr>
            <w:tcW w:w="708" w:type="dxa"/>
            <w:shd w:val="clear" w:color="auto" w:fill="C4EFCE"/>
            <w:noWrap/>
            <w:vAlign w:val="center"/>
          </w:tcPr>
          <w:p w14:paraId="076DD43D" w14:textId="37EF5AFF" w:rsidR="00A15990" w:rsidRDefault="00686A62">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1B73DBDD" w14:textId="54C9FED3" w:rsidR="00A15990" w:rsidRDefault="00686A62">
            <w:pPr>
              <w:pStyle w:val="P68B1DB1-Bodytext1013"/>
              <w:spacing w:after="0" w:line="240" w:lineRule="auto"/>
              <w:jc w:val="both"/>
              <w:rPr>
                <w:rFonts w:cstheme="minorBidi"/>
                <w:noProof/>
              </w:rPr>
            </w:pPr>
            <w:r>
              <w:rPr>
                <w:noProof/>
              </w:rPr>
              <w:t>200 proiecte Industria 4.0 trebuie finalizate. Proiectele respectă tipologia acțiunilor descrise în descrierea măsurii.</w:t>
            </w:r>
          </w:p>
        </w:tc>
      </w:tr>
      <w:tr w:rsidR="00A15990" w14:paraId="69BB9BE5" w14:textId="77777777">
        <w:trPr>
          <w:trHeight w:val="420"/>
        </w:trPr>
        <w:tc>
          <w:tcPr>
            <w:tcW w:w="1135" w:type="dxa"/>
            <w:shd w:val="clear" w:color="auto" w:fill="C5EFCE"/>
            <w:vAlign w:val="center"/>
          </w:tcPr>
          <w:p w14:paraId="4E63D694" w14:textId="76E3D32E" w:rsidR="00A15990" w:rsidRDefault="00686A62">
            <w:pPr>
              <w:pStyle w:val="P68B1DB1-Normal11"/>
              <w:spacing w:after="0" w:line="240" w:lineRule="auto"/>
              <w:jc w:val="center"/>
              <w:rPr>
                <w:rFonts w:eastAsia="Times New Roman"/>
                <w:noProof/>
              </w:rPr>
            </w:pPr>
            <w:r>
              <w:rPr>
                <w:noProof/>
              </w:rPr>
              <w:t>16.18</w:t>
            </w:r>
          </w:p>
        </w:tc>
        <w:tc>
          <w:tcPr>
            <w:tcW w:w="1276" w:type="dxa"/>
            <w:shd w:val="clear" w:color="auto" w:fill="C4EFCE"/>
            <w:noWrap/>
            <w:vAlign w:val="center"/>
          </w:tcPr>
          <w:p w14:paraId="672BD7BC" w14:textId="1D2975A9" w:rsidR="00A15990" w:rsidRDefault="00686A62">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8003DB0" w14:textId="5A93A83D" w:rsidR="00A15990" w:rsidRDefault="00686A62">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5C4B3C1D" w14:textId="1FCEFD83" w:rsidR="00A15990" w:rsidRDefault="00686A62">
            <w:pPr>
              <w:pStyle w:val="P68B1DB1-Normal12"/>
              <w:spacing w:after="0" w:line="240" w:lineRule="auto"/>
              <w:jc w:val="center"/>
              <w:rPr>
                <w:noProof/>
              </w:rPr>
            </w:pPr>
            <w:r>
              <w:rPr>
                <w:noProof/>
              </w:rPr>
              <w:t>Numărul de proiecte finalizate în cadrul Sistemului de stimulare a tranziției digitale a întreprinderilor</w:t>
            </w:r>
          </w:p>
        </w:tc>
        <w:tc>
          <w:tcPr>
            <w:tcW w:w="1275" w:type="dxa"/>
            <w:shd w:val="clear" w:color="auto" w:fill="C4EFCE"/>
            <w:noWrap/>
            <w:vAlign w:val="center"/>
          </w:tcPr>
          <w:p w14:paraId="4D4E00B2" w14:textId="77777777" w:rsidR="00A15990" w:rsidRDefault="00A15990">
            <w:pPr>
              <w:spacing w:after="0" w:line="240" w:lineRule="auto"/>
              <w:jc w:val="center"/>
              <w:rPr>
                <w:noProof/>
                <w:sz w:val="16"/>
              </w:rPr>
            </w:pPr>
          </w:p>
        </w:tc>
        <w:tc>
          <w:tcPr>
            <w:tcW w:w="993" w:type="dxa"/>
            <w:shd w:val="clear" w:color="auto" w:fill="C4EFCE"/>
            <w:noWrap/>
            <w:vAlign w:val="center"/>
          </w:tcPr>
          <w:p w14:paraId="447D968A" w14:textId="302D8EBB" w:rsidR="00A15990" w:rsidRDefault="00686A62">
            <w:pPr>
              <w:pStyle w:val="P68B1DB1-Normal12"/>
              <w:spacing w:after="0" w:line="240" w:lineRule="auto"/>
              <w:jc w:val="center"/>
              <w:rPr>
                <w:rFonts w:eastAsia="Times New Roman"/>
                <w:noProof/>
              </w:rPr>
            </w:pPr>
            <w:r>
              <w:rPr>
                <w:noProof/>
              </w:rPr>
              <w:t>Numărul</w:t>
            </w:r>
          </w:p>
        </w:tc>
        <w:tc>
          <w:tcPr>
            <w:tcW w:w="992" w:type="dxa"/>
            <w:shd w:val="clear" w:color="auto" w:fill="C4EFCE"/>
            <w:noWrap/>
            <w:vAlign w:val="center"/>
          </w:tcPr>
          <w:p w14:paraId="2104F8DD" w14:textId="5EC972A0" w:rsidR="00A15990" w:rsidRDefault="00686A62">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56CBE9C3" w14:textId="713F4408" w:rsidR="00A15990" w:rsidRDefault="00686A62">
            <w:pPr>
              <w:pStyle w:val="P68B1DB1-Normal12"/>
              <w:spacing w:after="0" w:line="240" w:lineRule="auto"/>
              <w:jc w:val="center"/>
              <w:rPr>
                <w:rFonts w:eastAsia="Times New Roman"/>
                <w:noProof/>
              </w:rPr>
            </w:pPr>
            <w:r>
              <w:rPr>
                <w:noProof/>
              </w:rPr>
              <w:t>350</w:t>
            </w:r>
          </w:p>
        </w:tc>
        <w:tc>
          <w:tcPr>
            <w:tcW w:w="426" w:type="dxa"/>
            <w:shd w:val="clear" w:color="auto" w:fill="C4EFCE"/>
            <w:noWrap/>
            <w:vAlign w:val="center"/>
          </w:tcPr>
          <w:p w14:paraId="67D3AF82" w14:textId="2B6F454B" w:rsidR="00A15990" w:rsidRDefault="00686A62">
            <w:pPr>
              <w:pStyle w:val="P68B1DB1-Normal12"/>
              <w:spacing w:after="0" w:line="240" w:lineRule="auto"/>
              <w:jc w:val="center"/>
              <w:rPr>
                <w:rFonts w:eastAsia="Times New Roman"/>
                <w:noProof/>
              </w:rPr>
            </w:pPr>
            <w:r>
              <w:rPr>
                <w:noProof/>
              </w:rPr>
              <w:t>TRIMESTRUL 2</w:t>
            </w:r>
          </w:p>
        </w:tc>
        <w:tc>
          <w:tcPr>
            <w:tcW w:w="708" w:type="dxa"/>
            <w:shd w:val="clear" w:color="auto" w:fill="C4EFCE"/>
            <w:noWrap/>
            <w:vAlign w:val="center"/>
          </w:tcPr>
          <w:p w14:paraId="3F010DFB" w14:textId="14DE7404" w:rsidR="00A15990" w:rsidRDefault="00686A62">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26822469" w14:textId="3E45E6E1" w:rsidR="00A15990" w:rsidRDefault="00686A62">
            <w:pPr>
              <w:pStyle w:val="P68B1DB1-Bodytext1013"/>
              <w:spacing w:after="0" w:line="240" w:lineRule="auto"/>
              <w:jc w:val="both"/>
              <w:rPr>
                <w:rFonts w:cstheme="minorBidi"/>
                <w:noProof/>
              </w:rPr>
            </w:pPr>
            <w:r>
              <w:rPr>
                <w:noProof/>
              </w:rPr>
              <w:t>350 proiecte vor fi finalizate în cadrul Sistemului de stimulare a tranziției digitale a întreprinderilor. Proiectele trebuie să respecte tipologia acțiunilor descrise la linia de acțiune 1, linia de acțiune 2 sau linia de acțiune 3 în descrierea măsurii.</w:t>
            </w:r>
          </w:p>
        </w:tc>
      </w:tr>
      <w:tr w:rsidR="00A15990" w14:paraId="2E682C8F" w14:textId="77777777">
        <w:trPr>
          <w:trHeight w:val="420"/>
        </w:trPr>
        <w:tc>
          <w:tcPr>
            <w:tcW w:w="1135" w:type="dxa"/>
            <w:shd w:val="clear" w:color="auto" w:fill="C5EFCE"/>
            <w:vAlign w:val="center"/>
          </w:tcPr>
          <w:p w14:paraId="380A2F8F" w14:textId="66F3324C" w:rsidR="00A15990" w:rsidRDefault="00686A62">
            <w:pPr>
              <w:pStyle w:val="P68B1DB1-Normal11"/>
              <w:spacing w:after="0" w:line="240" w:lineRule="auto"/>
              <w:jc w:val="center"/>
              <w:rPr>
                <w:rFonts w:eastAsia="Times New Roman"/>
                <w:noProof/>
              </w:rPr>
            </w:pPr>
            <w:r>
              <w:rPr>
                <w:noProof/>
              </w:rPr>
              <w:t>16.19</w:t>
            </w:r>
          </w:p>
        </w:tc>
        <w:tc>
          <w:tcPr>
            <w:tcW w:w="1276" w:type="dxa"/>
            <w:shd w:val="clear" w:color="auto" w:fill="C4EFCE"/>
            <w:noWrap/>
            <w:vAlign w:val="center"/>
          </w:tcPr>
          <w:p w14:paraId="79CF44D5" w14:textId="1ADD6940" w:rsidR="00A15990" w:rsidRDefault="00686A62">
            <w:pPr>
              <w:pStyle w:val="P68B1DB1-Normal12"/>
              <w:spacing w:after="0" w:line="240" w:lineRule="auto"/>
              <w:jc w:val="center"/>
              <w:rPr>
                <w:rFonts w:eastAsia="Times New Roman"/>
                <w:noProof/>
              </w:rPr>
            </w:pPr>
            <w:r>
              <w:rPr>
                <w:noProof/>
              </w:rPr>
              <w:t>TD-C16-i05-RAA</w:t>
            </w:r>
          </w:p>
        </w:tc>
        <w:tc>
          <w:tcPr>
            <w:tcW w:w="1134" w:type="dxa"/>
            <w:shd w:val="clear" w:color="auto" w:fill="C4EFCE"/>
            <w:noWrap/>
            <w:vAlign w:val="center"/>
          </w:tcPr>
          <w:p w14:paraId="1F908EF3" w14:textId="2500FFAF" w:rsidR="00A15990" w:rsidRDefault="00686A62">
            <w:pPr>
              <w:pStyle w:val="P68B1DB1-Normal12"/>
              <w:spacing w:after="0" w:line="240" w:lineRule="auto"/>
              <w:jc w:val="center"/>
              <w:rPr>
                <w:rFonts w:eastAsia="Times New Roman"/>
                <w:noProof/>
              </w:rPr>
            </w:pPr>
            <w:r>
              <w:rPr>
                <w:noProof/>
              </w:rPr>
              <w:t>M</w:t>
            </w:r>
          </w:p>
        </w:tc>
        <w:tc>
          <w:tcPr>
            <w:tcW w:w="1701" w:type="dxa"/>
            <w:shd w:val="clear" w:color="auto" w:fill="C4EFCE"/>
            <w:noWrap/>
            <w:vAlign w:val="center"/>
          </w:tcPr>
          <w:p w14:paraId="07C8C597" w14:textId="27719A8B" w:rsidR="00A15990" w:rsidRDefault="00686A62">
            <w:pPr>
              <w:pStyle w:val="P68B1DB1-Normal12"/>
              <w:spacing w:after="0" w:line="240" w:lineRule="auto"/>
              <w:jc w:val="center"/>
              <w:rPr>
                <w:rFonts w:eastAsia="Times New Roman"/>
                <w:noProof/>
              </w:rPr>
            </w:pPr>
            <w:r>
              <w:rPr>
                <w:noProof/>
              </w:rPr>
              <w:t>Parcuri științifice și tehnologice extinse sau echipate</w:t>
            </w:r>
          </w:p>
        </w:tc>
        <w:tc>
          <w:tcPr>
            <w:tcW w:w="1275" w:type="dxa"/>
            <w:shd w:val="clear" w:color="auto" w:fill="C4EFCE"/>
            <w:noWrap/>
            <w:vAlign w:val="center"/>
          </w:tcPr>
          <w:p w14:paraId="3C50E602" w14:textId="4C429DB6" w:rsidR="00A15990" w:rsidRDefault="00686A62">
            <w:pPr>
              <w:pStyle w:val="P68B1DB1-Normal12"/>
              <w:spacing w:after="0" w:line="240" w:lineRule="auto"/>
              <w:jc w:val="center"/>
              <w:rPr>
                <w:rFonts w:eastAsia="Times New Roman"/>
                <w:noProof/>
              </w:rPr>
            </w:pPr>
            <w:r>
              <w:rPr>
                <w:noProof/>
              </w:rPr>
              <w:t>Infrastructură de rețea și informatică instalată și clădire construită</w:t>
            </w:r>
          </w:p>
        </w:tc>
        <w:tc>
          <w:tcPr>
            <w:tcW w:w="993" w:type="dxa"/>
            <w:shd w:val="clear" w:color="auto" w:fill="C4EFCE"/>
            <w:noWrap/>
            <w:vAlign w:val="center"/>
          </w:tcPr>
          <w:p w14:paraId="06949E64" w14:textId="379E29AD" w:rsidR="00A15990" w:rsidRDefault="00A15990">
            <w:pPr>
              <w:spacing w:after="0" w:line="240" w:lineRule="auto"/>
              <w:jc w:val="center"/>
              <w:rPr>
                <w:noProof/>
                <w:sz w:val="16"/>
              </w:rPr>
            </w:pPr>
          </w:p>
        </w:tc>
        <w:tc>
          <w:tcPr>
            <w:tcW w:w="992" w:type="dxa"/>
            <w:shd w:val="clear" w:color="auto" w:fill="C4EFCE"/>
            <w:noWrap/>
            <w:vAlign w:val="center"/>
          </w:tcPr>
          <w:p w14:paraId="0E8D16A2" w14:textId="6A47AB65" w:rsidR="00A15990" w:rsidRDefault="00A15990">
            <w:pPr>
              <w:spacing w:after="0" w:line="240" w:lineRule="auto"/>
              <w:jc w:val="center"/>
              <w:rPr>
                <w:noProof/>
                <w:sz w:val="16"/>
              </w:rPr>
            </w:pPr>
          </w:p>
        </w:tc>
        <w:tc>
          <w:tcPr>
            <w:tcW w:w="850" w:type="dxa"/>
            <w:shd w:val="clear" w:color="auto" w:fill="C4EFCE"/>
            <w:noWrap/>
            <w:vAlign w:val="center"/>
          </w:tcPr>
          <w:p w14:paraId="55A9F016" w14:textId="3D8C3522" w:rsidR="00A15990" w:rsidRDefault="00A15990">
            <w:pPr>
              <w:spacing w:after="0" w:line="240" w:lineRule="auto"/>
              <w:jc w:val="center"/>
              <w:rPr>
                <w:noProof/>
                <w:sz w:val="16"/>
              </w:rPr>
            </w:pPr>
          </w:p>
        </w:tc>
        <w:tc>
          <w:tcPr>
            <w:tcW w:w="426" w:type="dxa"/>
            <w:shd w:val="clear" w:color="auto" w:fill="C4EFCE"/>
            <w:noWrap/>
            <w:vAlign w:val="center"/>
          </w:tcPr>
          <w:p w14:paraId="736C4E69" w14:textId="0EFE5CFF" w:rsidR="00A15990" w:rsidRDefault="00686A62">
            <w:pPr>
              <w:pStyle w:val="P68B1DB1-Normal12"/>
              <w:spacing w:after="0" w:line="240" w:lineRule="auto"/>
              <w:jc w:val="center"/>
              <w:rPr>
                <w:rFonts w:eastAsia="Times New Roman"/>
                <w:noProof/>
              </w:rPr>
            </w:pPr>
            <w:r>
              <w:rPr>
                <w:noProof/>
              </w:rPr>
              <w:t>TRIMESTRUL 2</w:t>
            </w:r>
          </w:p>
        </w:tc>
        <w:tc>
          <w:tcPr>
            <w:tcW w:w="708" w:type="dxa"/>
            <w:shd w:val="clear" w:color="auto" w:fill="C4EFCE"/>
            <w:noWrap/>
            <w:vAlign w:val="center"/>
          </w:tcPr>
          <w:p w14:paraId="1D090ADB" w14:textId="4F4266E5" w:rsidR="00A15990" w:rsidRDefault="00686A62">
            <w:pPr>
              <w:pStyle w:val="P68B1DB1-Normal12"/>
              <w:spacing w:after="0" w:line="240" w:lineRule="auto"/>
              <w:jc w:val="center"/>
              <w:rPr>
                <w:rFonts w:eastAsia="Times New Roman"/>
                <w:noProof/>
              </w:rPr>
            </w:pPr>
            <w:r>
              <w:rPr>
                <w:noProof/>
              </w:rPr>
              <w:t>2026</w:t>
            </w:r>
          </w:p>
        </w:tc>
        <w:tc>
          <w:tcPr>
            <w:tcW w:w="3969" w:type="dxa"/>
            <w:shd w:val="clear" w:color="auto" w:fill="C4EFCE"/>
          </w:tcPr>
          <w:p w14:paraId="7EF23F02" w14:textId="5B5C41B8" w:rsidR="00A15990" w:rsidRDefault="00686A62">
            <w:pPr>
              <w:pStyle w:val="P68B1DB1-Normal12"/>
              <w:spacing w:after="0" w:line="240" w:lineRule="auto"/>
              <w:jc w:val="both"/>
              <w:rPr>
                <w:rFonts w:eastAsia="Times New Roman"/>
                <w:noProof/>
              </w:rPr>
            </w:pPr>
            <w:r>
              <w:rPr>
                <w:noProof/>
              </w:rPr>
              <w:t>În parcul științific și tehnologic Nonangon se instalează noi active de rețea și de infrastructură informatică (hardware) și se construiește o nouă clădire eficientă din punct de vedere energetic, de aproximativ 878 de metri pătrați, în parcul științific și tehnologic Terinov. Clădirile noi trebuie să aibă o cerere de energie primară cu cel puțin 20 % sub cerințele clădirilor al căror consum de energie este aproape egal cu zero. Renovările vizând eficiența energetică realizează, în medie, cel puțin o renovare de amploare medie, astfel cum este definită în Recomandarea Comisiei privind renovarea clădirilor (UE) 2019/786.</w:t>
            </w:r>
          </w:p>
        </w:tc>
      </w:tr>
      <w:tr w:rsidR="00A15990" w14:paraId="1BB3C3E0" w14:textId="77777777">
        <w:trPr>
          <w:trHeight w:val="420"/>
        </w:trPr>
        <w:tc>
          <w:tcPr>
            <w:tcW w:w="1135" w:type="dxa"/>
            <w:shd w:val="clear" w:color="auto" w:fill="C5EFCE"/>
            <w:vAlign w:val="center"/>
          </w:tcPr>
          <w:p w14:paraId="6422BF72" w14:textId="48224803" w:rsidR="00A15990" w:rsidRDefault="00686A62">
            <w:pPr>
              <w:pStyle w:val="P68B1DB1-Normal11"/>
              <w:spacing w:after="0" w:line="240" w:lineRule="auto"/>
              <w:jc w:val="center"/>
              <w:rPr>
                <w:rFonts w:eastAsia="Times New Roman"/>
                <w:noProof/>
              </w:rPr>
            </w:pPr>
            <w:r>
              <w:rPr>
                <w:noProof/>
              </w:rPr>
              <w:t>16.20</w:t>
            </w:r>
          </w:p>
        </w:tc>
        <w:tc>
          <w:tcPr>
            <w:tcW w:w="1276" w:type="dxa"/>
            <w:shd w:val="clear" w:color="auto" w:fill="C4EFCE"/>
            <w:noWrap/>
            <w:vAlign w:val="center"/>
          </w:tcPr>
          <w:p w14:paraId="241755ED" w14:textId="663183C3" w:rsidR="00A15990" w:rsidRDefault="00686A62">
            <w:pPr>
              <w:pStyle w:val="P68B1DB1-Normal12"/>
              <w:spacing w:after="0" w:line="240" w:lineRule="auto"/>
              <w:jc w:val="center"/>
              <w:rPr>
                <w:rFonts w:eastAsia="Times New Roman"/>
                <w:noProof/>
              </w:rPr>
            </w:pPr>
            <w:r>
              <w:rPr>
                <w:noProof/>
              </w:rPr>
              <w:t>TD-C16-i06-RAM</w:t>
            </w:r>
          </w:p>
        </w:tc>
        <w:tc>
          <w:tcPr>
            <w:tcW w:w="1134" w:type="dxa"/>
            <w:shd w:val="clear" w:color="auto" w:fill="C4EFCE"/>
            <w:noWrap/>
            <w:vAlign w:val="center"/>
          </w:tcPr>
          <w:p w14:paraId="2E4832F3" w14:textId="1498C687" w:rsidR="00A15990" w:rsidRDefault="00686A62">
            <w:pPr>
              <w:pStyle w:val="P68B1DB1-Normal12"/>
              <w:spacing w:after="0" w:line="240" w:lineRule="auto"/>
              <w:jc w:val="center"/>
              <w:rPr>
                <w:rFonts w:eastAsia="Times New Roman"/>
                <w:noProof/>
              </w:rPr>
            </w:pPr>
            <w:r>
              <w:rPr>
                <w:noProof/>
              </w:rPr>
              <w:t>T</w:t>
            </w:r>
          </w:p>
        </w:tc>
        <w:tc>
          <w:tcPr>
            <w:tcW w:w="1701" w:type="dxa"/>
            <w:shd w:val="clear" w:color="auto" w:fill="C4EFCE"/>
            <w:noWrap/>
            <w:vAlign w:val="center"/>
          </w:tcPr>
          <w:p w14:paraId="22D7638E" w14:textId="1AB722F4" w:rsidR="00A15990" w:rsidRDefault="00686A62">
            <w:pPr>
              <w:pStyle w:val="P68B1DB1-Normal12"/>
              <w:spacing w:after="0" w:line="240" w:lineRule="auto"/>
              <w:jc w:val="center"/>
              <w:rPr>
                <w:rFonts w:eastAsia="Times New Roman"/>
                <w:noProof/>
              </w:rPr>
            </w:pPr>
            <w:r>
              <w:rPr>
                <w:noProof/>
              </w:rPr>
              <w:t>Întreprinderea 4.0</w:t>
            </w:r>
          </w:p>
        </w:tc>
        <w:tc>
          <w:tcPr>
            <w:tcW w:w="1275" w:type="dxa"/>
            <w:shd w:val="clear" w:color="auto" w:fill="C4EFCE"/>
            <w:noWrap/>
            <w:vAlign w:val="center"/>
          </w:tcPr>
          <w:p w14:paraId="3C12F8CE" w14:textId="77777777" w:rsidR="00A15990" w:rsidRDefault="00A15990">
            <w:pPr>
              <w:spacing w:after="0" w:line="240" w:lineRule="auto"/>
              <w:jc w:val="center"/>
              <w:rPr>
                <w:rFonts w:eastAsia="Times New Roman"/>
                <w:noProof/>
                <w:sz w:val="16"/>
              </w:rPr>
            </w:pPr>
          </w:p>
        </w:tc>
        <w:tc>
          <w:tcPr>
            <w:tcW w:w="993" w:type="dxa"/>
            <w:shd w:val="clear" w:color="auto" w:fill="C4EFCE"/>
            <w:noWrap/>
            <w:vAlign w:val="center"/>
          </w:tcPr>
          <w:p w14:paraId="3EDFD5D8" w14:textId="0DAE7C66" w:rsidR="00A15990" w:rsidRDefault="00686A62">
            <w:pPr>
              <w:pStyle w:val="P68B1DB1-Normal12"/>
              <w:spacing w:after="0" w:line="240" w:lineRule="auto"/>
              <w:jc w:val="center"/>
              <w:rPr>
                <w:rFonts w:eastAsia="Times New Roman"/>
                <w:noProof/>
              </w:rPr>
            </w:pPr>
            <w:r>
              <w:rPr>
                <w:noProof/>
              </w:rPr>
              <w:t>Numărul</w:t>
            </w:r>
          </w:p>
        </w:tc>
        <w:tc>
          <w:tcPr>
            <w:tcW w:w="992" w:type="dxa"/>
            <w:shd w:val="clear" w:color="auto" w:fill="C4EFCE"/>
            <w:noWrap/>
            <w:vAlign w:val="center"/>
          </w:tcPr>
          <w:p w14:paraId="2C1BA599" w14:textId="79E71A0F" w:rsidR="00A15990" w:rsidRDefault="00686A62">
            <w:pPr>
              <w:pStyle w:val="P68B1DB1-Normal12"/>
              <w:spacing w:after="0" w:line="240" w:lineRule="auto"/>
              <w:jc w:val="center"/>
              <w:rPr>
                <w:rFonts w:eastAsia="Times New Roman"/>
                <w:noProof/>
              </w:rPr>
            </w:pPr>
            <w:r>
              <w:rPr>
                <w:noProof/>
              </w:rPr>
              <w:t>0</w:t>
            </w:r>
          </w:p>
        </w:tc>
        <w:tc>
          <w:tcPr>
            <w:tcW w:w="850" w:type="dxa"/>
            <w:shd w:val="clear" w:color="auto" w:fill="C4EFCE"/>
            <w:noWrap/>
            <w:vAlign w:val="center"/>
          </w:tcPr>
          <w:p w14:paraId="3BACA82A" w14:textId="31DFBCD1" w:rsidR="00A15990" w:rsidRDefault="00686A62">
            <w:pPr>
              <w:pStyle w:val="P68B1DB1-Normal12"/>
              <w:spacing w:after="0" w:line="240" w:lineRule="auto"/>
              <w:jc w:val="center"/>
              <w:rPr>
                <w:rFonts w:eastAsia="Times New Roman"/>
                <w:noProof/>
              </w:rPr>
            </w:pPr>
            <w:r>
              <w:rPr>
                <w:noProof/>
              </w:rPr>
              <w:t>300</w:t>
            </w:r>
          </w:p>
        </w:tc>
        <w:tc>
          <w:tcPr>
            <w:tcW w:w="426" w:type="dxa"/>
            <w:shd w:val="clear" w:color="auto" w:fill="C4EFCE"/>
            <w:noWrap/>
            <w:vAlign w:val="center"/>
          </w:tcPr>
          <w:p w14:paraId="69BC14F8" w14:textId="02E6162D" w:rsidR="00A15990" w:rsidRDefault="00686A62">
            <w:pPr>
              <w:pStyle w:val="P68B1DB1-Normal12"/>
              <w:spacing w:after="0" w:line="240" w:lineRule="auto"/>
              <w:jc w:val="center"/>
              <w:rPr>
                <w:rFonts w:eastAsia="Times New Roman"/>
                <w:noProof/>
              </w:rPr>
            </w:pPr>
            <w:r>
              <w:rPr>
                <w:noProof/>
              </w:rPr>
              <w:t>TRIMESTRUL 4</w:t>
            </w:r>
          </w:p>
        </w:tc>
        <w:tc>
          <w:tcPr>
            <w:tcW w:w="708" w:type="dxa"/>
            <w:shd w:val="clear" w:color="auto" w:fill="C4EFCE"/>
            <w:noWrap/>
            <w:vAlign w:val="center"/>
          </w:tcPr>
          <w:p w14:paraId="6F7D5365" w14:textId="2233F5B5" w:rsidR="00A15990" w:rsidRDefault="00686A62">
            <w:pPr>
              <w:pStyle w:val="P68B1DB1-Normal12"/>
              <w:spacing w:after="0" w:line="240" w:lineRule="auto"/>
              <w:jc w:val="center"/>
              <w:rPr>
                <w:rFonts w:eastAsia="Times New Roman"/>
                <w:noProof/>
              </w:rPr>
            </w:pPr>
            <w:r>
              <w:rPr>
                <w:noProof/>
              </w:rPr>
              <w:t>2025</w:t>
            </w:r>
          </w:p>
        </w:tc>
        <w:tc>
          <w:tcPr>
            <w:tcW w:w="3969" w:type="dxa"/>
            <w:shd w:val="clear" w:color="auto" w:fill="C4EFCE"/>
            <w:vAlign w:val="center"/>
          </w:tcPr>
          <w:p w14:paraId="20DC7735" w14:textId="02E207D5" w:rsidR="00A15990" w:rsidRDefault="00686A62">
            <w:pPr>
              <w:pStyle w:val="P68B1DB1-Bodytext1013"/>
              <w:spacing w:after="0" w:line="240" w:lineRule="auto"/>
              <w:rPr>
                <w:rFonts w:cstheme="minorBidi"/>
                <w:noProof/>
              </w:rPr>
            </w:pPr>
            <w:r>
              <w:rPr>
                <w:noProof/>
              </w:rPr>
              <w:t>Trebuie finalizate 300 de proiecte de digitalizare pentru IMM-uri. Proiectele constau în dezvoltarea sau achiziționarea de active corporale sau necorporale direct legate de investițiile în tranziția digitală.</w:t>
            </w:r>
          </w:p>
          <w:p w14:paraId="35F539B6" w14:textId="02E207D5" w:rsidR="00A15990" w:rsidRDefault="00686A62">
            <w:pPr>
              <w:pStyle w:val="P68B1DB1-Normal12"/>
              <w:spacing w:after="0" w:line="240" w:lineRule="auto"/>
              <w:jc w:val="both"/>
              <w:rPr>
                <w:rFonts w:eastAsia="Times New Roman"/>
                <w:noProof/>
              </w:rPr>
            </w:pPr>
            <w:r>
              <w:rPr>
                <w:noProof/>
              </w:rPr>
              <w:t>Criteriile de selecție asigură conformitatea tranzacțiilor sprijinite în cadrul acestei măsuri cu Orientările tehnice de „a nu prejudicia în mod semnificativ” (2021/C58/01) prin utilizarea unei liste de excludere, astfel cum se specifică în descrierea măsurii și în cerința de conformitate cu legislația UE și națională relevantă în materie de mediu.</w:t>
            </w:r>
          </w:p>
        </w:tc>
      </w:tr>
    </w:tbl>
    <w:p w14:paraId="4E8D9638" w14:textId="77777777" w:rsidR="00A15990" w:rsidRDefault="00A15990">
      <w:pPr>
        <w:spacing w:before="40" w:after="0" w:line="259" w:lineRule="auto"/>
        <w:jc w:val="both"/>
        <w:rPr>
          <w:rFonts w:ascii="Times New Roman" w:eastAsiaTheme="minorEastAsia" w:hAnsi="Times New Roman" w:cs="Times New Roman"/>
          <w:noProof/>
          <w:sz w:val="24"/>
          <w:u w:val="single"/>
        </w:rPr>
      </w:pPr>
    </w:p>
    <w:p w14:paraId="0AC9B701" w14:textId="77777777" w:rsidR="00A15990" w:rsidRDefault="00A15990">
      <w:pPr>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312"/>
          <w:headerReference w:type="default" r:id="rId313"/>
          <w:footerReference w:type="even" r:id="rId314"/>
          <w:footerReference w:type="default" r:id="rId315"/>
          <w:headerReference w:type="first" r:id="rId316"/>
          <w:footerReference w:type="first" r:id="rId317"/>
          <w:pgSz w:w="16839" w:h="11907" w:orient="landscape"/>
          <w:pgMar w:top="1134" w:right="1134" w:bottom="1134" w:left="1134" w:header="567" w:footer="567" w:gutter="0"/>
          <w:cols w:space="720"/>
          <w:docGrid w:linePitch="360"/>
        </w:sectPr>
      </w:pPr>
    </w:p>
    <w:p w14:paraId="777E4EB1"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Q</w:t>
      </w:r>
      <w:r>
        <w:rPr>
          <w:smallCaps/>
          <w:noProof/>
        </w:rPr>
        <w:t xml:space="preserve">. COMPONENTA 1: </w:t>
      </w:r>
      <w:r>
        <w:rPr>
          <w:noProof/>
        </w:rPr>
        <w:t>Calitatea și sustenabilitatea finanțelor publice</w:t>
      </w:r>
    </w:p>
    <w:p w14:paraId="439DD862" w14:textId="77777777" w:rsidR="00A15990" w:rsidRDefault="00686A62">
      <w:pPr>
        <w:pStyle w:val="P68B1DB1-Normal4"/>
        <w:spacing w:before="40" w:after="0" w:line="259" w:lineRule="auto"/>
        <w:jc w:val="both"/>
        <w:rPr>
          <w:rFonts w:eastAsiaTheme="minorEastAsia" w:cs="Times New Roman"/>
          <w:noProof/>
        </w:rPr>
      </w:pPr>
      <w:r>
        <w:rPr>
          <w:noProof/>
        </w:rPr>
        <w:t>Componenta abordează provocări legate de ponderea ridicată a datoriei publice în PIB a Portugaliei, care a fost agravată și mai mult din cauza crizei provocate de pandemia de COVID-19. Dimensiunea ponderii datoriei publice în PIB a Portugaliei limitează marja de manevră bugetară disponibilă și, atunci când condițiile economice permit acest lucru, impune necesitatea de a asigura sustenabilitatea finanțelor publice pe termen mediu. În acest context, se preconizează că condițiile-cadru mai stricte pentru politica bugetară vor contribui la o traiectorie mai favorabilă creșterii pentru o sustenabilitate bugetară mai puternică.</w:t>
      </w:r>
    </w:p>
    <w:p w14:paraId="1982F9A7" w14:textId="77777777" w:rsidR="00A15990" w:rsidRDefault="00686A62">
      <w:pPr>
        <w:pStyle w:val="P68B1DB1-Normal4"/>
        <w:spacing w:before="40" w:after="120" w:line="259" w:lineRule="auto"/>
        <w:jc w:val="both"/>
        <w:rPr>
          <w:rFonts w:eastAsiaTheme="minorEastAsia" w:cs="Times New Roman"/>
          <w:noProof/>
        </w:rPr>
      </w:pPr>
      <w:r>
        <w:rPr>
          <w:noProof/>
        </w:rPr>
        <w:t>Obiectivul componentei este de a consolida gestiunea finanțelor publice în Portugalia și de a elimina lacunele existente în ceea ce privește reformele bugetar-structurale. Printre altele, aceste obiective includ:</w:t>
      </w:r>
    </w:p>
    <w:p w14:paraId="50B02B2C" w14:textId="77777777" w:rsidR="00A15990" w:rsidRDefault="00686A62">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punerea în aplicare deplină și eficace a Legii privind cadrul bugetar pentru 2015 și a schimbărilor structurale aferente în ceea ce privește întocmirea bugetului, contabilitatea și sistemele informatice; </w:t>
      </w:r>
    </w:p>
    <w:p w14:paraId="117516F8" w14:textId="77777777" w:rsidR="00A15990" w:rsidRDefault="00686A62">
      <w:pPr>
        <w:pStyle w:val="P68B1DB1-Normal4"/>
        <w:keepNext/>
        <w:numPr>
          <w:ilvl w:val="0"/>
          <w:numId w:val="61"/>
        </w:numPr>
        <w:spacing w:before="40" w:after="160" w:line="259" w:lineRule="auto"/>
        <w:contextualSpacing/>
        <w:jc w:val="both"/>
        <w:rPr>
          <w:rFonts w:eastAsiaTheme="minorEastAsia" w:cs="Times New Roman"/>
          <w:noProof/>
        </w:rPr>
      </w:pPr>
      <w:r>
        <w:rPr>
          <w:noProof/>
        </w:rPr>
        <w:t xml:space="preserve">sporirea economiilor de eficiență prin utilizarea pe scară mai largă a achizițiilor publice centralizate și a analizelor cheltuielilor, care sunt planificate să fie integrate în procesul bugetar obișnuit și să facă obiectul unor evaluări </w:t>
      </w:r>
      <w:r>
        <w:rPr>
          <w:i/>
          <w:noProof/>
        </w:rPr>
        <w:t>ex-post</w:t>
      </w:r>
      <w:r>
        <w:rPr>
          <w:noProof/>
        </w:rPr>
        <w:t xml:space="preserve"> sistematice;</w:t>
      </w:r>
    </w:p>
    <w:p w14:paraId="53FEF5B8" w14:textId="77777777" w:rsidR="00A15990" w:rsidRDefault="00686A62">
      <w:pPr>
        <w:pStyle w:val="P68B1DB1-Normal4"/>
        <w:keepNext/>
        <w:numPr>
          <w:ilvl w:val="0"/>
          <w:numId w:val="61"/>
        </w:numPr>
        <w:spacing w:before="40" w:after="160" w:line="259" w:lineRule="auto"/>
        <w:contextualSpacing/>
        <w:jc w:val="both"/>
        <w:rPr>
          <w:rFonts w:eastAsiaTheme="minorEastAsia" w:cs="Times New Roman"/>
          <w:noProof/>
        </w:rPr>
      </w:pPr>
      <w:r>
        <w:rPr>
          <w:noProof/>
        </w:rPr>
        <w:t>îmbunătățirea performanței financiare a întreprinderilor de stat printr-o mai mare transparență, o monitorizare sporită și o guvernanță mai solidă, conducerea devenind mai responsabilă și mai orientată spre performanță; și a</w:t>
      </w:r>
    </w:p>
    <w:p w14:paraId="77257493" w14:textId="77777777" w:rsidR="00A15990" w:rsidRDefault="00686A62">
      <w:pPr>
        <w:pStyle w:val="P68B1DB1-Normal4"/>
        <w:keepNext/>
        <w:numPr>
          <w:ilvl w:val="0"/>
          <w:numId w:val="61"/>
        </w:numPr>
        <w:spacing w:before="40" w:after="160" w:line="259" w:lineRule="auto"/>
        <w:contextualSpacing/>
        <w:jc w:val="both"/>
        <w:rPr>
          <w:rFonts w:eastAsiaTheme="minorEastAsia" w:cs="Times New Roman"/>
          <w:noProof/>
        </w:rPr>
      </w:pPr>
      <w:r>
        <w:rPr>
          <w:noProof/>
        </w:rPr>
        <w:t>sporirea eficienței administrației fiscale – atât a autorității fiscale și vamale, cât și a serviciilor de securitate socială – prin exploatarea posibilităților disponibile pentru o mai mare digitalizare și o mai mare accesibilitate pentru întreprinderi.</w:t>
      </w:r>
    </w:p>
    <w:p w14:paraId="0D3AD004" w14:textId="7EC49C9D" w:rsidR="00A15990" w:rsidRDefault="00686A62">
      <w:pPr>
        <w:pStyle w:val="P68B1DB1-Normal4"/>
        <w:spacing w:before="40" w:after="120" w:line="259" w:lineRule="auto"/>
        <w:jc w:val="both"/>
        <w:rPr>
          <w:rFonts w:eastAsiaTheme="minorEastAsia" w:cs="Times New Roman"/>
          <w:noProof/>
        </w:rPr>
      </w:pPr>
      <w:r>
        <w:rPr>
          <w:noProof/>
        </w:rPr>
        <w:t>Componenta contribuie la abordarea recomandării specifice fiecărei țări de îmbunătățire a calității finanțelor publice, consolidând în același timp controlul general al cheltuielilor, eficiența din punctul de vedere al costurilor și întocmirea adecvată a bugetului (recomandarea specifică fiecărei țări 1 2019), recomandarea de a îmbunătăți sustenabilitatea financiară a întreprinderilor de stat, asigurând în același timp o monitorizare mai promptă, mai transparentă și mai cuprinzătoare (recomandarea specifică fiecărei țări 1 2019), recomandarea de a aplica, atunci când condițiile economice permit acest lucru, politici bugetare menite să asigure o poziție bugetară prudentă pe termen mediu și sustenabilitatea datoriei (recomandarea specifică fiecărei țări 1 2020) și recomandarea de a îmbunătăți eficacitatea sistemului fiscal, în special prin acordarea de prioritate simplificării cadrului său (recomandările specifice fiecărei țări 1 2022 și 2023). Componenta contribuie, de asemenea, la abordarea recomandării specifice fiecărei țări de a concentra investițiile asupra tranziției digitale (recomandarea specifică fiecărei țări 3 2020).</w:t>
      </w:r>
    </w:p>
    <w:p w14:paraId="6610EC5D" w14:textId="77777777" w:rsidR="00A15990" w:rsidRDefault="00686A62">
      <w:pPr>
        <w:pStyle w:val="P68B1DB1-Normal4"/>
        <w:spacing w:before="40" w:after="120" w:line="259" w:lineRule="auto"/>
        <w:jc w:val="both"/>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3248AA7D" w14:textId="77777777" w:rsidR="00A15990" w:rsidRDefault="00A15990">
      <w:pPr>
        <w:spacing w:before="40" w:after="120" w:line="259" w:lineRule="auto"/>
        <w:jc w:val="both"/>
        <w:rPr>
          <w:rFonts w:ascii="Times New Roman" w:eastAsiaTheme="minorEastAsia" w:hAnsi="Times New Roman" w:cs="Times New Roman"/>
          <w:noProof/>
          <w:sz w:val="24"/>
        </w:rPr>
      </w:pPr>
    </w:p>
    <w:p w14:paraId="28C15D2C"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ÎNTREBAREA 1 Descrierea reformelor și a investițiilor pentru sprijinul financiar nerambursabil</w:t>
      </w:r>
    </w:p>
    <w:p w14:paraId="1D2019B5" w14:textId="329788CF" w:rsidR="00A15990" w:rsidRDefault="00686A62">
      <w:pPr>
        <w:pStyle w:val="P68B1DB1-Normal5"/>
        <w:spacing w:before="240" w:after="0" w:line="259" w:lineRule="auto"/>
        <w:ind w:left="851"/>
        <w:jc w:val="both"/>
        <w:outlineLvl w:val="2"/>
        <w:rPr>
          <w:rFonts w:eastAsia="Times New Roman" w:cs="Times New Roman"/>
          <w:noProof/>
        </w:rPr>
      </w:pPr>
      <w:r>
        <w:rPr>
          <w:noProof/>
        </w:rPr>
        <w:t>Reforma TD-r32: Modernizarea și simplificarea gestiunii finanțelor publice</w:t>
      </w:r>
    </w:p>
    <w:p w14:paraId="7386FB7C" w14:textId="77777777" w:rsidR="00A15990" w:rsidRDefault="00686A62">
      <w:pPr>
        <w:pStyle w:val="P68B1DB1-Normal4"/>
        <w:spacing w:before="40" w:after="120" w:line="259" w:lineRule="auto"/>
        <w:jc w:val="both"/>
        <w:rPr>
          <w:rFonts w:eastAsiaTheme="minorEastAsia" w:cs="Times New Roman"/>
          <w:noProof/>
        </w:rPr>
      </w:pPr>
      <w:r>
        <w:rPr>
          <w:noProof/>
        </w:rPr>
        <w:t>Obiectivul global al reformei este de a îmbunătăți calitatea și sustenabilitatea finanțelor publice și, în special, de a consolida controlul cheltuielilor și întocmirea adecvată a bugetului. Reforma vizează, de asemenea, creșterea transparenței și a eficienței în utilizarea resurselor publice, printr-o gestionare mai integrată a proceselor administrative și financiare la nivelul tuturor entităților din cadrul administrației publice.</w:t>
      </w:r>
    </w:p>
    <w:p w14:paraId="1C6AAFDF" w14:textId="77777777" w:rsidR="00A15990" w:rsidRDefault="00686A62">
      <w:pPr>
        <w:pStyle w:val="P68B1DB1-Normal4"/>
        <w:spacing w:before="40" w:after="120" w:line="259" w:lineRule="auto"/>
        <w:jc w:val="both"/>
        <w:rPr>
          <w:rFonts w:eastAsia="Times New Roman" w:cs="Times New Roman"/>
          <w:noProof/>
        </w:rPr>
      </w:pPr>
      <w:r>
        <w:rPr>
          <w:noProof/>
        </w:rPr>
        <w:t xml:space="preserve">Reforma este o reformă fiscal-structurală atotcuprinzătoare, care constă în inițiative care se consolidează reciproc. </w:t>
      </w:r>
    </w:p>
    <w:p w14:paraId="43E9C02C" w14:textId="57B93928" w:rsidR="00A15990" w:rsidRDefault="00686A62">
      <w:pPr>
        <w:pStyle w:val="P68B1DB1-Normal4"/>
        <w:keepNext/>
        <w:numPr>
          <w:ilvl w:val="0"/>
          <w:numId w:val="67"/>
        </w:numPr>
        <w:spacing w:before="40" w:after="120" w:line="259" w:lineRule="auto"/>
        <w:contextualSpacing/>
        <w:jc w:val="both"/>
        <w:rPr>
          <w:rFonts w:eastAsiaTheme="minorEastAsia" w:cs="Times New Roman"/>
          <w:noProof/>
        </w:rPr>
      </w:pPr>
      <w:r>
        <w:rPr>
          <w:noProof/>
        </w:rPr>
        <w:t>În primul rând, măsurile treptate contribuie la punerea în aplicare deplină și efectivă a Legii privind cadrul bugetar din 2015. Printre acestea se numără elaborarea bugetului pentru programe și integrarea acestuia în planificarea și monitorizarea bugetară, precum și intrarea în vigoare a legislației care nu se referă la entitatea contabilă de stat. De asemenea, se preconizează că modernizarea semnificativă planificată a sistemelor de informații pentru gestiunea finanțelor publice va facilita aderarea la sistemul de contabilitate pe bază de angajamente.</w:t>
      </w:r>
    </w:p>
    <w:p w14:paraId="797E40BB" w14:textId="77777777" w:rsidR="00A15990" w:rsidRDefault="00686A62">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În al doilea rând, se preconizează că analizele cheltuielilor vor deveni o caracteristică structurală a procesului bugetar al Portugaliei, printr-o mai bună integrare a acestora în ciclul bugetar anual și prin evaluarea ex post a posibilelor creșteri ale eficienței. </w:t>
      </w:r>
    </w:p>
    <w:p w14:paraId="7B864396" w14:textId="77777777" w:rsidR="00A15990" w:rsidRDefault="00686A62">
      <w:pPr>
        <w:pStyle w:val="P68B1DB1-Normal4"/>
        <w:keepNext/>
        <w:numPr>
          <w:ilvl w:val="0"/>
          <w:numId w:val="67"/>
        </w:numPr>
        <w:spacing w:before="40" w:after="120" w:line="259" w:lineRule="auto"/>
        <w:contextualSpacing/>
        <w:jc w:val="both"/>
        <w:rPr>
          <w:rFonts w:eastAsiaTheme="minorEastAsia" w:cs="Times New Roman"/>
          <w:noProof/>
        </w:rPr>
      </w:pPr>
      <w:r>
        <w:rPr>
          <w:noProof/>
        </w:rPr>
        <w:t xml:space="preserve">În al treilea rând, vor fi puse în aplicare îmbunătățiri în domeniul achizițiilor publice centralizate pentru a consolida eficiența. </w:t>
      </w:r>
    </w:p>
    <w:p w14:paraId="68DBC2DB" w14:textId="77777777" w:rsidR="00A15990" w:rsidRDefault="00686A62">
      <w:pPr>
        <w:pStyle w:val="P68B1DB1-Normal4"/>
        <w:keepNext/>
        <w:numPr>
          <w:ilvl w:val="0"/>
          <w:numId w:val="67"/>
        </w:numPr>
        <w:spacing w:before="40" w:after="120" w:line="259" w:lineRule="auto"/>
        <w:contextualSpacing/>
        <w:jc w:val="both"/>
        <w:rPr>
          <w:rFonts w:eastAsiaTheme="minorEastAsia" w:cs="Times New Roman"/>
          <w:noProof/>
        </w:rPr>
      </w:pPr>
      <w:r>
        <w:rPr>
          <w:noProof/>
        </w:rPr>
        <w:t>În al patrulea rând, este planificată o abordare dublă pentru întreprinderile de stat, prin care măsurile de creștere a transparenței în ceea ce privește divulgarea datelor financiare urmează să fie completate cu măsuri de consolidare a guvernanței, inclusiv prin contracte de gestionare consolidate pentru a stimula practicile manageriale bazate pe stimulente, precum și prin semnarea unor planuri bugetare și de activitate care să permită o mai mare autonomie în combinație cu o mai mare responsabilitate și monitorizare.</w:t>
      </w:r>
    </w:p>
    <w:p w14:paraId="51CF4504" w14:textId="77777777" w:rsidR="00A15990" w:rsidRDefault="00686A62">
      <w:pPr>
        <w:pStyle w:val="P68B1DB1-Normal4"/>
        <w:spacing w:before="40" w:after="120" w:line="259" w:lineRule="auto"/>
        <w:jc w:val="both"/>
        <w:rPr>
          <w:rFonts w:eastAsiaTheme="minorEastAsia" w:cs="Times New Roman"/>
          <w:noProof/>
        </w:rPr>
      </w:pPr>
      <w:r>
        <w:rPr>
          <w:noProof/>
        </w:rPr>
        <w:t>Punerea în aplicare a reformei se finalizează până la 31 decembrie 2025.</w:t>
      </w:r>
    </w:p>
    <w:p w14:paraId="17979527" w14:textId="77777777" w:rsidR="00A15990" w:rsidRDefault="00686A62">
      <w:pPr>
        <w:pStyle w:val="P68B1DB1-Normal5"/>
        <w:spacing w:before="240" w:after="0" w:line="259" w:lineRule="auto"/>
        <w:ind w:left="851"/>
        <w:jc w:val="both"/>
        <w:outlineLvl w:val="2"/>
        <w:rPr>
          <w:rFonts w:eastAsia="Times New Roman" w:cs="Times New Roman"/>
          <w:noProof/>
        </w:rPr>
      </w:pPr>
      <w:r>
        <w:rPr>
          <w:noProof/>
        </w:rPr>
        <w:t>Investiția TD-C17-i01: Sisteme de informații privind gestiunea finanțelor publice</w:t>
      </w:r>
    </w:p>
    <w:p w14:paraId="2D41C5D2" w14:textId="77777777" w:rsidR="00A15990" w:rsidRDefault="00686A62">
      <w:pPr>
        <w:pStyle w:val="P68B1DB1-Normal4"/>
        <w:spacing w:before="40" w:after="120" w:line="259" w:lineRule="auto"/>
        <w:jc w:val="both"/>
        <w:rPr>
          <w:rFonts w:eastAsia="Times New Roman" w:cs="Times New Roman"/>
          <w:noProof/>
        </w:rPr>
      </w:pPr>
      <w:r>
        <w:rPr>
          <w:noProof/>
        </w:rPr>
        <w:t>Obiectivul investiției este de a operaționaliza reforma aferentă a gestiunii finanțelor publice, în vederea îmbunătățirii calității și sustenabilității finanțelor publice. Investiția este esențială în special pentru punerea în aplicare deplină și eficace a Legii privind cadrul bugetar 2015.</w:t>
      </w:r>
    </w:p>
    <w:p w14:paraId="4F4EDC29" w14:textId="77777777" w:rsidR="00A15990" w:rsidRDefault="00686A62">
      <w:pPr>
        <w:pStyle w:val="P68B1DB1-Normal4"/>
        <w:spacing w:before="40" w:after="120" w:line="259" w:lineRule="auto"/>
        <w:jc w:val="both"/>
        <w:rPr>
          <w:rFonts w:eastAsia="Times New Roman" w:cs="Times New Roman"/>
          <w:noProof/>
        </w:rPr>
      </w:pPr>
      <w:r>
        <w:rPr>
          <w:noProof/>
        </w:rPr>
        <w:t>Investiția constă în subinvestiții complementare care, combinate, ar trebui să contribuie la gestionarea integrată a veniturilor și cheltuielilor publice. În primul rând, subinvestițiile sunt orientate către soluții de tehnologie a informației care permit monitorizarea tranzacțiilor guvernamentale, pe baza digitalizării proceselor, a automatizării contabilității și a integrării în sistemele centrale din cadrul Ministerului de Finanțe, ceea ce va aduce beneficii planificării bugetare, monitorizării și responsabilității bugetare. Acestea includ dezvoltarea de soluții informatice care să permită gestionarea integrată a trezoreriei statului prin intermediul entității contabile de stat, precum și sprijinirea pregătirii bugetului de stat și a planificării bugetare pe termen mediu prin introducerea bugetării programelor și prin aderarea la sistemul de contabilitate pe bază de angajamente. În al doilea rând, sunt prevăzute îmbunătățiri auxiliare și în sistemele de informații pentru achizițiile publice centralizate, precum și pentru gestionarea vehiculelor publice și a bunurilor imobile.</w:t>
      </w:r>
    </w:p>
    <w:p w14:paraId="1F60E6B1" w14:textId="77777777" w:rsidR="00A15990" w:rsidRDefault="00686A62">
      <w:pPr>
        <w:pStyle w:val="P68B1DB1-Normal4"/>
        <w:spacing w:before="40" w:after="0" w:line="259" w:lineRule="auto"/>
        <w:jc w:val="both"/>
        <w:rPr>
          <w:rFonts w:eastAsia="Times New Roman" w:cs="Times New Roman"/>
          <w:noProof/>
        </w:rPr>
      </w:pPr>
      <w:r>
        <w:rPr>
          <w:noProof/>
        </w:rPr>
        <w:t>Punerea în aplicare a investiției se va finaliza până la 30 iunie 2026.</w:t>
      </w:r>
    </w:p>
    <w:p w14:paraId="637EC6F3" w14:textId="77777777" w:rsidR="00A15990" w:rsidRDefault="00686A62">
      <w:pPr>
        <w:pStyle w:val="P68B1DB1-Normal5"/>
        <w:spacing w:before="240" w:after="0" w:line="259" w:lineRule="auto"/>
        <w:ind w:left="851"/>
        <w:jc w:val="both"/>
        <w:outlineLvl w:val="2"/>
        <w:rPr>
          <w:rFonts w:eastAsia="Times New Roman" w:cs="Times New Roman"/>
          <w:noProof/>
        </w:rPr>
      </w:pPr>
      <w:r>
        <w:rPr>
          <w:noProof/>
        </w:rPr>
        <w:t>Investiția TD-C17-i02: Modernizarea sistemelor de informații ale Autorității Fiscale și Vamale pentru Impozitarea proprietăților rurale</w:t>
      </w:r>
    </w:p>
    <w:p w14:paraId="11A35064" w14:textId="77777777" w:rsidR="00A15990" w:rsidRDefault="00686A62">
      <w:pPr>
        <w:pStyle w:val="P68B1DB1-Normal4"/>
        <w:spacing w:before="40" w:after="120" w:line="259" w:lineRule="auto"/>
        <w:jc w:val="both"/>
        <w:rPr>
          <w:rFonts w:eastAsia="Times New Roman" w:cs="Times New Roman"/>
          <w:noProof/>
        </w:rPr>
      </w:pPr>
      <w:r>
        <w:rPr>
          <w:noProof/>
        </w:rPr>
        <w:t>Obiectivul investiției este de a avansa în ceea ce privește digitalizarea tuturor proceselor legate de impozitarea proprietăților rurale, în special a informațiilor conexe – cartografierea și caracteristicile asociate (cum ar fi culturile și potențialul economic) – și implementarea preumplerii pentru obligații declarative specifice.</w:t>
      </w:r>
    </w:p>
    <w:p w14:paraId="414FC653" w14:textId="1B3EFAB6" w:rsidR="00A15990" w:rsidRDefault="00686A62">
      <w:pPr>
        <w:pStyle w:val="P68B1DB1-Normal4"/>
        <w:keepNext/>
        <w:spacing w:before="40" w:after="120" w:line="259" w:lineRule="auto"/>
        <w:jc w:val="both"/>
        <w:rPr>
          <w:rFonts w:eastAsia="Times New Roman" w:cs="Times New Roman"/>
          <w:noProof/>
        </w:rPr>
      </w:pPr>
      <w:r>
        <w:rPr>
          <w:noProof/>
        </w:rPr>
        <w:t>Investiția constă în mai multe subinvestiții care cuprind: I) digitalizarea informațiilor de sprijin pentru matricele imobiliare; (II) consolidarea infrastructurii informatice pentru conservarea informațiilor privind proprietățile digitalizate; III) dezvoltarea unor mecanisme de consultare și vizualizare pentru matricele imobiliare; IV) dezvoltarea unui sistem informatic care să sprijine evaluarea cadastrală simplificată a proprietăților rurale; (V) dezvoltarea unei soluții de gestionare a informațiilor georeferențiate; și vi) dezvoltarea serviciilor de preumplere declarativă (în special pentru impozitarea bunurilor imobile și tranzacții specifice supuse taxei de timbru).</w:t>
      </w:r>
    </w:p>
    <w:p w14:paraId="2C782842" w14:textId="77777777" w:rsidR="00A15990" w:rsidRDefault="00686A62">
      <w:pPr>
        <w:pStyle w:val="P68B1DB1-Normal4"/>
        <w:spacing w:before="40" w:after="0" w:line="259" w:lineRule="auto"/>
        <w:jc w:val="both"/>
        <w:rPr>
          <w:rFonts w:eastAsia="Times New Roman" w:cs="Times New Roman"/>
          <w:noProof/>
        </w:rPr>
      </w:pPr>
      <w:r>
        <w:rPr>
          <w:noProof/>
        </w:rPr>
        <w:t>Punerea în aplicare a investiției se va finaliza până la 31 decembrie 2025.</w:t>
      </w:r>
    </w:p>
    <w:p w14:paraId="18AD381B" w14:textId="77777777" w:rsidR="00A15990" w:rsidRDefault="00686A62">
      <w:pPr>
        <w:pStyle w:val="P68B1DB1-Normal5"/>
        <w:keepNext/>
        <w:spacing w:before="240" w:after="0" w:line="259" w:lineRule="auto"/>
        <w:ind w:left="851"/>
        <w:jc w:val="both"/>
        <w:outlineLvl w:val="2"/>
        <w:rPr>
          <w:rFonts w:eastAsia="Times New Roman" w:cs="Times New Roman"/>
          <w:noProof/>
        </w:rPr>
      </w:pPr>
      <w:r>
        <w:rPr>
          <w:noProof/>
        </w:rPr>
        <w:t>Investiția TD-C17-i03: Tranziția digitală a serviciilor de securitate socială</w:t>
      </w:r>
    </w:p>
    <w:p w14:paraId="484E2C44" w14:textId="77777777" w:rsidR="00A15990" w:rsidRDefault="00686A62">
      <w:pPr>
        <w:pStyle w:val="P68B1DB1-Normal4"/>
        <w:keepNext/>
        <w:spacing w:before="40" w:after="120" w:line="259" w:lineRule="auto"/>
        <w:jc w:val="both"/>
        <w:rPr>
          <w:rFonts w:eastAsia="Times New Roman" w:cs="Times New Roman"/>
          <w:noProof/>
        </w:rPr>
      </w:pPr>
      <w:r>
        <w:rPr>
          <w:noProof/>
        </w:rPr>
        <w:t>Obiectivul investiției este de a promova digitalizarea serviciilor de securitate socială, cu scopul de a le face mai ușor de utilizat, de a promova eficiența și de a reduce frauda și evaziunea.</w:t>
      </w:r>
    </w:p>
    <w:p w14:paraId="7A04F8FA" w14:textId="77777777" w:rsidR="00A15990" w:rsidRDefault="00686A62">
      <w:pPr>
        <w:pStyle w:val="P68B1DB1-Normal4"/>
        <w:keepNext/>
        <w:spacing w:before="40" w:after="120" w:line="259" w:lineRule="auto"/>
        <w:jc w:val="both"/>
        <w:rPr>
          <w:rFonts w:eastAsia="Times New Roman" w:cs="Times New Roman"/>
          <w:noProof/>
        </w:rPr>
      </w:pPr>
      <w:r>
        <w:rPr>
          <w:noProof/>
        </w:rPr>
        <w:t xml:space="preserve">Investiția constă în etape care vizează: I) să îmbunătățească conceperea și organizarea serviciilor de securitate socială, pe baza modernizării sistemelor informatice subiacente, în domeniul prestațiilor sociale, al contribuțiilor sociale, al prevenirii fraudei, al gestionării informațiilor și al canalelor de plată; să dezvolte și să pună în aplicare un nou model de relații, care ar trebui să integreze diferitele canale de interacțiune dintre cetățeni, întreprinderi și serviciile de securitate socială printr-o abordare bazată pe canale multiple; să adapteze locurile de muncă ale serviciilor de securitate socială pentru a permite modalități de lucru mai flexibile, cum ar fi munca la distanță; IV) implementarea unei infrastructuri informatice bazate pe soluții de cloud care au potențialul de a sprijini performanța și interoperabilitatea; și v) revizuirea proceselor interne și formarea lucrătorilor din domeniul securității sociale pentru a sprijini punerea în aplicare fără probleme a investițiilor și a schimbărilor structurale menționate anterior. </w:t>
      </w:r>
    </w:p>
    <w:p w14:paraId="1A95DF4E" w14:textId="77777777" w:rsidR="00A15990" w:rsidRDefault="00686A62">
      <w:pPr>
        <w:pStyle w:val="P68B1DB1-Normal4"/>
        <w:spacing w:before="40" w:after="0" w:line="259" w:lineRule="auto"/>
        <w:jc w:val="both"/>
        <w:rPr>
          <w:rFonts w:eastAsia="Times New Roman" w:cs="Times New Roman"/>
          <w:noProof/>
        </w:rPr>
      </w:pPr>
      <w:r>
        <w:rPr>
          <w:noProof/>
        </w:rPr>
        <w:t>Punerea în aplicare a investiției se va finaliza până la 31 decembrie 2025.</w:t>
      </w:r>
    </w:p>
    <w:p w14:paraId="4F1F38D4" w14:textId="399786BD" w:rsidR="00A15990" w:rsidRDefault="00686A62">
      <w:pPr>
        <w:pStyle w:val="P68B1DB1-Normal5"/>
        <w:keepNext/>
        <w:spacing w:before="240" w:after="0" w:line="259" w:lineRule="auto"/>
        <w:ind w:left="851"/>
        <w:jc w:val="both"/>
        <w:outlineLvl w:val="2"/>
        <w:rPr>
          <w:rFonts w:eastAsia="Times New Roman" w:cs="Times New Roman"/>
          <w:noProof/>
        </w:rPr>
      </w:pPr>
      <w:bookmarkStart w:id="34" w:name="_Toc137472472"/>
      <w:r>
        <w:rPr>
          <w:noProof/>
        </w:rPr>
        <w:t xml:space="preserve">Reforma TD-C17-r40: Simplificarea sistemului fiscal </w:t>
      </w:r>
      <w:bookmarkEnd w:id="34"/>
    </w:p>
    <w:p w14:paraId="7BD4017E" w14:textId="77777777" w:rsidR="00A15990" w:rsidRDefault="00686A62">
      <w:pPr>
        <w:spacing w:before="40" w:after="0" w:line="259" w:lineRule="auto"/>
        <w:jc w:val="both"/>
        <w:rPr>
          <w:rFonts w:ascii="Times New Roman" w:hAnsi="Times New Roman" w:cs="Times New Roman"/>
          <w:noProof/>
          <w:sz w:val="24"/>
        </w:rPr>
      </w:pPr>
      <w:r>
        <w:rPr>
          <w:rFonts w:ascii="Times New Roman" w:hAnsi="Times New Roman"/>
          <w:noProof/>
          <w:sz w:val="24"/>
        </w:rPr>
        <w:t>Obiectivul acestei reforme este de a îmbunătăți eficacitatea sistemului fiscal al Portugaliei. Reforma introduce un sistem permanent de monitorizare și evaluare consecventă a beneficiilor fiscale noi și existente („</w:t>
      </w:r>
      <w:r>
        <w:rPr>
          <w:rFonts w:ascii="Times New Roman" w:hAnsi="Times New Roman"/>
          <w:i/>
          <w:noProof/>
          <w:sz w:val="24"/>
        </w:rPr>
        <w:t>Beneícios fiscais</w:t>
      </w:r>
      <w:r>
        <w:rPr>
          <w:rFonts w:ascii="Times New Roman" w:hAnsi="Times New Roman"/>
          <w:noProof/>
          <w:sz w:val="24"/>
        </w:rPr>
        <w:t>”)</w:t>
      </w:r>
      <w:r>
        <w:rPr>
          <w:rStyle w:val="FootnoteReference"/>
          <w:rFonts w:ascii="Times New Roman" w:hAnsi="Times New Roman" w:cs="Times New Roman"/>
          <w:noProof/>
          <w:sz w:val="24"/>
        </w:rPr>
        <w:footnoteReference w:id="76"/>
      </w:r>
      <w:r>
        <w:rPr>
          <w:rFonts w:ascii="Times New Roman" w:hAnsi="Times New Roman"/>
          <w:noProof/>
          <w:sz w:val="24"/>
        </w:rPr>
        <w:t>. Acest lucru va duce la o simplificare a cadrului existent, prin reducerea numărului de avantaje fiscale, prin reducerea cheltuielilor fiscale asociate acestora („despesas fiscais”</w:t>
      </w:r>
      <w:r>
        <w:rPr>
          <w:rFonts w:ascii="Times New Roman" w:hAnsi="Times New Roman"/>
          <w:i/>
          <w:noProof/>
          <w:sz w:val="24"/>
        </w:rPr>
        <w:t>) și</w:t>
      </w:r>
      <w:r>
        <w:rPr>
          <w:rFonts w:ascii="Times New Roman" w:hAnsi="Times New Roman"/>
          <w:noProof/>
          <w:sz w:val="24"/>
        </w:rPr>
        <w:t>prin consolidarea eficienței din punctul de vedere al costurilor a acelor beneficii fiscale care rămân.</w:t>
      </w:r>
    </w:p>
    <w:p w14:paraId="0F4A2EDF" w14:textId="77777777" w:rsidR="00A15990" w:rsidRDefault="00686A62">
      <w:pPr>
        <w:pStyle w:val="P68B1DB1-Normal4"/>
        <w:spacing w:before="40" w:after="0" w:line="259" w:lineRule="auto"/>
        <w:jc w:val="both"/>
        <w:rPr>
          <w:rFonts w:eastAsia="@MS Mincho" w:cs="Times New Roman"/>
          <w:noProof/>
        </w:rPr>
      </w:pPr>
      <w:r>
        <w:rPr>
          <w:noProof/>
        </w:rPr>
        <w:t>Reforma constă într-un act juridic de creare a unei unități permanente de politică fiscală tehnică (</w:t>
      </w:r>
      <w:r>
        <w:rPr>
          <w:i/>
          <w:noProof/>
        </w:rPr>
        <w:t>Unidade Técnica de Avaliação Tributária e Aduaneira</w:t>
      </w:r>
      <w:r>
        <w:rPr>
          <w:noProof/>
        </w:rPr>
        <w:t xml:space="preserve">, cunoscută și sub denumirea de U-TAX), cu mandatul de a monitoriza și evalua în mod sistematic beneficiile fiscale noi și existente și de a contribui la elaborarea, punerea în aplicare și evaluarea impactului politicilor fiscale. Unitatea pentru politica fiscală contribuie, de asemenea, la pregătirea actelor juridice în domeniul fiscal, în colaborare cu alte entități relevante, cum ar fi </w:t>
      </w:r>
      <w:r>
        <w:rPr>
          <w:i/>
          <w:noProof/>
        </w:rPr>
        <w:t xml:space="preserve">Centro de Estudos Fiscais e Aduaneiros </w:t>
      </w:r>
      <w:r>
        <w:rPr>
          <w:noProof/>
        </w:rPr>
        <w:t>(MIE). Actul juridic precizează structura formală a U-TAX, inclusiv organigrama sa, funcționarea și sarcinile sale. U-TAX este independent din punct de vedere tehnic de Autoritatea Fiscală și Vamală și răspunde direct Ministerului Finanțelor. U-TAX este compus din personal tehnic permanent cu expertiză în domeniul politicilor fiscale. Actul juridic definește, de asemenea, interacțiunile formale dintre U-TAX și alte entități publice și private relevante, ca instituții de cercetare și academice, și prevede definirea acordurilor privind schimbul de date dintre U-TAX și entitățile publice relevante, în calitate de autoritate fiscală și vamală și Institutul portughez de statistică (INE). Actul juridic asigură, de asemenea, angajamentul U-TAX cu privire la calitatea și transparența rapoartelor sale analitice și la păstrarea standardelor de calitate a datelor. Această unitate de politică fiscală publică un raport de evaluare cu o analiză cost-beneficiu a beneficiilor fiscale existente, cu criterii de eficiență și eficacitate, precum și considerații de mediu. În urma acestei evaluări se efectuează o revizuire a cadrului juridic al unui set substanțial de avantaje fiscale.</w:t>
      </w:r>
    </w:p>
    <w:p w14:paraId="6901A2AB" w14:textId="77777777" w:rsidR="00A15990" w:rsidRDefault="00686A62">
      <w:pPr>
        <w:pStyle w:val="P68B1DB1-Normal4"/>
        <w:spacing w:before="40" w:after="0" w:line="259" w:lineRule="auto"/>
        <w:jc w:val="both"/>
        <w:rPr>
          <w:rFonts w:cs="Times New Roman"/>
          <w:noProof/>
        </w:rPr>
      </w:pPr>
      <w:r>
        <w:rPr>
          <w:noProof/>
        </w:rPr>
        <w:t>Punerea în aplicare a acestei reforme se finalizează până la 31 martie 2026.</w:t>
      </w:r>
    </w:p>
    <w:p w14:paraId="282DA7C3" w14:textId="77777777" w:rsidR="00A15990" w:rsidRDefault="00A15990">
      <w:pPr>
        <w:spacing w:before="40" w:after="0" w:line="259" w:lineRule="auto"/>
        <w:jc w:val="both"/>
        <w:rPr>
          <w:rFonts w:ascii="Times New Roman" w:eastAsia="Times New Roman" w:hAnsi="Times New Roman" w:cs="Times New Roman"/>
          <w:noProof/>
          <w:sz w:val="24"/>
        </w:rPr>
      </w:pPr>
    </w:p>
    <w:p w14:paraId="03613E4E" w14:textId="75A6C9BA" w:rsidR="00A15990" w:rsidRDefault="00A15990">
      <w:pPr>
        <w:spacing w:before="40" w:after="0" w:line="259" w:lineRule="auto"/>
        <w:jc w:val="both"/>
        <w:rPr>
          <w:rFonts w:ascii="Times New Roman" w:eastAsia="Times New Roman" w:hAnsi="Times New Roman" w:cs="Times New Roman"/>
          <w:noProof/>
          <w:sz w:val="24"/>
        </w:rPr>
        <w:sectPr w:rsidR="00A15990" w:rsidSect="00E00EDD">
          <w:headerReference w:type="even" r:id="rId318"/>
          <w:headerReference w:type="default" r:id="rId319"/>
          <w:footerReference w:type="even" r:id="rId320"/>
          <w:footerReference w:type="default" r:id="rId321"/>
          <w:headerReference w:type="first" r:id="rId322"/>
          <w:footerReference w:type="first" r:id="rId323"/>
          <w:pgSz w:w="11907" w:h="16839"/>
          <w:pgMar w:top="1134" w:right="1134" w:bottom="1134" w:left="1134" w:header="567" w:footer="567" w:gutter="0"/>
          <w:cols w:space="720"/>
          <w:docGrid w:linePitch="360"/>
        </w:sectPr>
      </w:pPr>
    </w:p>
    <w:p w14:paraId="449FF56D"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ÎNTREBAREA 2 Obiective de etapă, ținte, indicatori și calendar pentru monitorizarea și punerea în aplicare a sprijinului financiar nerambursabil</w:t>
      </w:r>
    </w:p>
    <w:p w14:paraId="47972E30"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52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036"/>
        <w:gridCol w:w="1161"/>
        <w:gridCol w:w="1034"/>
        <w:gridCol w:w="1539"/>
        <w:gridCol w:w="1356"/>
        <w:gridCol w:w="909"/>
        <w:gridCol w:w="908"/>
        <w:gridCol w:w="657"/>
        <w:gridCol w:w="530"/>
        <w:gridCol w:w="656"/>
        <w:gridCol w:w="5456"/>
      </w:tblGrid>
      <w:tr w:rsidR="00A15990" w14:paraId="0CC744D9" w14:textId="77777777">
        <w:trPr>
          <w:trHeight w:val="910"/>
          <w:tblHeader/>
        </w:trPr>
        <w:tc>
          <w:tcPr>
            <w:tcW w:w="1043" w:type="dxa"/>
            <w:gridSpan w:val="2"/>
            <w:vMerge w:val="restart"/>
            <w:shd w:val="clear" w:color="auto" w:fill="BDD6EE"/>
            <w:vAlign w:val="center"/>
            <w:hideMark/>
          </w:tcPr>
          <w:p w14:paraId="0DD3CE3E"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161" w:type="dxa"/>
            <w:vMerge w:val="restart"/>
            <w:shd w:val="clear" w:color="auto" w:fill="BDD6EE"/>
            <w:vAlign w:val="center"/>
            <w:hideMark/>
          </w:tcPr>
          <w:p w14:paraId="119BDC18"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034" w:type="dxa"/>
            <w:vMerge w:val="restart"/>
            <w:shd w:val="clear" w:color="auto" w:fill="BDD6EE"/>
            <w:vAlign w:val="center"/>
            <w:hideMark/>
          </w:tcPr>
          <w:p w14:paraId="68B0DBF9" w14:textId="39BAE0EB" w:rsidR="00A15990" w:rsidRDefault="008D37D6">
            <w:pPr>
              <w:pStyle w:val="P68B1DB1-Normal6"/>
              <w:spacing w:after="0" w:line="240" w:lineRule="auto"/>
              <w:jc w:val="center"/>
              <w:rPr>
                <w:rFonts w:eastAsia="Times New Roman" w:cs="Times New Roman"/>
                <w:noProof/>
              </w:rPr>
            </w:pPr>
            <w:r>
              <w:rPr>
                <w:noProof/>
              </w:rPr>
              <w:t>Jalon</w:t>
            </w:r>
            <w:r w:rsidR="00686A62">
              <w:rPr>
                <w:noProof/>
              </w:rPr>
              <w:t>/</w:t>
            </w:r>
          </w:p>
          <w:p w14:paraId="235747B5" w14:textId="63F3C043" w:rsidR="00A15990" w:rsidRDefault="00686A62">
            <w:pPr>
              <w:pStyle w:val="P68B1DB1-Normal6"/>
              <w:spacing w:after="0" w:line="240" w:lineRule="auto"/>
              <w:jc w:val="center"/>
              <w:rPr>
                <w:rFonts w:eastAsia="Times New Roman" w:cs="Times New Roman"/>
                <w:noProof/>
              </w:rPr>
            </w:pPr>
            <w:r>
              <w:rPr>
                <w:noProof/>
              </w:rPr>
              <w:t>Țintă</w:t>
            </w:r>
          </w:p>
        </w:tc>
        <w:tc>
          <w:tcPr>
            <w:tcW w:w="1539" w:type="dxa"/>
            <w:vMerge w:val="restart"/>
            <w:shd w:val="clear" w:color="auto" w:fill="BDD6EE"/>
            <w:vAlign w:val="center"/>
            <w:hideMark/>
          </w:tcPr>
          <w:p w14:paraId="6666AD10" w14:textId="77777777" w:rsidR="00A15990" w:rsidRDefault="00686A62">
            <w:pPr>
              <w:pStyle w:val="P68B1DB1-Normal6"/>
              <w:spacing w:after="0" w:line="240" w:lineRule="auto"/>
              <w:jc w:val="center"/>
              <w:rPr>
                <w:rFonts w:eastAsia="Times New Roman" w:cs="Times New Roman"/>
                <w:noProof/>
              </w:rPr>
            </w:pPr>
            <w:r>
              <w:rPr>
                <w:noProof/>
              </w:rPr>
              <w:t>Nume</w:t>
            </w:r>
          </w:p>
        </w:tc>
        <w:tc>
          <w:tcPr>
            <w:tcW w:w="1356" w:type="dxa"/>
            <w:vMerge w:val="restart"/>
            <w:shd w:val="clear" w:color="auto" w:fill="BDD6EE"/>
            <w:vAlign w:val="center"/>
            <w:hideMark/>
          </w:tcPr>
          <w:p w14:paraId="0C0A3581"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474" w:type="dxa"/>
            <w:gridSpan w:val="3"/>
            <w:shd w:val="clear" w:color="auto" w:fill="BDD6EE"/>
            <w:vAlign w:val="center"/>
            <w:hideMark/>
          </w:tcPr>
          <w:p w14:paraId="7EB33E8C"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186" w:type="dxa"/>
            <w:gridSpan w:val="2"/>
            <w:shd w:val="clear" w:color="auto" w:fill="BDD6EE"/>
            <w:vAlign w:val="center"/>
            <w:hideMark/>
          </w:tcPr>
          <w:p w14:paraId="3D7372E7"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5456" w:type="dxa"/>
            <w:vMerge w:val="restart"/>
            <w:shd w:val="clear" w:color="auto" w:fill="BDD6EE"/>
            <w:noWrap/>
            <w:vAlign w:val="center"/>
            <w:hideMark/>
          </w:tcPr>
          <w:p w14:paraId="110BCD14"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26D58C7B" w14:textId="77777777">
        <w:trPr>
          <w:trHeight w:val="521"/>
          <w:tblHeader/>
        </w:trPr>
        <w:tc>
          <w:tcPr>
            <w:tcW w:w="1043" w:type="dxa"/>
            <w:gridSpan w:val="2"/>
            <w:vMerge/>
            <w:vAlign w:val="center"/>
          </w:tcPr>
          <w:p w14:paraId="0A90FC04" w14:textId="77777777" w:rsidR="00A15990" w:rsidRDefault="00A15990">
            <w:pPr>
              <w:spacing w:after="0" w:line="240" w:lineRule="auto"/>
              <w:jc w:val="center"/>
              <w:rPr>
                <w:rFonts w:ascii="Calibri" w:eastAsia="Times New Roman" w:hAnsi="Calibri" w:cs="Calibri"/>
                <w:b/>
                <w:noProof/>
                <w:sz w:val="16"/>
              </w:rPr>
            </w:pPr>
          </w:p>
        </w:tc>
        <w:tc>
          <w:tcPr>
            <w:tcW w:w="1161" w:type="dxa"/>
            <w:vMerge/>
            <w:noWrap/>
            <w:vAlign w:val="center"/>
          </w:tcPr>
          <w:p w14:paraId="7720E5AA" w14:textId="77777777" w:rsidR="00A15990" w:rsidRDefault="00A15990">
            <w:pPr>
              <w:spacing w:after="0" w:line="240" w:lineRule="auto"/>
              <w:jc w:val="center"/>
              <w:rPr>
                <w:rFonts w:ascii="Calibri" w:eastAsia="Times New Roman" w:hAnsi="Calibri" w:cs="Calibri"/>
                <w:noProof/>
                <w:sz w:val="16"/>
              </w:rPr>
            </w:pPr>
          </w:p>
        </w:tc>
        <w:tc>
          <w:tcPr>
            <w:tcW w:w="1034" w:type="dxa"/>
            <w:vMerge/>
            <w:noWrap/>
            <w:vAlign w:val="center"/>
          </w:tcPr>
          <w:p w14:paraId="44179E26" w14:textId="77777777" w:rsidR="00A15990" w:rsidRDefault="00A15990">
            <w:pPr>
              <w:spacing w:after="0" w:line="240" w:lineRule="auto"/>
              <w:jc w:val="center"/>
              <w:rPr>
                <w:rFonts w:ascii="Calibri" w:eastAsia="Times New Roman" w:hAnsi="Calibri" w:cs="Calibri"/>
                <w:noProof/>
                <w:sz w:val="16"/>
              </w:rPr>
            </w:pPr>
          </w:p>
        </w:tc>
        <w:tc>
          <w:tcPr>
            <w:tcW w:w="1539" w:type="dxa"/>
            <w:vMerge/>
            <w:noWrap/>
            <w:vAlign w:val="center"/>
          </w:tcPr>
          <w:p w14:paraId="591AE727" w14:textId="77777777" w:rsidR="00A15990" w:rsidRDefault="00A15990">
            <w:pPr>
              <w:spacing w:after="0" w:line="240" w:lineRule="auto"/>
              <w:jc w:val="center"/>
              <w:rPr>
                <w:rFonts w:ascii="Calibri" w:eastAsia="Times New Roman" w:hAnsi="Calibri" w:cs="Calibri"/>
                <w:noProof/>
                <w:sz w:val="16"/>
              </w:rPr>
            </w:pPr>
          </w:p>
        </w:tc>
        <w:tc>
          <w:tcPr>
            <w:tcW w:w="1356" w:type="dxa"/>
            <w:vMerge/>
            <w:noWrap/>
            <w:vAlign w:val="center"/>
          </w:tcPr>
          <w:p w14:paraId="7822AAB7" w14:textId="77777777" w:rsidR="00A15990" w:rsidRDefault="00A15990">
            <w:pPr>
              <w:spacing w:after="0" w:line="240" w:lineRule="auto"/>
              <w:jc w:val="center"/>
              <w:rPr>
                <w:rFonts w:ascii="Calibri" w:eastAsia="Times New Roman" w:hAnsi="Calibri" w:cs="Calibri"/>
                <w:noProof/>
                <w:sz w:val="16"/>
              </w:rPr>
            </w:pPr>
          </w:p>
        </w:tc>
        <w:tc>
          <w:tcPr>
            <w:tcW w:w="909" w:type="dxa"/>
            <w:shd w:val="clear" w:color="auto" w:fill="BDD6EE"/>
            <w:noWrap/>
            <w:vAlign w:val="center"/>
          </w:tcPr>
          <w:p w14:paraId="64FC2FBB" w14:textId="4031209A" w:rsidR="00A15990" w:rsidRDefault="00686A62">
            <w:pPr>
              <w:pStyle w:val="P68B1DB1-Normal6"/>
              <w:spacing w:after="0" w:line="240" w:lineRule="auto"/>
              <w:jc w:val="center"/>
              <w:rPr>
                <w:rFonts w:ascii="Calibri" w:eastAsia="Times New Roman" w:hAnsi="Calibri" w:cs="Calibri"/>
                <w:noProof/>
                <w:sz w:val="16"/>
              </w:rPr>
            </w:pPr>
            <w:r>
              <w:rPr>
                <w:noProof/>
              </w:rPr>
              <w:t>Unitate de măsură</w:t>
            </w:r>
          </w:p>
        </w:tc>
        <w:tc>
          <w:tcPr>
            <w:tcW w:w="908" w:type="dxa"/>
            <w:shd w:val="clear" w:color="auto" w:fill="BDD6EE"/>
            <w:noWrap/>
            <w:vAlign w:val="center"/>
          </w:tcPr>
          <w:p w14:paraId="39BFFF83" w14:textId="07A9DA21" w:rsidR="00A15990" w:rsidRDefault="00686A62">
            <w:pPr>
              <w:pStyle w:val="P68B1DB1-Normal6"/>
              <w:spacing w:after="0" w:line="240" w:lineRule="auto"/>
              <w:jc w:val="center"/>
              <w:rPr>
                <w:rFonts w:ascii="Calibri" w:eastAsia="Times New Roman" w:hAnsi="Calibri" w:cs="Calibri"/>
                <w:noProof/>
                <w:sz w:val="16"/>
              </w:rPr>
            </w:pPr>
            <w:r>
              <w:rPr>
                <w:noProof/>
              </w:rPr>
              <w:t>Situația de referință</w:t>
            </w:r>
          </w:p>
        </w:tc>
        <w:tc>
          <w:tcPr>
            <w:tcW w:w="657" w:type="dxa"/>
            <w:shd w:val="clear" w:color="auto" w:fill="BDD6EE"/>
            <w:noWrap/>
            <w:vAlign w:val="center"/>
          </w:tcPr>
          <w:p w14:paraId="15BA119E" w14:textId="139D46FC" w:rsidR="00A15990" w:rsidRDefault="00686A62">
            <w:pPr>
              <w:pStyle w:val="P68B1DB1-Normal6"/>
              <w:spacing w:after="0" w:line="240" w:lineRule="auto"/>
              <w:jc w:val="center"/>
              <w:rPr>
                <w:rFonts w:ascii="Calibri" w:eastAsia="Times New Roman" w:hAnsi="Calibri" w:cs="Calibri"/>
                <w:noProof/>
                <w:sz w:val="16"/>
              </w:rPr>
            </w:pPr>
            <w:r>
              <w:rPr>
                <w:noProof/>
              </w:rPr>
              <w:t>Obiectiv</w:t>
            </w:r>
          </w:p>
        </w:tc>
        <w:tc>
          <w:tcPr>
            <w:tcW w:w="530" w:type="dxa"/>
            <w:shd w:val="clear" w:color="auto" w:fill="BDD6EE"/>
            <w:noWrap/>
            <w:vAlign w:val="center"/>
          </w:tcPr>
          <w:p w14:paraId="1E42A9C0" w14:textId="475D06D5" w:rsidR="00A15990" w:rsidRDefault="00686A62">
            <w:pPr>
              <w:pStyle w:val="P68B1DB1-Normal6"/>
              <w:spacing w:after="0" w:line="240" w:lineRule="auto"/>
              <w:jc w:val="center"/>
              <w:rPr>
                <w:rFonts w:ascii="Calibri" w:eastAsia="Times New Roman" w:hAnsi="Calibri" w:cs="Calibri"/>
                <w:noProof/>
                <w:sz w:val="16"/>
              </w:rPr>
            </w:pPr>
            <w:r>
              <w:rPr>
                <w:noProof/>
              </w:rPr>
              <w:t>Q</w:t>
            </w:r>
          </w:p>
        </w:tc>
        <w:tc>
          <w:tcPr>
            <w:tcW w:w="656" w:type="dxa"/>
            <w:shd w:val="clear" w:color="auto" w:fill="BDD6EE"/>
            <w:noWrap/>
            <w:vAlign w:val="center"/>
          </w:tcPr>
          <w:p w14:paraId="7E76EBEF" w14:textId="6888EA5F" w:rsidR="00A15990" w:rsidRDefault="00686A62">
            <w:pPr>
              <w:pStyle w:val="P68B1DB1-Normal6"/>
              <w:spacing w:after="0" w:line="240" w:lineRule="auto"/>
              <w:jc w:val="center"/>
              <w:rPr>
                <w:rFonts w:ascii="Calibri" w:eastAsia="Times New Roman" w:hAnsi="Calibri" w:cs="Calibri"/>
                <w:noProof/>
                <w:sz w:val="16"/>
              </w:rPr>
            </w:pPr>
            <w:r>
              <w:rPr>
                <w:noProof/>
              </w:rPr>
              <w:t>Anul</w:t>
            </w:r>
          </w:p>
        </w:tc>
        <w:tc>
          <w:tcPr>
            <w:tcW w:w="5456" w:type="dxa"/>
            <w:vMerge/>
            <w:noWrap/>
            <w:vAlign w:val="center"/>
          </w:tcPr>
          <w:p w14:paraId="33463114" w14:textId="77777777" w:rsidR="00A15990" w:rsidRDefault="00A15990">
            <w:pPr>
              <w:spacing w:after="0" w:line="240" w:lineRule="auto"/>
              <w:jc w:val="both"/>
              <w:rPr>
                <w:rFonts w:ascii="Calibri" w:eastAsia="Times New Roman" w:hAnsi="Calibri" w:cs="Calibri"/>
                <w:noProof/>
                <w:sz w:val="16"/>
              </w:rPr>
            </w:pPr>
          </w:p>
        </w:tc>
      </w:tr>
      <w:tr w:rsidR="00A15990" w14:paraId="7694BA31" w14:textId="77777777">
        <w:trPr>
          <w:trHeight w:val="850"/>
        </w:trPr>
        <w:tc>
          <w:tcPr>
            <w:tcW w:w="1043" w:type="dxa"/>
            <w:gridSpan w:val="2"/>
            <w:shd w:val="clear" w:color="auto" w:fill="C4EFCE"/>
            <w:vAlign w:val="center"/>
            <w:hideMark/>
          </w:tcPr>
          <w:p w14:paraId="3E3FBA2E" w14:textId="77777777" w:rsidR="00A15990" w:rsidRDefault="00686A62">
            <w:pPr>
              <w:pStyle w:val="P68B1DB1-Normal7"/>
              <w:spacing w:after="0" w:line="240" w:lineRule="auto"/>
              <w:jc w:val="center"/>
              <w:rPr>
                <w:rFonts w:eastAsia="Times New Roman" w:cs="Calibri"/>
                <w:noProof/>
              </w:rPr>
            </w:pPr>
            <w:r>
              <w:rPr>
                <w:noProof/>
              </w:rPr>
              <w:t>17.1</w:t>
            </w:r>
          </w:p>
        </w:tc>
        <w:tc>
          <w:tcPr>
            <w:tcW w:w="1161" w:type="dxa"/>
            <w:shd w:val="clear" w:color="auto" w:fill="C4EFCE"/>
            <w:noWrap/>
            <w:vAlign w:val="center"/>
            <w:hideMark/>
          </w:tcPr>
          <w:p w14:paraId="2DD63E92"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F2B21F0" w14:textId="77777777" w:rsidR="00A15990" w:rsidRDefault="00686A62">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4C19ED3" w14:textId="77777777" w:rsidR="00A15990" w:rsidRDefault="00686A62">
            <w:pPr>
              <w:pStyle w:val="P68B1DB1-Normal8"/>
              <w:spacing w:after="0" w:line="240" w:lineRule="auto"/>
              <w:jc w:val="center"/>
              <w:rPr>
                <w:rFonts w:eastAsia="Times New Roman" w:cs="Calibri"/>
                <w:noProof/>
              </w:rPr>
            </w:pPr>
            <w:r>
              <w:rPr>
                <w:noProof/>
              </w:rPr>
              <w:t>Finalizarea elaborării și punerii în aplicare a unor noi modele de achiziții publice pentru sistemul central național de achiziții publice, astfel cum se prevede în planul strategic pentru perioada 2020-2023 al entității de servicii partajate a administrației publice</w:t>
            </w:r>
          </w:p>
        </w:tc>
        <w:tc>
          <w:tcPr>
            <w:tcW w:w="1356" w:type="dxa"/>
            <w:shd w:val="clear" w:color="auto" w:fill="C4EFCE"/>
            <w:noWrap/>
            <w:vAlign w:val="center"/>
            <w:hideMark/>
          </w:tcPr>
          <w:p w14:paraId="12F6C5B1" w14:textId="77777777" w:rsidR="00A15990" w:rsidRDefault="00686A62">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200AE441" w14:textId="77777777" w:rsidR="00A15990" w:rsidRDefault="00686A62">
            <w:pPr>
              <w:pStyle w:val="P68B1DB1-Normal8"/>
              <w:spacing w:after="0" w:line="240" w:lineRule="auto"/>
              <w:jc w:val="center"/>
              <w:rPr>
                <w:rFonts w:eastAsia="Times New Roman" w:cs="Calibri"/>
                <w:noProof/>
              </w:rPr>
            </w:pPr>
            <w:r>
              <w:rPr>
                <w:noProof/>
              </w:rPr>
              <w:t>Numărul</w:t>
            </w:r>
          </w:p>
        </w:tc>
        <w:tc>
          <w:tcPr>
            <w:tcW w:w="908" w:type="dxa"/>
            <w:shd w:val="clear" w:color="auto" w:fill="C4EFCE"/>
            <w:noWrap/>
            <w:vAlign w:val="center"/>
            <w:hideMark/>
          </w:tcPr>
          <w:p w14:paraId="5CE359FE" w14:textId="77777777" w:rsidR="00A15990" w:rsidRDefault="00686A62">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190050F3" w14:textId="77777777" w:rsidR="00A15990" w:rsidRDefault="00686A62">
            <w:pPr>
              <w:pStyle w:val="P68B1DB1-Normal8"/>
              <w:spacing w:after="0" w:line="240" w:lineRule="auto"/>
              <w:jc w:val="center"/>
              <w:rPr>
                <w:rFonts w:eastAsia="Times New Roman" w:cs="Calibri"/>
                <w:noProof/>
              </w:rPr>
            </w:pPr>
            <w:r>
              <w:rPr>
                <w:noProof/>
              </w:rPr>
              <w:t>10</w:t>
            </w:r>
          </w:p>
        </w:tc>
        <w:tc>
          <w:tcPr>
            <w:tcW w:w="530" w:type="dxa"/>
            <w:shd w:val="clear" w:color="auto" w:fill="C4EFCE"/>
            <w:noWrap/>
            <w:vAlign w:val="center"/>
            <w:hideMark/>
          </w:tcPr>
          <w:p w14:paraId="3C2E2E6E"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52B7F59F" w14:textId="77777777" w:rsidR="00A15990" w:rsidRDefault="00686A62">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7656AF6C" w14:textId="77777777" w:rsidR="00A15990" w:rsidRDefault="00686A62">
            <w:pPr>
              <w:pStyle w:val="P68B1DB1-Normal8"/>
              <w:spacing w:after="0" w:line="240" w:lineRule="auto"/>
              <w:jc w:val="both"/>
              <w:rPr>
                <w:rFonts w:eastAsia="Times New Roman" w:cs="Calibri"/>
                <w:noProof/>
              </w:rPr>
            </w:pPr>
            <w:r>
              <w:rPr>
                <w:noProof/>
              </w:rPr>
              <w:t>Numărul de acorduri-cadru și modele de contractare revizuite, pentru: să promoveze simplificarea administrativă; II) consolidarea mecanismelor de monitorizare și control; să promoveze considerentele legate de eficiența din punctul de vedere al costurilor și de raționalizare; IV) să extindă lista bunurilor și serviciilor care fac obiectul achizițiilor publice centralizate; și v) promovarea colaborării între părțile interesate interne și externe.</w:t>
            </w:r>
          </w:p>
        </w:tc>
      </w:tr>
      <w:tr w:rsidR="00A15990" w14:paraId="5D6E4B31" w14:textId="77777777">
        <w:trPr>
          <w:trHeight w:val="640"/>
        </w:trPr>
        <w:tc>
          <w:tcPr>
            <w:tcW w:w="1043" w:type="dxa"/>
            <w:gridSpan w:val="2"/>
            <w:shd w:val="clear" w:color="auto" w:fill="C4EFCE"/>
            <w:vAlign w:val="center"/>
            <w:hideMark/>
          </w:tcPr>
          <w:p w14:paraId="42B7E2A9" w14:textId="77777777" w:rsidR="00A15990" w:rsidRDefault="00686A62">
            <w:pPr>
              <w:pStyle w:val="P68B1DB1-Normal7"/>
              <w:spacing w:after="0" w:line="240" w:lineRule="auto"/>
              <w:jc w:val="center"/>
              <w:rPr>
                <w:rFonts w:eastAsia="Times New Roman" w:cs="Calibri"/>
                <w:noProof/>
              </w:rPr>
            </w:pPr>
            <w:r>
              <w:rPr>
                <w:noProof/>
              </w:rPr>
              <w:t>17.2</w:t>
            </w:r>
          </w:p>
        </w:tc>
        <w:tc>
          <w:tcPr>
            <w:tcW w:w="1161" w:type="dxa"/>
            <w:shd w:val="clear" w:color="auto" w:fill="C4EFCE"/>
            <w:noWrap/>
            <w:vAlign w:val="center"/>
            <w:hideMark/>
          </w:tcPr>
          <w:p w14:paraId="237F46C9"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64CB5B3E"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8784BA3" w14:textId="77777777" w:rsidR="00A15990" w:rsidRDefault="00686A62">
            <w:pPr>
              <w:pStyle w:val="P68B1DB1-Normal8"/>
              <w:spacing w:after="0" w:line="240" w:lineRule="auto"/>
              <w:jc w:val="center"/>
              <w:rPr>
                <w:rFonts w:eastAsia="Times New Roman" w:cs="Calibri"/>
                <w:noProof/>
              </w:rPr>
            </w:pPr>
            <w:r>
              <w:rPr>
                <w:noProof/>
              </w:rPr>
              <w:t>Intrarea în vigoare a legislației care stă la baza entității contabile de stat</w:t>
            </w:r>
          </w:p>
        </w:tc>
        <w:tc>
          <w:tcPr>
            <w:tcW w:w="1356" w:type="dxa"/>
            <w:shd w:val="clear" w:color="auto" w:fill="C4EFCE"/>
            <w:noWrap/>
            <w:vAlign w:val="center"/>
            <w:hideMark/>
          </w:tcPr>
          <w:p w14:paraId="69FA9E8E" w14:textId="77777777" w:rsidR="00A15990" w:rsidRDefault="00686A62">
            <w:pPr>
              <w:pStyle w:val="P68B1DB1-Normal8"/>
              <w:spacing w:after="0" w:line="240" w:lineRule="auto"/>
              <w:jc w:val="center"/>
              <w:rPr>
                <w:rFonts w:eastAsia="Times New Roman" w:cs="Calibri"/>
                <w:noProof/>
              </w:rPr>
            </w:pPr>
            <w:r>
              <w:rPr>
                <w:noProof/>
              </w:rPr>
              <w:t>Intrarea în vigoare a legislației care stă la baza entității contabile de stat</w:t>
            </w:r>
          </w:p>
        </w:tc>
        <w:tc>
          <w:tcPr>
            <w:tcW w:w="909" w:type="dxa"/>
            <w:shd w:val="clear" w:color="auto" w:fill="C4EFCE"/>
            <w:noWrap/>
            <w:vAlign w:val="center"/>
            <w:hideMark/>
          </w:tcPr>
          <w:p w14:paraId="4EA18E78"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26E3661D"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7CD13C2D"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1FE7BCB"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1ADFCE86" w14:textId="77777777" w:rsidR="00A15990" w:rsidRDefault="00686A62">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1702B1DE" w14:textId="77777777" w:rsidR="00A15990" w:rsidRDefault="00686A62">
            <w:pPr>
              <w:pStyle w:val="P68B1DB1-Normal8"/>
              <w:spacing w:after="0" w:line="240" w:lineRule="auto"/>
              <w:jc w:val="both"/>
              <w:rPr>
                <w:rFonts w:eastAsia="Times New Roman" w:cs="Calibri"/>
                <w:noProof/>
              </w:rPr>
            </w:pPr>
            <w:r>
              <w:rPr>
                <w:noProof/>
              </w:rPr>
              <w:t>Intrarea în vigoare a legislației secundare (și/sau a orientărilor administrative) pentru a reglementa ce venituri și cheltuieli specifice se includ în bugetul entității contabile de stat, în deplină conformitate cu articolele 49 și 55 din Legea-cadru bugetară pentru 2015.</w:t>
            </w:r>
          </w:p>
        </w:tc>
      </w:tr>
      <w:tr w:rsidR="00A15990" w14:paraId="2670F13A" w14:textId="77777777">
        <w:trPr>
          <w:trHeight w:val="640"/>
        </w:trPr>
        <w:tc>
          <w:tcPr>
            <w:tcW w:w="1043" w:type="dxa"/>
            <w:gridSpan w:val="2"/>
            <w:shd w:val="clear" w:color="auto" w:fill="C4EFCE"/>
            <w:vAlign w:val="center"/>
            <w:hideMark/>
          </w:tcPr>
          <w:p w14:paraId="6B4783D2" w14:textId="77777777" w:rsidR="00A15990" w:rsidRDefault="00686A62">
            <w:pPr>
              <w:pStyle w:val="P68B1DB1-Normal7"/>
              <w:spacing w:after="0" w:line="240" w:lineRule="auto"/>
              <w:jc w:val="center"/>
              <w:rPr>
                <w:rFonts w:eastAsia="Times New Roman" w:cs="Calibri"/>
                <w:noProof/>
              </w:rPr>
            </w:pPr>
            <w:r>
              <w:rPr>
                <w:noProof/>
              </w:rPr>
              <w:t>17.3</w:t>
            </w:r>
          </w:p>
        </w:tc>
        <w:tc>
          <w:tcPr>
            <w:tcW w:w="1161" w:type="dxa"/>
            <w:shd w:val="clear" w:color="auto" w:fill="C4EFCE"/>
            <w:noWrap/>
            <w:vAlign w:val="center"/>
            <w:hideMark/>
          </w:tcPr>
          <w:p w14:paraId="3198F425"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53DAF5CC"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148275" w14:textId="77777777" w:rsidR="00A15990" w:rsidRDefault="00686A62">
            <w:pPr>
              <w:pStyle w:val="P68B1DB1-Normal8"/>
              <w:spacing w:after="0" w:line="240" w:lineRule="auto"/>
              <w:jc w:val="center"/>
              <w:rPr>
                <w:rFonts w:eastAsia="Times New Roman" w:cs="Calibri"/>
                <w:noProof/>
              </w:rPr>
            </w:pPr>
            <w:r>
              <w:rPr>
                <w:noProof/>
              </w:rPr>
              <w:t>Finalizarea și aprobarea modelului de monitorizare a execuției bugetare și financiare a administrației publice</w:t>
            </w:r>
          </w:p>
        </w:tc>
        <w:tc>
          <w:tcPr>
            <w:tcW w:w="1356" w:type="dxa"/>
            <w:shd w:val="clear" w:color="auto" w:fill="C4EFCE"/>
            <w:noWrap/>
            <w:vAlign w:val="center"/>
            <w:hideMark/>
          </w:tcPr>
          <w:p w14:paraId="37DD72D5" w14:textId="77777777" w:rsidR="00A15990" w:rsidRDefault="00686A62">
            <w:pPr>
              <w:pStyle w:val="P68B1DB1-Normal8"/>
              <w:spacing w:after="0" w:line="240" w:lineRule="auto"/>
              <w:jc w:val="center"/>
              <w:rPr>
                <w:rFonts w:eastAsia="Times New Roman" w:cs="Calibri"/>
                <w:noProof/>
              </w:rPr>
            </w:pPr>
            <w:r>
              <w:rPr>
                <w:noProof/>
              </w:rPr>
              <w:t>Finalizarea și aprobarea modelului de monitorizare a execuției bugetare și financiare a administrației publice</w:t>
            </w:r>
          </w:p>
        </w:tc>
        <w:tc>
          <w:tcPr>
            <w:tcW w:w="909" w:type="dxa"/>
            <w:shd w:val="clear" w:color="auto" w:fill="C4EFCE"/>
            <w:noWrap/>
            <w:vAlign w:val="center"/>
            <w:hideMark/>
          </w:tcPr>
          <w:p w14:paraId="458B3549"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881E8B"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690878FC"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516481F"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42D9884E" w14:textId="77777777" w:rsidR="00A15990" w:rsidRDefault="00686A62">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2E4EF746" w14:textId="77777777" w:rsidR="00A15990" w:rsidRDefault="00686A62">
            <w:pPr>
              <w:pStyle w:val="P68B1DB1-Normal8"/>
              <w:spacing w:after="0" w:line="240" w:lineRule="auto"/>
              <w:jc w:val="both"/>
              <w:rPr>
                <w:rFonts w:eastAsia="Times New Roman" w:cs="Calibri"/>
                <w:noProof/>
              </w:rPr>
            </w:pPr>
            <w:r>
              <w:rPr>
                <w:noProof/>
              </w:rPr>
              <w:t xml:space="preserve">Finalizarea și aprobarea de către Ministerul Finanțelor a modelului de control și monitorizare a execuției bugetare și financiare a administrației publice, în deplină conformitate cu dispozițiile Legii privind cadrul bugetar din 2015 și cu principiile bazate pe angajamente ale standardului contabil pentru administrația publică. </w:t>
            </w:r>
          </w:p>
        </w:tc>
      </w:tr>
      <w:tr w:rsidR="00A15990" w14:paraId="5A197FDC" w14:textId="77777777">
        <w:trPr>
          <w:trHeight w:val="640"/>
        </w:trPr>
        <w:tc>
          <w:tcPr>
            <w:tcW w:w="1043" w:type="dxa"/>
            <w:gridSpan w:val="2"/>
            <w:shd w:val="clear" w:color="auto" w:fill="C4EFCE"/>
            <w:vAlign w:val="center"/>
            <w:hideMark/>
          </w:tcPr>
          <w:p w14:paraId="55E30BC5" w14:textId="77777777" w:rsidR="00A15990" w:rsidRDefault="00686A62">
            <w:pPr>
              <w:pStyle w:val="P68B1DB1-Normal7"/>
              <w:spacing w:after="0" w:line="240" w:lineRule="auto"/>
              <w:jc w:val="center"/>
              <w:rPr>
                <w:rFonts w:eastAsia="Times New Roman" w:cs="Calibri"/>
                <w:noProof/>
              </w:rPr>
            </w:pPr>
            <w:r>
              <w:rPr>
                <w:noProof/>
              </w:rPr>
              <w:t>17.4</w:t>
            </w:r>
          </w:p>
        </w:tc>
        <w:tc>
          <w:tcPr>
            <w:tcW w:w="1161" w:type="dxa"/>
            <w:shd w:val="clear" w:color="auto" w:fill="C4EFCE"/>
            <w:noWrap/>
            <w:vAlign w:val="center"/>
            <w:hideMark/>
          </w:tcPr>
          <w:p w14:paraId="02476C45"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09115588"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90AFA4D" w14:textId="77777777" w:rsidR="00A15990" w:rsidRDefault="00686A62">
            <w:pPr>
              <w:pStyle w:val="P68B1DB1-Normal8"/>
              <w:spacing w:after="0" w:line="240" w:lineRule="auto"/>
              <w:jc w:val="center"/>
              <w:rPr>
                <w:rFonts w:eastAsia="Times New Roman" w:cs="Calibri"/>
                <w:noProof/>
              </w:rPr>
            </w:pPr>
            <w:r>
              <w:rPr>
                <w:noProof/>
              </w:rPr>
              <w:t>Adoptarea modelului de calculare a costurilor pentru întocmirea bugetului programelor</w:t>
            </w:r>
          </w:p>
        </w:tc>
        <w:tc>
          <w:tcPr>
            <w:tcW w:w="1356" w:type="dxa"/>
            <w:shd w:val="clear" w:color="auto" w:fill="C4EFCE"/>
            <w:noWrap/>
            <w:vAlign w:val="center"/>
            <w:hideMark/>
          </w:tcPr>
          <w:p w14:paraId="35316023" w14:textId="77777777" w:rsidR="00A15990" w:rsidRDefault="00686A62">
            <w:pPr>
              <w:pStyle w:val="P68B1DB1-Normal8"/>
              <w:spacing w:after="0" w:line="240" w:lineRule="auto"/>
              <w:jc w:val="center"/>
              <w:rPr>
                <w:rFonts w:eastAsia="Times New Roman" w:cs="Calibri"/>
                <w:noProof/>
              </w:rPr>
            </w:pPr>
            <w:r>
              <w:rPr>
                <w:noProof/>
              </w:rPr>
              <w:t>Adoptarea legislației pentru modelul de calculare a costurilor pentru întocmirea bugetului programelor</w:t>
            </w:r>
          </w:p>
        </w:tc>
        <w:tc>
          <w:tcPr>
            <w:tcW w:w="909" w:type="dxa"/>
            <w:shd w:val="clear" w:color="auto" w:fill="C4EFCE"/>
            <w:noWrap/>
            <w:vAlign w:val="center"/>
            <w:hideMark/>
          </w:tcPr>
          <w:p w14:paraId="4241F94E"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805EFF6"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6D3AD47"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51AB287A"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2E3CA631"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67C05F6B" w14:textId="31DDD4CA" w:rsidR="00A15990" w:rsidRDefault="00686A62">
            <w:pPr>
              <w:pStyle w:val="P68B1DB1-Normal8"/>
              <w:spacing w:after="0" w:line="240" w:lineRule="auto"/>
              <w:jc w:val="both"/>
              <w:rPr>
                <w:rFonts w:eastAsia="Times New Roman" w:cs="Calibri"/>
                <w:noProof/>
              </w:rPr>
            </w:pPr>
            <w:r>
              <w:rPr>
                <w:noProof/>
              </w:rPr>
              <w:t>Adoptarea legislației secundare (și/sau a orientărilor administrative) pentru a stabili principiile de calculare a costurilor și de monitorizare a respectării indicatorilor bazați pe performanță definiți pentru fiecare program bugetar și politică publică, în vederea intrării în vigoare până în T1-2027.</w:t>
            </w:r>
          </w:p>
        </w:tc>
      </w:tr>
      <w:tr w:rsidR="00A15990" w14:paraId="38313B89" w14:textId="77777777">
        <w:trPr>
          <w:trHeight w:val="420"/>
        </w:trPr>
        <w:tc>
          <w:tcPr>
            <w:tcW w:w="1043" w:type="dxa"/>
            <w:gridSpan w:val="2"/>
            <w:shd w:val="clear" w:color="auto" w:fill="C4EFCE"/>
            <w:vAlign w:val="center"/>
            <w:hideMark/>
          </w:tcPr>
          <w:p w14:paraId="1F4AFBA8" w14:textId="77777777" w:rsidR="00A15990" w:rsidRDefault="00686A62">
            <w:pPr>
              <w:pStyle w:val="P68B1DB1-Normal7"/>
              <w:spacing w:after="0" w:line="240" w:lineRule="auto"/>
              <w:jc w:val="center"/>
              <w:rPr>
                <w:rFonts w:eastAsia="Times New Roman" w:cs="Calibri"/>
                <w:noProof/>
              </w:rPr>
            </w:pPr>
            <w:r>
              <w:rPr>
                <w:noProof/>
              </w:rPr>
              <w:t>17.5</w:t>
            </w:r>
          </w:p>
        </w:tc>
        <w:tc>
          <w:tcPr>
            <w:tcW w:w="1161" w:type="dxa"/>
            <w:shd w:val="clear" w:color="auto" w:fill="C4EFCE"/>
            <w:noWrap/>
            <w:vAlign w:val="center"/>
            <w:hideMark/>
          </w:tcPr>
          <w:p w14:paraId="1AA5229E"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C2DBEEB"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2022E11" w14:textId="77777777" w:rsidR="00A15990" w:rsidRDefault="00686A62">
            <w:pPr>
              <w:pStyle w:val="P68B1DB1-Normal8"/>
              <w:spacing w:after="0" w:line="240" w:lineRule="auto"/>
              <w:jc w:val="center"/>
              <w:rPr>
                <w:rFonts w:eastAsia="Times New Roman" w:cs="Calibri"/>
                <w:noProof/>
              </w:rPr>
            </w:pPr>
            <w:r>
              <w:rPr>
                <w:noProof/>
              </w:rPr>
              <w:t>Punerea în aplicare a mecanismelor de integrare a analizelor cheltuielilor în procesul bugetar obișnuit, inclusiv evaluarea ex post a economiilor de eficiență</w:t>
            </w:r>
          </w:p>
        </w:tc>
        <w:tc>
          <w:tcPr>
            <w:tcW w:w="1356" w:type="dxa"/>
            <w:shd w:val="clear" w:color="auto" w:fill="C4EFCE"/>
            <w:noWrap/>
            <w:vAlign w:val="center"/>
            <w:hideMark/>
          </w:tcPr>
          <w:p w14:paraId="78ADFCD7" w14:textId="77777777" w:rsidR="00A15990" w:rsidRDefault="00686A62">
            <w:pPr>
              <w:pStyle w:val="P68B1DB1-Normal8"/>
              <w:spacing w:after="0" w:line="240" w:lineRule="auto"/>
              <w:jc w:val="center"/>
              <w:rPr>
                <w:rFonts w:eastAsia="Times New Roman" w:cs="Calibri"/>
                <w:noProof/>
              </w:rPr>
            </w:pPr>
            <w:r>
              <w:rPr>
                <w:noProof/>
              </w:rPr>
              <w:t>Raport privind integrarea analizelor cheltuielilor în procesul bugetar obișnuit și evaluarea ex post a acestora</w:t>
            </w:r>
          </w:p>
        </w:tc>
        <w:tc>
          <w:tcPr>
            <w:tcW w:w="909" w:type="dxa"/>
            <w:shd w:val="clear" w:color="auto" w:fill="C4EFCE"/>
            <w:noWrap/>
            <w:vAlign w:val="center"/>
            <w:hideMark/>
          </w:tcPr>
          <w:p w14:paraId="45C9CCED" w14:textId="5C00014C" w:rsidR="00A15990" w:rsidRDefault="00A15990">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69C76DA5" w14:textId="073E9F9F" w:rsidR="00A15990" w:rsidRDefault="00A15990">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22C65312" w14:textId="087E5688" w:rsidR="00A15990" w:rsidRDefault="00A15990">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2D6DA43E"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6242BC08" w14:textId="77777777" w:rsidR="00A15990" w:rsidRDefault="00686A62">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ADBED7B" w14:textId="14A7F5C0" w:rsidR="00A15990" w:rsidRDefault="00686A62">
            <w:pPr>
              <w:pStyle w:val="P68B1DB1-Normal8"/>
              <w:spacing w:after="0" w:line="240" w:lineRule="auto"/>
              <w:jc w:val="both"/>
              <w:rPr>
                <w:rFonts w:eastAsia="Times New Roman" w:cs="Calibri"/>
                <w:noProof/>
              </w:rPr>
            </w:pPr>
            <w:r>
              <w:rPr>
                <w:noProof/>
              </w:rPr>
              <w:t xml:space="preserve">Se elaborează un cadru structural și instituțional pentru revizuirea cheltuielilor, în vederea integrării depline a acestora în procesul bugetar anual și în cadrul bugetar pe termen mediu al Portugaliei. </w:t>
            </w:r>
          </w:p>
          <w:p w14:paraId="0D6B1F45" w14:textId="62498E10" w:rsidR="00A15990" w:rsidRDefault="00686A62">
            <w:pPr>
              <w:pStyle w:val="P68B1DB1-Normal8"/>
              <w:spacing w:after="0" w:line="240" w:lineRule="auto"/>
              <w:jc w:val="both"/>
              <w:rPr>
                <w:rFonts w:eastAsia="Times New Roman" w:cs="Calibri"/>
                <w:noProof/>
              </w:rPr>
            </w:pPr>
            <w:r>
              <w:rPr>
                <w:noProof/>
              </w:rPr>
              <w:t>Procesul include diagnosticarea, conceperea de soluții și definirea unui model care să permită generarea de câștiguri de eficiență în furnizarea de servicii publice, promovarea extinderii analizei cheltuielilor la alte sectoare din cadrul administrației publice și eliberarea de resurse, prin creșterea eficienței, pentru tranziția digitală și tranziția verde.</w:t>
            </w:r>
          </w:p>
          <w:p w14:paraId="3534731F" w14:textId="619B412E" w:rsidR="00A15990" w:rsidRDefault="00686A62">
            <w:pPr>
              <w:pStyle w:val="P68B1DB1-Normal8"/>
              <w:spacing w:after="0" w:line="240" w:lineRule="auto"/>
              <w:jc w:val="both"/>
              <w:rPr>
                <w:rFonts w:eastAsia="Times New Roman" w:cs="Calibri"/>
                <w:noProof/>
              </w:rPr>
            </w:pPr>
            <w:r>
              <w:rPr>
                <w:noProof/>
              </w:rPr>
              <w:t>Pe lângă integrarea analizelor cheltuielilor în procesul bugetar anual, acestea fac obiectul unor evaluări ex post anuale eficace pentru a stabili creșterea eficienței obținută. Exercițiul poate include o mai mare utilizare a serviciilor partajate și achiziții publice centralizate, bazate pe utilizarea platformelor tehnologice și a resurselor comune.</w:t>
            </w:r>
          </w:p>
        </w:tc>
      </w:tr>
      <w:tr w:rsidR="00A15990" w14:paraId="621F6AC1" w14:textId="77777777">
        <w:trPr>
          <w:trHeight w:val="640"/>
        </w:trPr>
        <w:tc>
          <w:tcPr>
            <w:tcW w:w="1043" w:type="dxa"/>
            <w:gridSpan w:val="2"/>
            <w:shd w:val="clear" w:color="auto" w:fill="C4EFCE"/>
            <w:vAlign w:val="center"/>
            <w:hideMark/>
          </w:tcPr>
          <w:p w14:paraId="47662CD7" w14:textId="77777777" w:rsidR="00A15990" w:rsidRDefault="00686A62">
            <w:pPr>
              <w:pStyle w:val="P68B1DB1-Normal7"/>
              <w:spacing w:after="0" w:line="240" w:lineRule="auto"/>
              <w:jc w:val="center"/>
              <w:rPr>
                <w:rFonts w:eastAsia="Times New Roman" w:cs="Calibri"/>
                <w:noProof/>
              </w:rPr>
            </w:pPr>
            <w:r>
              <w:rPr>
                <w:noProof/>
              </w:rPr>
              <w:t>17.6</w:t>
            </w:r>
          </w:p>
        </w:tc>
        <w:tc>
          <w:tcPr>
            <w:tcW w:w="1161" w:type="dxa"/>
            <w:shd w:val="clear" w:color="auto" w:fill="C4EFCE"/>
            <w:noWrap/>
            <w:vAlign w:val="center"/>
            <w:hideMark/>
          </w:tcPr>
          <w:p w14:paraId="35D30780"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7BD399B4"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FBC9748" w14:textId="77777777" w:rsidR="00A15990" w:rsidRDefault="00686A62">
            <w:pPr>
              <w:pStyle w:val="P68B1DB1-Normal8"/>
              <w:spacing w:after="0" w:line="240" w:lineRule="auto"/>
              <w:jc w:val="center"/>
              <w:rPr>
                <w:rFonts w:eastAsia="Times New Roman" w:cs="Calibri"/>
                <w:noProof/>
              </w:rPr>
            </w:pPr>
            <w:r>
              <w:rPr>
                <w:noProof/>
              </w:rPr>
              <w:t>Intrarea în vigoare a noului model de contract de gestionare în cadrul noului sistem de stimulente/sancțiuni pentru conducerea întreprinderilor de stat</w:t>
            </w:r>
          </w:p>
        </w:tc>
        <w:tc>
          <w:tcPr>
            <w:tcW w:w="1356" w:type="dxa"/>
            <w:shd w:val="clear" w:color="auto" w:fill="C4EFCE"/>
            <w:noWrap/>
            <w:vAlign w:val="center"/>
            <w:hideMark/>
          </w:tcPr>
          <w:p w14:paraId="01049FF8" w14:textId="77777777" w:rsidR="00A15990" w:rsidRDefault="00686A62">
            <w:pPr>
              <w:pStyle w:val="P68B1DB1-Normal8"/>
              <w:spacing w:after="0" w:line="240" w:lineRule="auto"/>
              <w:jc w:val="center"/>
              <w:rPr>
                <w:rFonts w:eastAsia="Times New Roman" w:cs="Calibri"/>
                <w:noProof/>
              </w:rPr>
            </w:pPr>
            <w:r>
              <w:rPr>
                <w:noProof/>
              </w:rPr>
              <w:t>Intrarea în vigoare a noului model de contract de gestionare</w:t>
            </w:r>
          </w:p>
        </w:tc>
        <w:tc>
          <w:tcPr>
            <w:tcW w:w="909" w:type="dxa"/>
            <w:shd w:val="clear" w:color="auto" w:fill="C4EFCE"/>
            <w:noWrap/>
            <w:vAlign w:val="center"/>
            <w:hideMark/>
          </w:tcPr>
          <w:p w14:paraId="2979957B"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86865DA"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8183D31"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74F04CA0"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41B88F6F" w14:textId="77777777" w:rsidR="00A15990" w:rsidRDefault="00686A62">
            <w:pPr>
              <w:pStyle w:val="P68B1DB1-Normal8"/>
              <w:spacing w:after="0" w:line="240" w:lineRule="auto"/>
              <w:jc w:val="center"/>
              <w:rPr>
                <w:rFonts w:eastAsia="Times New Roman" w:cs="Calibri"/>
                <w:noProof/>
              </w:rPr>
            </w:pPr>
            <w:r>
              <w:rPr>
                <w:noProof/>
              </w:rPr>
              <w:t>2021</w:t>
            </w:r>
          </w:p>
        </w:tc>
        <w:tc>
          <w:tcPr>
            <w:tcW w:w="5456" w:type="dxa"/>
            <w:shd w:val="clear" w:color="auto" w:fill="C4EFCE"/>
            <w:noWrap/>
            <w:vAlign w:val="center"/>
            <w:hideMark/>
          </w:tcPr>
          <w:p w14:paraId="60637229" w14:textId="77777777" w:rsidR="00A15990" w:rsidRDefault="00686A62">
            <w:pPr>
              <w:pStyle w:val="P68B1DB1-Normal8"/>
              <w:spacing w:after="0" w:line="240" w:lineRule="auto"/>
              <w:jc w:val="both"/>
              <w:rPr>
                <w:rFonts w:eastAsia="Times New Roman" w:cs="Calibri"/>
                <w:noProof/>
              </w:rPr>
            </w:pPr>
            <w:r>
              <w:rPr>
                <w:noProof/>
              </w:rPr>
              <w:t>Intrarea în vigoare a noului model de contract de gestionare care urmează să fie semnat cu directorii publici numiți în consiliile de administrație ale întreprinderilor de stat, pentru a spori responsabilitatea și responsabilitatea în gestionarea resurselor publice prin intermediul unui nou sistem de stimulente/sancțiuni orientate spre performanță.</w:t>
            </w:r>
          </w:p>
        </w:tc>
      </w:tr>
      <w:tr w:rsidR="00A15990" w14:paraId="05E11610" w14:textId="77777777">
        <w:trPr>
          <w:trHeight w:val="640"/>
        </w:trPr>
        <w:tc>
          <w:tcPr>
            <w:tcW w:w="1043" w:type="dxa"/>
            <w:gridSpan w:val="2"/>
            <w:shd w:val="clear" w:color="auto" w:fill="C4EFCE"/>
            <w:vAlign w:val="center"/>
            <w:hideMark/>
          </w:tcPr>
          <w:p w14:paraId="6A4F627A" w14:textId="77777777" w:rsidR="00A15990" w:rsidRDefault="00686A62">
            <w:pPr>
              <w:pStyle w:val="P68B1DB1-Normal7"/>
              <w:spacing w:after="0" w:line="240" w:lineRule="auto"/>
              <w:jc w:val="center"/>
              <w:rPr>
                <w:rFonts w:eastAsia="Times New Roman" w:cs="Calibri"/>
                <w:noProof/>
              </w:rPr>
            </w:pPr>
            <w:r>
              <w:rPr>
                <w:noProof/>
              </w:rPr>
              <w:t>17.7</w:t>
            </w:r>
          </w:p>
        </w:tc>
        <w:tc>
          <w:tcPr>
            <w:tcW w:w="1161" w:type="dxa"/>
            <w:shd w:val="clear" w:color="auto" w:fill="C4EFCE"/>
            <w:noWrap/>
            <w:vAlign w:val="center"/>
            <w:hideMark/>
          </w:tcPr>
          <w:p w14:paraId="0281BF89"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469D9CBF"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27932B26" w14:textId="77777777" w:rsidR="00A15990" w:rsidRDefault="00686A62">
            <w:pPr>
              <w:pStyle w:val="P68B1DB1-Normal8"/>
              <w:spacing w:after="0" w:line="240" w:lineRule="auto"/>
              <w:jc w:val="center"/>
              <w:rPr>
                <w:rFonts w:eastAsia="Times New Roman" w:cs="Calibri"/>
                <w:noProof/>
              </w:rPr>
            </w:pPr>
            <w:r>
              <w:rPr>
                <w:noProof/>
              </w:rPr>
              <w:t>Intrarea în vigoare a noului model de analiză și publicare a situației financiare și a performanței întreprinderilor de stat</w:t>
            </w:r>
          </w:p>
        </w:tc>
        <w:tc>
          <w:tcPr>
            <w:tcW w:w="1356" w:type="dxa"/>
            <w:shd w:val="clear" w:color="auto" w:fill="C4EFCE"/>
            <w:noWrap/>
            <w:vAlign w:val="center"/>
            <w:hideMark/>
          </w:tcPr>
          <w:p w14:paraId="53EB2087" w14:textId="77777777" w:rsidR="00A15990" w:rsidRDefault="00686A62">
            <w:pPr>
              <w:pStyle w:val="P68B1DB1-Normal8"/>
              <w:spacing w:after="0" w:line="240" w:lineRule="auto"/>
              <w:jc w:val="center"/>
              <w:rPr>
                <w:rFonts w:eastAsia="Times New Roman" w:cs="Calibri"/>
                <w:noProof/>
              </w:rPr>
            </w:pPr>
            <w:r>
              <w:rPr>
                <w:noProof/>
              </w:rPr>
              <w:t>Intrarea în vigoare a noului raport care detaliază situația financiară și performanța întreprinderilor de stat</w:t>
            </w:r>
          </w:p>
        </w:tc>
        <w:tc>
          <w:tcPr>
            <w:tcW w:w="909" w:type="dxa"/>
            <w:shd w:val="clear" w:color="auto" w:fill="C4EFCE"/>
            <w:noWrap/>
            <w:vAlign w:val="center"/>
            <w:hideMark/>
          </w:tcPr>
          <w:p w14:paraId="7E4BBF12"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3AEE0230"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57D6AD99"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1CEAF54"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5129272B" w14:textId="77777777" w:rsidR="00A15990" w:rsidRDefault="00686A62">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32D08DEA" w14:textId="77777777" w:rsidR="00A15990" w:rsidRDefault="00686A62">
            <w:pPr>
              <w:pStyle w:val="P68B1DB1-Normal8"/>
              <w:spacing w:after="0" w:line="240" w:lineRule="auto"/>
              <w:jc w:val="both"/>
              <w:rPr>
                <w:rFonts w:eastAsia="Times New Roman" w:cs="Calibri"/>
                <w:noProof/>
              </w:rPr>
            </w:pPr>
            <w:r>
              <w:rPr>
                <w:noProof/>
              </w:rPr>
              <w:t>Intrarea în vigoare a noului raport care detaliază situația financiară și performanța întreprinderilor de stat în mod regulat și în timp util, incluzând datele financiare colectate prin intermediul noului sistem de informații privind sectorul întreprinderilor de stat.</w:t>
            </w:r>
          </w:p>
        </w:tc>
      </w:tr>
      <w:tr w:rsidR="00A15990" w14:paraId="67B2B5AF" w14:textId="77777777">
        <w:trPr>
          <w:trHeight w:val="1060"/>
        </w:trPr>
        <w:tc>
          <w:tcPr>
            <w:tcW w:w="1043" w:type="dxa"/>
            <w:gridSpan w:val="2"/>
            <w:shd w:val="clear" w:color="auto" w:fill="C4EFCE"/>
            <w:vAlign w:val="center"/>
            <w:hideMark/>
          </w:tcPr>
          <w:p w14:paraId="2718254D" w14:textId="77777777" w:rsidR="00A15990" w:rsidRDefault="00686A62">
            <w:pPr>
              <w:pStyle w:val="P68B1DB1-Normal7"/>
              <w:spacing w:after="0" w:line="240" w:lineRule="auto"/>
              <w:jc w:val="center"/>
              <w:rPr>
                <w:rFonts w:eastAsia="Times New Roman" w:cs="Calibri"/>
                <w:noProof/>
              </w:rPr>
            </w:pPr>
            <w:r>
              <w:rPr>
                <w:noProof/>
              </w:rPr>
              <w:t>17.8</w:t>
            </w:r>
          </w:p>
        </w:tc>
        <w:tc>
          <w:tcPr>
            <w:tcW w:w="1161" w:type="dxa"/>
            <w:shd w:val="clear" w:color="auto" w:fill="C4EFCE"/>
            <w:noWrap/>
            <w:vAlign w:val="center"/>
            <w:hideMark/>
          </w:tcPr>
          <w:p w14:paraId="645BCB5E" w14:textId="77777777" w:rsidR="00A15990" w:rsidRDefault="00686A62">
            <w:pPr>
              <w:pStyle w:val="P68B1DB1-Normal8"/>
              <w:spacing w:after="0" w:line="240" w:lineRule="auto"/>
              <w:jc w:val="center"/>
              <w:rPr>
                <w:rFonts w:eastAsia="Times New Roman" w:cs="Calibri"/>
                <w:noProof/>
              </w:rPr>
            </w:pPr>
            <w:r>
              <w:rPr>
                <w:noProof/>
              </w:rPr>
              <w:t>TD-C17-r32</w:t>
            </w:r>
          </w:p>
        </w:tc>
        <w:tc>
          <w:tcPr>
            <w:tcW w:w="1034" w:type="dxa"/>
            <w:shd w:val="clear" w:color="auto" w:fill="C4EFCE"/>
            <w:noWrap/>
            <w:vAlign w:val="center"/>
            <w:hideMark/>
          </w:tcPr>
          <w:p w14:paraId="3095D188" w14:textId="77777777" w:rsidR="00A15990" w:rsidRDefault="00686A62">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7E9415F6" w14:textId="77777777" w:rsidR="00A15990" w:rsidRDefault="00686A62">
            <w:pPr>
              <w:pStyle w:val="P68B1DB1-Normal8"/>
              <w:spacing w:after="0" w:line="240" w:lineRule="auto"/>
              <w:jc w:val="center"/>
              <w:rPr>
                <w:rFonts w:eastAsia="Times New Roman" w:cs="Calibri"/>
                <w:noProof/>
              </w:rPr>
            </w:pPr>
            <w:r>
              <w:rPr>
                <w:noProof/>
              </w:rPr>
              <w:t>Numărul de planuri bugetare și de activități ale întreprinderilor de stat aprobate în mod consecvent de ministrul de finanțe și de ministrul (miniștrii) de resort respectiv (i)</w:t>
            </w:r>
          </w:p>
        </w:tc>
        <w:tc>
          <w:tcPr>
            <w:tcW w:w="1356" w:type="dxa"/>
            <w:shd w:val="clear" w:color="auto" w:fill="C4EFCE"/>
            <w:noWrap/>
            <w:vAlign w:val="center"/>
            <w:hideMark/>
          </w:tcPr>
          <w:p w14:paraId="121B6A1E" w14:textId="77777777" w:rsidR="00A15990" w:rsidRDefault="00686A62">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40C2BC2B" w14:textId="77777777" w:rsidR="00A15990" w:rsidRDefault="00686A62">
            <w:pPr>
              <w:pStyle w:val="P68B1DB1-Normal8"/>
              <w:spacing w:after="0" w:line="240" w:lineRule="auto"/>
              <w:jc w:val="center"/>
              <w:rPr>
                <w:rFonts w:eastAsia="Times New Roman" w:cs="Calibri"/>
                <w:noProof/>
              </w:rPr>
            </w:pPr>
            <w:r>
              <w:rPr>
                <w:noProof/>
              </w:rPr>
              <w:t>Numărul</w:t>
            </w:r>
          </w:p>
        </w:tc>
        <w:tc>
          <w:tcPr>
            <w:tcW w:w="908" w:type="dxa"/>
            <w:shd w:val="clear" w:color="auto" w:fill="C4EFCE"/>
            <w:noWrap/>
            <w:vAlign w:val="center"/>
            <w:hideMark/>
          </w:tcPr>
          <w:p w14:paraId="09B98B1A" w14:textId="77777777" w:rsidR="00A15990" w:rsidRDefault="00686A62">
            <w:pPr>
              <w:pStyle w:val="P68B1DB1-Normal8"/>
              <w:spacing w:after="0" w:line="240" w:lineRule="auto"/>
              <w:jc w:val="center"/>
              <w:rPr>
                <w:rFonts w:eastAsia="Times New Roman" w:cs="Calibri"/>
                <w:noProof/>
              </w:rPr>
            </w:pPr>
            <w:r>
              <w:rPr>
                <w:noProof/>
              </w:rPr>
              <w:t>74</w:t>
            </w:r>
          </w:p>
        </w:tc>
        <w:tc>
          <w:tcPr>
            <w:tcW w:w="657" w:type="dxa"/>
            <w:shd w:val="clear" w:color="auto" w:fill="C4EFCE"/>
            <w:noWrap/>
            <w:vAlign w:val="center"/>
            <w:hideMark/>
          </w:tcPr>
          <w:p w14:paraId="2E1A10E1" w14:textId="77777777" w:rsidR="00A15990" w:rsidRDefault="00686A62">
            <w:pPr>
              <w:pStyle w:val="P68B1DB1-Normal8"/>
              <w:spacing w:after="0" w:line="240" w:lineRule="auto"/>
              <w:jc w:val="center"/>
              <w:rPr>
                <w:rFonts w:eastAsia="Times New Roman" w:cs="Calibri"/>
                <w:noProof/>
              </w:rPr>
            </w:pPr>
            <w:r>
              <w:rPr>
                <w:noProof/>
              </w:rPr>
              <w:t>136</w:t>
            </w:r>
          </w:p>
        </w:tc>
        <w:tc>
          <w:tcPr>
            <w:tcW w:w="530" w:type="dxa"/>
            <w:shd w:val="clear" w:color="auto" w:fill="C4EFCE"/>
            <w:noWrap/>
            <w:vAlign w:val="center"/>
            <w:hideMark/>
          </w:tcPr>
          <w:p w14:paraId="39065690"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4333AF73"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0DEA027" w14:textId="77777777" w:rsidR="00A15990" w:rsidRDefault="00686A62">
            <w:pPr>
              <w:pStyle w:val="P68B1DB1-Normal8"/>
              <w:spacing w:after="0" w:line="240" w:lineRule="auto"/>
              <w:jc w:val="both"/>
              <w:rPr>
                <w:rFonts w:eastAsia="Times New Roman" w:cs="Calibri"/>
                <w:noProof/>
              </w:rPr>
            </w:pPr>
            <w:r>
              <w:rPr>
                <w:noProof/>
              </w:rPr>
              <w:t>Evaluarea bugetului și a planurilor de activități ale întreprinderilor de stat în timp util. Acestea sunt planuri strategice de gestionare pe trei ani, în cadrul cărora întreprinderile de stat definesc și negociază cu ministrul de finanțe și cu ministrul (miniștrii) de resort respectiv (i) principalele linii de acțiune, portofoliul de servicii, resursele umane, planul de investiții, nivelurile activității de asistență și fișa economico-financiară pentru o perioadă de trei ani, precum și explicarea creșterii eficienței și a productivității care le asigură sustenabilitatea financiară pe termen mediu și lung.</w:t>
            </w:r>
          </w:p>
        </w:tc>
      </w:tr>
      <w:tr w:rsidR="00A15990" w14:paraId="17BCAA4C" w14:textId="77777777">
        <w:trPr>
          <w:trHeight w:val="430"/>
        </w:trPr>
        <w:tc>
          <w:tcPr>
            <w:tcW w:w="1043" w:type="dxa"/>
            <w:gridSpan w:val="2"/>
            <w:shd w:val="clear" w:color="auto" w:fill="C4EFCE"/>
            <w:vAlign w:val="center"/>
            <w:hideMark/>
          </w:tcPr>
          <w:p w14:paraId="4DF0D948" w14:textId="41156502" w:rsidR="00A15990" w:rsidRDefault="00686A62">
            <w:pPr>
              <w:pStyle w:val="P68B1DB1-Normal7"/>
              <w:spacing w:after="0" w:line="240" w:lineRule="auto"/>
              <w:jc w:val="center"/>
              <w:rPr>
                <w:rFonts w:eastAsia="Times New Roman" w:cs="Calibri"/>
                <w:noProof/>
              </w:rPr>
            </w:pPr>
            <w:r>
              <w:rPr>
                <w:noProof/>
              </w:rPr>
              <w:t>17.9</w:t>
            </w:r>
          </w:p>
        </w:tc>
        <w:tc>
          <w:tcPr>
            <w:tcW w:w="1161" w:type="dxa"/>
            <w:shd w:val="clear" w:color="auto" w:fill="C4EFCE"/>
            <w:noWrap/>
            <w:vAlign w:val="center"/>
            <w:hideMark/>
          </w:tcPr>
          <w:p w14:paraId="2BCC8FC6" w14:textId="77777777" w:rsidR="00A15990" w:rsidRDefault="00686A62">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1B478FE"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63928ED9" w14:textId="77777777" w:rsidR="00A15990" w:rsidRDefault="00686A62">
            <w:pPr>
              <w:pStyle w:val="P68B1DB1-Normal8"/>
              <w:spacing w:after="0" w:line="240" w:lineRule="auto"/>
              <w:jc w:val="center"/>
              <w:rPr>
                <w:rFonts w:eastAsia="Times New Roman" w:cs="Calibri"/>
                <w:noProof/>
              </w:rPr>
            </w:pPr>
            <w:r>
              <w:rPr>
                <w:noProof/>
              </w:rPr>
              <w:t>Finalizarea punerii în aplicare a entității contabile de stat</w:t>
            </w:r>
          </w:p>
        </w:tc>
        <w:tc>
          <w:tcPr>
            <w:tcW w:w="1356" w:type="dxa"/>
            <w:shd w:val="clear" w:color="auto" w:fill="C4EFCE"/>
            <w:noWrap/>
            <w:vAlign w:val="center"/>
            <w:hideMark/>
          </w:tcPr>
          <w:p w14:paraId="087F0E3A" w14:textId="77777777" w:rsidR="00A15990" w:rsidRDefault="00686A62">
            <w:pPr>
              <w:pStyle w:val="P68B1DB1-Normal8"/>
              <w:spacing w:after="0" w:line="240" w:lineRule="auto"/>
              <w:jc w:val="center"/>
              <w:rPr>
                <w:rFonts w:eastAsia="Times New Roman" w:cs="Calibri"/>
                <w:noProof/>
              </w:rPr>
            </w:pPr>
            <w:r>
              <w:rPr>
                <w:noProof/>
              </w:rPr>
              <w:t>Finalizarea punerii în aplicare a entității contabile de stat</w:t>
            </w:r>
          </w:p>
        </w:tc>
        <w:tc>
          <w:tcPr>
            <w:tcW w:w="909" w:type="dxa"/>
            <w:shd w:val="clear" w:color="auto" w:fill="C4EFCE"/>
            <w:noWrap/>
            <w:vAlign w:val="center"/>
            <w:hideMark/>
          </w:tcPr>
          <w:p w14:paraId="0D51700F"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844B0A4"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E39381A"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42A23F4" w14:textId="77D292C3" w:rsidR="00A15990" w:rsidRDefault="00686A62">
            <w:pPr>
              <w:pStyle w:val="P68B1DB1-Normal8"/>
              <w:spacing w:after="0" w:line="240" w:lineRule="auto"/>
              <w:jc w:val="center"/>
              <w:rPr>
                <w:rFonts w:eastAsia="Times New Roman" w:cs="Calibri"/>
                <w:noProof/>
              </w:rPr>
            </w:pPr>
            <w:r>
              <w:rPr>
                <w:noProof/>
              </w:rPr>
              <w:t>TRIMESTRUL 2</w:t>
            </w:r>
          </w:p>
        </w:tc>
        <w:tc>
          <w:tcPr>
            <w:tcW w:w="656" w:type="dxa"/>
            <w:shd w:val="clear" w:color="auto" w:fill="C4EFCE"/>
            <w:noWrap/>
            <w:vAlign w:val="center"/>
            <w:hideMark/>
          </w:tcPr>
          <w:p w14:paraId="5FB1E755" w14:textId="64553DDF" w:rsidR="00A15990" w:rsidRDefault="00686A62">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4704A1B6" w14:textId="77777777" w:rsidR="00A15990" w:rsidRDefault="00686A62">
            <w:pPr>
              <w:pStyle w:val="P68B1DB1-Normal8"/>
              <w:spacing w:after="0" w:line="240" w:lineRule="auto"/>
              <w:jc w:val="both"/>
              <w:rPr>
                <w:rFonts w:eastAsia="Times New Roman" w:cs="Calibri"/>
                <w:noProof/>
              </w:rPr>
            </w:pPr>
            <w:r>
              <w:rPr>
                <w:noProof/>
              </w:rPr>
              <w:t>Finalizarea punerii în aplicare a entității contabile de stat, în deplină conformitate cu articolele 49 și 55 din Legea privind cadrul bugetar din 2015.</w:t>
            </w:r>
          </w:p>
        </w:tc>
      </w:tr>
      <w:tr w:rsidR="00A15990" w14:paraId="162E15E3" w14:textId="77777777">
        <w:trPr>
          <w:trHeight w:val="640"/>
        </w:trPr>
        <w:tc>
          <w:tcPr>
            <w:tcW w:w="1043" w:type="dxa"/>
            <w:gridSpan w:val="2"/>
            <w:shd w:val="clear" w:color="auto" w:fill="C4EFCE"/>
            <w:vAlign w:val="center"/>
            <w:hideMark/>
          </w:tcPr>
          <w:p w14:paraId="3BDDDDA8" w14:textId="77777777" w:rsidR="00A15990" w:rsidRDefault="00686A62">
            <w:pPr>
              <w:pStyle w:val="P68B1DB1-Normal7"/>
              <w:spacing w:after="0" w:line="240" w:lineRule="auto"/>
              <w:jc w:val="center"/>
              <w:rPr>
                <w:rFonts w:eastAsia="Times New Roman" w:cs="Calibri"/>
                <w:noProof/>
              </w:rPr>
            </w:pPr>
            <w:r>
              <w:rPr>
                <w:noProof/>
              </w:rPr>
              <w:t>17.10</w:t>
            </w:r>
          </w:p>
        </w:tc>
        <w:tc>
          <w:tcPr>
            <w:tcW w:w="1161" w:type="dxa"/>
            <w:shd w:val="clear" w:color="auto" w:fill="C4EFCE"/>
            <w:noWrap/>
            <w:vAlign w:val="center"/>
            <w:hideMark/>
          </w:tcPr>
          <w:p w14:paraId="498D4AC6" w14:textId="77777777" w:rsidR="00A15990" w:rsidRDefault="00686A62">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4C7A787A"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16CC567" w14:textId="77777777" w:rsidR="00A15990" w:rsidRDefault="00686A62">
            <w:pPr>
              <w:pStyle w:val="P68B1DB1-Normal8"/>
              <w:spacing w:after="0" w:line="240" w:lineRule="auto"/>
              <w:jc w:val="center"/>
              <w:rPr>
                <w:rFonts w:eastAsia="Times New Roman" w:cs="Calibri"/>
                <w:noProof/>
              </w:rPr>
            </w:pPr>
            <w:r>
              <w:rPr>
                <w:noProof/>
              </w:rPr>
              <w:t>Punerea în funcțiune a sistemului de informații pentru reproiectarea și punerea în aplicare a procesului bugetar, incluzând întocmirea bugetului pentru programe</w:t>
            </w:r>
          </w:p>
        </w:tc>
        <w:tc>
          <w:tcPr>
            <w:tcW w:w="1356" w:type="dxa"/>
            <w:shd w:val="clear" w:color="auto" w:fill="C4EFCE"/>
            <w:noWrap/>
            <w:vAlign w:val="center"/>
            <w:hideMark/>
          </w:tcPr>
          <w:p w14:paraId="14DDB52C" w14:textId="77777777" w:rsidR="00A15990" w:rsidRDefault="00686A62">
            <w:pPr>
              <w:pStyle w:val="P68B1DB1-Normal8"/>
              <w:spacing w:after="0" w:line="240" w:lineRule="auto"/>
              <w:jc w:val="center"/>
              <w:rPr>
                <w:rFonts w:eastAsia="Times New Roman" w:cs="Calibri"/>
                <w:noProof/>
              </w:rPr>
            </w:pPr>
            <w:r>
              <w:rPr>
                <w:noProof/>
              </w:rPr>
              <w:t>Punerea în funcțiune a sistemului informatic pentru reproiectarea și punerea în aplicare a procesului bugetar</w:t>
            </w:r>
          </w:p>
        </w:tc>
        <w:tc>
          <w:tcPr>
            <w:tcW w:w="909" w:type="dxa"/>
            <w:shd w:val="clear" w:color="auto" w:fill="C4EFCE"/>
            <w:noWrap/>
            <w:vAlign w:val="center"/>
            <w:hideMark/>
          </w:tcPr>
          <w:p w14:paraId="187C07AB"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693EE4D0"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CDCFA85"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34839CEE"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38281D6B" w14:textId="77777777" w:rsidR="00A15990" w:rsidRDefault="00686A62">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75FD6C3B" w14:textId="77777777" w:rsidR="00A15990" w:rsidRDefault="00686A62">
            <w:pPr>
              <w:pStyle w:val="P68B1DB1-Normal8"/>
              <w:spacing w:after="0" w:line="240" w:lineRule="auto"/>
              <w:jc w:val="both"/>
              <w:rPr>
                <w:rFonts w:eastAsia="Times New Roman" w:cs="Calibri"/>
                <w:noProof/>
              </w:rPr>
            </w:pPr>
            <w:r>
              <w:rPr>
                <w:noProof/>
              </w:rPr>
              <w:t>Punerea în funcțiune a sistemului de informații pentru a asigura prezentarea informațiilor bugetare/contabile în conformitate cu noile formate prevăzute în Legea privind cadrul bugetar din 2015 de către toate entitățile administrației publice, inclusiv în ceea ce privește noile programe bugetare bazate pe performanță.</w:t>
            </w:r>
          </w:p>
        </w:tc>
      </w:tr>
      <w:tr w:rsidR="00A15990" w14:paraId="6E9D296B" w14:textId="77777777">
        <w:trPr>
          <w:trHeight w:val="640"/>
        </w:trPr>
        <w:tc>
          <w:tcPr>
            <w:tcW w:w="1043" w:type="dxa"/>
            <w:gridSpan w:val="2"/>
            <w:shd w:val="clear" w:color="auto" w:fill="C4EFCE"/>
            <w:vAlign w:val="center"/>
            <w:hideMark/>
          </w:tcPr>
          <w:p w14:paraId="010A6216" w14:textId="77777777" w:rsidR="00A15990" w:rsidRDefault="00686A62">
            <w:pPr>
              <w:pStyle w:val="P68B1DB1-Normal7"/>
              <w:spacing w:after="0" w:line="240" w:lineRule="auto"/>
              <w:jc w:val="center"/>
              <w:rPr>
                <w:rFonts w:eastAsia="Times New Roman" w:cs="Calibri"/>
                <w:noProof/>
              </w:rPr>
            </w:pPr>
            <w:r>
              <w:rPr>
                <w:noProof/>
              </w:rPr>
              <w:t>17.11</w:t>
            </w:r>
          </w:p>
        </w:tc>
        <w:tc>
          <w:tcPr>
            <w:tcW w:w="1161" w:type="dxa"/>
            <w:shd w:val="clear" w:color="auto" w:fill="C4EFCE"/>
            <w:noWrap/>
            <w:vAlign w:val="center"/>
            <w:hideMark/>
          </w:tcPr>
          <w:p w14:paraId="06619773" w14:textId="77777777" w:rsidR="00A15990" w:rsidRDefault="00686A62">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68FBC5C2"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1DDE848B" w14:textId="77777777" w:rsidR="00A15990" w:rsidRDefault="00686A62">
            <w:pPr>
              <w:pStyle w:val="P68B1DB1-Normal8"/>
              <w:spacing w:after="0" w:line="240" w:lineRule="auto"/>
              <w:jc w:val="center"/>
              <w:rPr>
                <w:rFonts w:eastAsia="Times New Roman" w:cs="Calibri"/>
                <w:noProof/>
              </w:rPr>
            </w:pPr>
            <w:r>
              <w:rPr>
                <w:noProof/>
              </w:rPr>
              <w:t>Punerea în funcțiune a unui sistem informatic de sprijin pentru noul model de control bugetar și financiar</w:t>
            </w:r>
          </w:p>
        </w:tc>
        <w:tc>
          <w:tcPr>
            <w:tcW w:w="1356" w:type="dxa"/>
            <w:shd w:val="clear" w:color="auto" w:fill="C4EFCE"/>
            <w:noWrap/>
            <w:vAlign w:val="center"/>
            <w:hideMark/>
          </w:tcPr>
          <w:p w14:paraId="7C8F93A5" w14:textId="77777777" w:rsidR="00A15990" w:rsidRDefault="00686A62">
            <w:pPr>
              <w:pStyle w:val="P68B1DB1-Normal8"/>
              <w:spacing w:after="0" w:line="240" w:lineRule="auto"/>
              <w:jc w:val="center"/>
              <w:rPr>
                <w:rFonts w:eastAsia="Times New Roman" w:cs="Calibri"/>
                <w:noProof/>
              </w:rPr>
            </w:pPr>
            <w:r>
              <w:rPr>
                <w:noProof/>
              </w:rPr>
              <w:t>Sistemul informatic în funcțiune</w:t>
            </w:r>
          </w:p>
        </w:tc>
        <w:tc>
          <w:tcPr>
            <w:tcW w:w="909" w:type="dxa"/>
            <w:shd w:val="clear" w:color="auto" w:fill="C4EFCE"/>
            <w:noWrap/>
            <w:vAlign w:val="center"/>
            <w:hideMark/>
          </w:tcPr>
          <w:p w14:paraId="2B202843"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BB56DFB"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4A48EF47"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B10605D"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6E4DCD5D"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39CC531C" w14:textId="77777777" w:rsidR="00A15990" w:rsidRDefault="00686A62">
            <w:pPr>
              <w:pStyle w:val="P68B1DB1-Normal8"/>
              <w:spacing w:after="0" w:line="240" w:lineRule="auto"/>
              <w:jc w:val="both"/>
              <w:rPr>
                <w:rFonts w:eastAsia="Times New Roman" w:cs="Calibri"/>
                <w:noProof/>
              </w:rPr>
            </w:pPr>
            <w:r>
              <w:rPr>
                <w:noProof/>
              </w:rPr>
              <w:t>Punerea în funcțiune a unui sistem informatic de sprijin pentru a asigura controlul și monitorizarea informațiilor bugetare/contabile în conformitate cu noile formate prevăzute în Legea privind cadrul bugetar din 2015 de către toate entitățile administrației publice.</w:t>
            </w:r>
          </w:p>
        </w:tc>
      </w:tr>
      <w:tr w:rsidR="00A15990" w14:paraId="0407FA88" w14:textId="77777777">
        <w:trPr>
          <w:trHeight w:val="1060"/>
        </w:trPr>
        <w:tc>
          <w:tcPr>
            <w:tcW w:w="1043" w:type="dxa"/>
            <w:gridSpan w:val="2"/>
            <w:shd w:val="clear" w:color="auto" w:fill="C4EFCE"/>
            <w:vAlign w:val="center"/>
            <w:hideMark/>
          </w:tcPr>
          <w:p w14:paraId="1E4ADC51" w14:textId="77777777" w:rsidR="00A15990" w:rsidRDefault="00686A62">
            <w:pPr>
              <w:pStyle w:val="P68B1DB1-Normal7"/>
              <w:spacing w:after="0" w:line="240" w:lineRule="auto"/>
              <w:jc w:val="center"/>
              <w:rPr>
                <w:rFonts w:eastAsia="Times New Roman" w:cs="Calibri"/>
                <w:noProof/>
              </w:rPr>
            </w:pPr>
            <w:r>
              <w:rPr>
                <w:noProof/>
              </w:rPr>
              <w:t>17.12</w:t>
            </w:r>
          </w:p>
        </w:tc>
        <w:tc>
          <w:tcPr>
            <w:tcW w:w="1161" w:type="dxa"/>
            <w:shd w:val="clear" w:color="auto" w:fill="C4EFCE"/>
            <w:noWrap/>
            <w:vAlign w:val="center"/>
            <w:hideMark/>
          </w:tcPr>
          <w:p w14:paraId="38F2DF60" w14:textId="77777777" w:rsidR="00A15990" w:rsidRDefault="00686A62">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58703872" w14:textId="77777777" w:rsidR="00A15990" w:rsidRDefault="00686A62">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64324DB2" w14:textId="77777777" w:rsidR="00A15990" w:rsidRDefault="00686A62">
            <w:pPr>
              <w:pStyle w:val="P68B1DB1-Normal8"/>
              <w:spacing w:after="0" w:line="240" w:lineRule="auto"/>
              <w:jc w:val="center"/>
              <w:rPr>
                <w:rFonts w:eastAsia="Times New Roman" w:cs="Calibri"/>
                <w:noProof/>
              </w:rPr>
            </w:pPr>
            <w:r>
              <w:rPr>
                <w:noProof/>
              </w:rPr>
              <w:t>Finalizarea modernizării și simplificării sistemelor de informații ale sistemului central național de achiziții publice</w:t>
            </w:r>
          </w:p>
        </w:tc>
        <w:tc>
          <w:tcPr>
            <w:tcW w:w="1356" w:type="dxa"/>
            <w:shd w:val="clear" w:color="auto" w:fill="C4EFCE"/>
            <w:noWrap/>
            <w:vAlign w:val="center"/>
            <w:hideMark/>
          </w:tcPr>
          <w:p w14:paraId="78DB8F29" w14:textId="77777777" w:rsidR="00A15990" w:rsidRDefault="00686A62">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1A100E82" w14:textId="77777777" w:rsidR="00A15990" w:rsidRDefault="00686A62">
            <w:pPr>
              <w:pStyle w:val="P68B1DB1-Normal8"/>
              <w:spacing w:after="0" w:line="240" w:lineRule="auto"/>
              <w:jc w:val="center"/>
              <w:rPr>
                <w:rFonts w:eastAsia="Times New Roman" w:cs="Calibri"/>
                <w:noProof/>
              </w:rPr>
            </w:pPr>
            <w:r>
              <w:rPr>
                <w:noProof/>
              </w:rPr>
              <w:t>Numărul</w:t>
            </w:r>
          </w:p>
        </w:tc>
        <w:tc>
          <w:tcPr>
            <w:tcW w:w="908" w:type="dxa"/>
            <w:shd w:val="clear" w:color="auto" w:fill="C4EFCE"/>
            <w:noWrap/>
            <w:vAlign w:val="center"/>
            <w:hideMark/>
          </w:tcPr>
          <w:p w14:paraId="75095961" w14:textId="77777777" w:rsidR="00A15990" w:rsidRDefault="00686A62">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02B6DB5F" w14:textId="77777777" w:rsidR="00A15990" w:rsidRDefault="00686A62">
            <w:pPr>
              <w:pStyle w:val="P68B1DB1-Normal8"/>
              <w:spacing w:after="0" w:line="240" w:lineRule="auto"/>
              <w:jc w:val="center"/>
              <w:rPr>
                <w:rFonts w:eastAsia="Times New Roman" w:cs="Calibri"/>
                <w:noProof/>
              </w:rPr>
            </w:pPr>
            <w:r>
              <w:rPr>
                <w:noProof/>
              </w:rPr>
              <w:t>11</w:t>
            </w:r>
          </w:p>
        </w:tc>
        <w:tc>
          <w:tcPr>
            <w:tcW w:w="530" w:type="dxa"/>
            <w:shd w:val="clear" w:color="auto" w:fill="C4EFCE"/>
            <w:noWrap/>
            <w:vAlign w:val="center"/>
            <w:hideMark/>
          </w:tcPr>
          <w:p w14:paraId="3C0A8C2D"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7BB06AD2" w14:textId="77777777" w:rsidR="00A15990" w:rsidRDefault="00686A62">
            <w:pPr>
              <w:pStyle w:val="P68B1DB1-Normal8"/>
              <w:spacing w:after="0" w:line="240" w:lineRule="auto"/>
              <w:jc w:val="center"/>
              <w:rPr>
                <w:rFonts w:eastAsia="Times New Roman" w:cs="Calibri"/>
                <w:noProof/>
              </w:rPr>
            </w:pPr>
            <w:r>
              <w:rPr>
                <w:noProof/>
              </w:rPr>
              <w:t>2024</w:t>
            </w:r>
          </w:p>
        </w:tc>
        <w:tc>
          <w:tcPr>
            <w:tcW w:w="5456" w:type="dxa"/>
            <w:shd w:val="clear" w:color="auto" w:fill="C4EFCE"/>
            <w:noWrap/>
            <w:vAlign w:val="center"/>
            <w:hideMark/>
          </w:tcPr>
          <w:p w14:paraId="39FEEE47" w14:textId="77777777" w:rsidR="00A15990" w:rsidRDefault="00686A62">
            <w:pPr>
              <w:pStyle w:val="P68B1DB1-Normal8"/>
              <w:spacing w:after="0" w:line="240" w:lineRule="auto"/>
              <w:jc w:val="both"/>
              <w:rPr>
                <w:rFonts w:eastAsia="Times New Roman" w:cs="Calibri"/>
                <w:noProof/>
              </w:rPr>
            </w:pPr>
            <w:r>
              <w:rPr>
                <w:noProof/>
              </w:rPr>
              <w:t>Numărul de sisteme de informații modernizate și simplificate ale sistemului central național de achiziții publice, pentru: să promoveze simplificarea administrativă; II) consolidarea mecanismelor de monitorizare și control; să promoveze considerentele legate de eficiența din punctul de vedere al costurilor și de raționalizare; IV) să extindă lista bunurilor și serviciilor care fac obiectul achizițiilor publice centralizate; și v) promovarea colaborării între părțile interesate interne și externe. Realizarea acestui obiectiv se măsoară prin numărul de sisteme informatice noi aflate în funcțiune.</w:t>
            </w:r>
          </w:p>
        </w:tc>
      </w:tr>
      <w:tr w:rsidR="00A15990" w14:paraId="305B2486" w14:textId="77777777">
        <w:trPr>
          <w:trHeight w:val="300"/>
        </w:trPr>
        <w:tc>
          <w:tcPr>
            <w:tcW w:w="1043" w:type="dxa"/>
            <w:gridSpan w:val="2"/>
            <w:shd w:val="clear" w:color="auto" w:fill="C4EFCE"/>
            <w:vAlign w:val="center"/>
            <w:hideMark/>
          </w:tcPr>
          <w:p w14:paraId="4122D3A0" w14:textId="77777777" w:rsidR="00A15990" w:rsidRDefault="00686A62">
            <w:pPr>
              <w:pStyle w:val="P68B1DB1-Normal7"/>
              <w:spacing w:after="0" w:line="240" w:lineRule="auto"/>
              <w:jc w:val="center"/>
              <w:rPr>
                <w:rFonts w:eastAsia="Times New Roman" w:cs="Calibri"/>
                <w:noProof/>
              </w:rPr>
            </w:pPr>
            <w:r>
              <w:rPr>
                <w:noProof/>
              </w:rPr>
              <w:t>17.13</w:t>
            </w:r>
          </w:p>
        </w:tc>
        <w:tc>
          <w:tcPr>
            <w:tcW w:w="1161" w:type="dxa"/>
            <w:shd w:val="clear" w:color="auto" w:fill="C4EFCE"/>
            <w:noWrap/>
            <w:vAlign w:val="center"/>
            <w:hideMark/>
          </w:tcPr>
          <w:p w14:paraId="701D7F02" w14:textId="77777777" w:rsidR="00A15990" w:rsidRDefault="00686A62">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369E606B" w14:textId="353377BE"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4E5C9E6" w14:textId="128584CD" w:rsidR="00A15990" w:rsidRDefault="00686A62">
            <w:pPr>
              <w:pStyle w:val="P68B1DB1-Normal8"/>
              <w:spacing w:after="0" w:line="240" w:lineRule="auto"/>
              <w:jc w:val="center"/>
              <w:rPr>
                <w:rFonts w:eastAsia="Times New Roman" w:cs="Calibri"/>
                <w:noProof/>
              </w:rPr>
            </w:pPr>
            <w:r>
              <w:rPr>
                <w:noProof/>
              </w:rPr>
              <w:t xml:space="preserve">Finalizarea punerii în aplicare a </w:t>
            </w:r>
            <w:r>
              <w:rPr>
                <w:i/>
                <w:noProof/>
              </w:rPr>
              <w:t>Sistemului de Gestão de Património Imobiliário Público</w:t>
            </w:r>
            <w:r>
              <w:rPr>
                <w:noProof/>
              </w:rPr>
              <w:t xml:space="preserve"> (SIGPIP) și a modernizării sistemelor informatice pentru vehiculele deținute de stat</w:t>
            </w:r>
          </w:p>
        </w:tc>
        <w:tc>
          <w:tcPr>
            <w:tcW w:w="1356" w:type="dxa"/>
            <w:shd w:val="clear" w:color="auto" w:fill="C4EFCE"/>
            <w:noWrap/>
            <w:vAlign w:val="center"/>
            <w:hideMark/>
          </w:tcPr>
          <w:p w14:paraId="2E7F8560" w14:textId="2744589B" w:rsidR="00A15990" w:rsidRDefault="00686A62">
            <w:pPr>
              <w:pStyle w:val="P68B1DB1-Normal8"/>
              <w:spacing w:after="0" w:line="240" w:lineRule="auto"/>
              <w:rPr>
                <w:rFonts w:eastAsia="Times New Roman" w:cs="Calibri"/>
                <w:noProof/>
              </w:rPr>
            </w:pPr>
            <w:r>
              <w:rPr>
                <w:noProof/>
              </w:rPr>
              <w:t>Finalizarea implementării SIGPIP și punerea în funcțiune a sistemelor informatice pentru vehiculele deținute de stat</w:t>
            </w:r>
          </w:p>
        </w:tc>
        <w:tc>
          <w:tcPr>
            <w:tcW w:w="909" w:type="dxa"/>
            <w:shd w:val="clear" w:color="auto" w:fill="C4EFCE"/>
            <w:noWrap/>
            <w:vAlign w:val="center"/>
            <w:hideMark/>
          </w:tcPr>
          <w:p w14:paraId="6D2C816C" w14:textId="04080BA1" w:rsidR="00A15990" w:rsidRDefault="00A15990">
            <w:pPr>
              <w:spacing w:after="0" w:line="240" w:lineRule="auto"/>
              <w:jc w:val="center"/>
              <w:rPr>
                <w:rFonts w:ascii="Calibri" w:eastAsia="Times New Roman" w:hAnsi="Calibri" w:cs="Calibri"/>
                <w:noProof/>
                <w:sz w:val="16"/>
              </w:rPr>
            </w:pPr>
          </w:p>
        </w:tc>
        <w:tc>
          <w:tcPr>
            <w:tcW w:w="908" w:type="dxa"/>
            <w:shd w:val="clear" w:color="auto" w:fill="C4EFCE"/>
            <w:noWrap/>
            <w:vAlign w:val="center"/>
            <w:hideMark/>
          </w:tcPr>
          <w:p w14:paraId="5F6E0C5C" w14:textId="43B2C062" w:rsidR="00A15990" w:rsidRDefault="00A15990">
            <w:pPr>
              <w:spacing w:after="0" w:line="240" w:lineRule="auto"/>
              <w:jc w:val="center"/>
              <w:rPr>
                <w:rFonts w:ascii="Calibri" w:eastAsia="Times New Roman" w:hAnsi="Calibri" w:cs="Calibri"/>
                <w:noProof/>
                <w:sz w:val="16"/>
              </w:rPr>
            </w:pPr>
          </w:p>
        </w:tc>
        <w:tc>
          <w:tcPr>
            <w:tcW w:w="657" w:type="dxa"/>
            <w:shd w:val="clear" w:color="auto" w:fill="C4EFCE"/>
            <w:noWrap/>
            <w:vAlign w:val="center"/>
            <w:hideMark/>
          </w:tcPr>
          <w:p w14:paraId="1BDD16A4" w14:textId="3B8B3F7A" w:rsidR="00A15990" w:rsidRDefault="00A15990">
            <w:pPr>
              <w:spacing w:after="0" w:line="240" w:lineRule="auto"/>
              <w:jc w:val="center"/>
              <w:rPr>
                <w:rFonts w:ascii="Calibri" w:eastAsia="Times New Roman" w:hAnsi="Calibri" w:cs="Calibri"/>
                <w:noProof/>
                <w:sz w:val="16"/>
              </w:rPr>
            </w:pPr>
          </w:p>
        </w:tc>
        <w:tc>
          <w:tcPr>
            <w:tcW w:w="530" w:type="dxa"/>
            <w:shd w:val="clear" w:color="auto" w:fill="C4EFCE"/>
            <w:noWrap/>
            <w:vAlign w:val="center"/>
            <w:hideMark/>
          </w:tcPr>
          <w:p w14:paraId="0BBA56AA" w14:textId="77777777" w:rsidR="00A15990" w:rsidRDefault="00686A62">
            <w:pPr>
              <w:pStyle w:val="P68B1DB1-Normal8"/>
              <w:spacing w:after="0" w:line="240" w:lineRule="auto"/>
              <w:jc w:val="center"/>
              <w:rPr>
                <w:rFonts w:eastAsia="Times New Roman" w:cs="Calibri"/>
                <w:noProof/>
              </w:rPr>
            </w:pPr>
            <w:r>
              <w:rPr>
                <w:noProof/>
              </w:rPr>
              <w:t>TRIMESTRUL 2</w:t>
            </w:r>
          </w:p>
        </w:tc>
        <w:tc>
          <w:tcPr>
            <w:tcW w:w="656" w:type="dxa"/>
            <w:shd w:val="clear" w:color="auto" w:fill="C4EFCE"/>
            <w:noWrap/>
            <w:vAlign w:val="center"/>
            <w:hideMark/>
          </w:tcPr>
          <w:p w14:paraId="069B7D5F" w14:textId="77777777" w:rsidR="00A15990" w:rsidRDefault="00686A62">
            <w:pPr>
              <w:pStyle w:val="P68B1DB1-Normal8"/>
              <w:spacing w:after="0" w:line="240" w:lineRule="auto"/>
              <w:jc w:val="center"/>
              <w:rPr>
                <w:rFonts w:eastAsia="Times New Roman" w:cs="Calibri"/>
                <w:noProof/>
              </w:rPr>
            </w:pPr>
            <w:r>
              <w:rPr>
                <w:noProof/>
              </w:rPr>
              <w:t>2026</w:t>
            </w:r>
          </w:p>
        </w:tc>
        <w:tc>
          <w:tcPr>
            <w:tcW w:w="5456" w:type="dxa"/>
            <w:shd w:val="clear" w:color="auto" w:fill="C4EFCE"/>
            <w:noWrap/>
            <w:vAlign w:val="center"/>
            <w:hideMark/>
          </w:tcPr>
          <w:p w14:paraId="29151ECC" w14:textId="22FC8058" w:rsidR="00A15990" w:rsidRDefault="00686A62">
            <w:pPr>
              <w:pStyle w:val="P68B1DB1-Normal8"/>
              <w:spacing w:after="0" w:line="240" w:lineRule="auto"/>
              <w:jc w:val="both"/>
              <w:rPr>
                <w:rFonts w:eastAsia="Times New Roman" w:cs="Calibri"/>
                <w:noProof/>
              </w:rPr>
            </w:pPr>
            <w:r>
              <w:rPr>
                <w:noProof/>
              </w:rPr>
              <w:t>Finalizarea punerii în aplicare a</w:t>
            </w:r>
            <w:r>
              <w:rPr>
                <w:i/>
                <w:noProof/>
              </w:rPr>
              <w:t>„Sistemului de Gestão de Património Imobiliário Público”</w:t>
            </w:r>
            <w:r>
              <w:rPr>
                <w:noProof/>
              </w:rPr>
              <w:t xml:space="preserve"> (SIGPIP), care gestionează informațiile privind bunurile imobile publice. </w:t>
            </w:r>
          </w:p>
          <w:p w14:paraId="16254F2D" w14:textId="680EF6EC" w:rsidR="00A15990" w:rsidRDefault="00686A62">
            <w:pPr>
              <w:pStyle w:val="P68B1DB1-Normal8"/>
              <w:spacing w:after="0" w:line="240" w:lineRule="auto"/>
              <w:jc w:val="both"/>
              <w:rPr>
                <w:rFonts w:eastAsia="Times New Roman" w:cs="Calibri"/>
                <w:noProof/>
              </w:rPr>
            </w:pPr>
            <w:r>
              <w:rPr>
                <w:noProof/>
              </w:rPr>
              <w:t>Două noi sisteme de informații care sunt în funcțiune pentru inventarierea și monitorizarea vehiculelor deținute de stat.</w:t>
            </w:r>
          </w:p>
        </w:tc>
      </w:tr>
      <w:tr w:rsidR="00A15990" w14:paraId="29D028EC" w14:textId="77777777">
        <w:trPr>
          <w:trHeight w:val="430"/>
        </w:trPr>
        <w:tc>
          <w:tcPr>
            <w:tcW w:w="1043" w:type="dxa"/>
            <w:gridSpan w:val="2"/>
            <w:shd w:val="clear" w:color="auto" w:fill="C4EFCE"/>
            <w:vAlign w:val="center"/>
            <w:hideMark/>
          </w:tcPr>
          <w:p w14:paraId="339504D8" w14:textId="62CAECE8" w:rsidR="00A15990" w:rsidRDefault="00686A62">
            <w:pPr>
              <w:pStyle w:val="P68B1DB1-Normal7"/>
              <w:spacing w:after="0" w:line="240" w:lineRule="auto"/>
              <w:jc w:val="center"/>
              <w:rPr>
                <w:rFonts w:eastAsia="Times New Roman" w:cs="Calibri"/>
                <w:noProof/>
              </w:rPr>
            </w:pPr>
            <w:r>
              <w:rPr>
                <w:noProof/>
              </w:rPr>
              <w:t>17.14</w:t>
            </w:r>
          </w:p>
        </w:tc>
        <w:tc>
          <w:tcPr>
            <w:tcW w:w="1161" w:type="dxa"/>
            <w:shd w:val="clear" w:color="auto" w:fill="C4EFCE"/>
            <w:noWrap/>
            <w:vAlign w:val="center"/>
            <w:hideMark/>
          </w:tcPr>
          <w:p w14:paraId="76E795FA" w14:textId="77777777" w:rsidR="00A15990" w:rsidRDefault="00686A62">
            <w:pPr>
              <w:pStyle w:val="P68B1DB1-Normal8"/>
              <w:spacing w:after="0" w:line="240" w:lineRule="auto"/>
              <w:jc w:val="center"/>
              <w:rPr>
                <w:rFonts w:eastAsia="Times New Roman" w:cs="Calibri"/>
                <w:noProof/>
              </w:rPr>
            </w:pPr>
            <w:r>
              <w:rPr>
                <w:noProof/>
              </w:rPr>
              <w:t>TD-C17-i01</w:t>
            </w:r>
          </w:p>
        </w:tc>
        <w:tc>
          <w:tcPr>
            <w:tcW w:w="1034" w:type="dxa"/>
            <w:shd w:val="clear" w:color="auto" w:fill="C4EFCE"/>
            <w:noWrap/>
            <w:vAlign w:val="center"/>
            <w:hideMark/>
          </w:tcPr>
          <w:p w14:paraId="2D718AE9"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77EAE67B" w14:textId="77777777" w:rsidR="00A15990" w:rsidRDefault="00686A62">
            <w:pPr>
              <w:pStyle w:val="P68B1DB1-Normal8"/>
              <w:spacing w:after="0" w:line="240" w:lineRule="auto"/>
              <w:jc w:val="center"/>
              <w:rPr>
                <w:rFonts w:eastAsia="Times New Roman" w:cs="Calibri"/>
                <w:noProof/>
              </w:rPr>
            </w:pPr>
            <w:r>
              <w:rPr>
                <w:noProof/>
              </w:rPr>
              <w:t>Finalizarea punerii în aplicare a centrului operațional de securitate</w:t>
            </w:r>
          </w:p>
        </w:tc>
        <w:tc>
          <w:tcPr>
            <w:tcW w:w="1356" w:type="dxa"/>
            <w:shd w:val="clear" w:color="auto" w:fill="C4EFCE"/>
            <w:noWrap/>
            <w:vAlign w:val="center"/>
            <w:hideMark/>
          </w:tcPr>
          <w:p w14:paraId="0998F4B9" w14:textId="77777777" w:rsidR="00A15990" w:rsidRDefault="00686A62">
            <w:pPr>
              <w:pStyle w:val="P68B1DB1-Normal8"/>
              <w:spacing w:after="0" w:line="240" w:lineRule="auto"/>
              <w:jc w:val="center"/>
              <w:rPr>
                <w:rFonts w:eastAsia="Times New Roman" w:cs="Calibri"/>
                <w:noProof/>
              </w:rPr>
            </w:pPr>
            <w:r>
              <w:rPr>
                <w:noProof/>
              </w:rPr>
              <w:t>Finalizarea implementării centrului operațional de securitate</w:t>
            </w:r>
          </w:p>
        </w:tc>
        <w:tc>
          <w:tcPr>
            <w:tcW w:w="909" w:type="dxa"/>
            <w:shd w:val="clear" w:color="auto" w:fill="C4EFCE"/>
            <w:noWrap/>
            <w:vAlign w:val="center"/>
            <w:hideMark/>
          </w:tcPr>
          <w:p w14:paraId="4BF11062"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7A0E5BC3"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3E331B7"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0DF70649"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58B8D8F6"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46684948" w14:textId="77777777" w:rsidR="00A15990" w:rsidRDefault="00686A62">
            <w:pPr>
              <w:pStyle w:val="P68B1DB1-Normal8"/>
              <w:spacing w:after="0" w:line="240" w:lineRule="auto"/>
              <w:jc w:val="both"/>
              <w:rPr>
                <w:rFonts w:eastAsia="Times New Roman" w:cs="Calibri"/>
                <w:noProof/>
              </w:rPr>
            </w:pPr>
            <w:r>
              <w:rPr>
                <w:noProof/>
              </w:rPr>
              <w:t>Finalizarea punerii în aplicare a centrului operațional de securitate pentru a permite sporirea securității informațiilor și a accesului la date, precum și punerea în aplicare a politicilor de securitate și a soluțiilor de securitate cibernetică.</w:t>
            </w:r>
          </w:p>
        </w:tc>
      </w:tr>
      <w:tr w:rsidR="00A15990" w14:paraId="5362F69D" w14:textId="77777777">
        <w:trPr>
          <w:trHeight w:val="640"/>
        </w:trPr>
        <w:tc>
          <w:tcPr>
            <w:tcW w:w="1043" w:type="dxa"/>
            <w:gridSpan w:val="2"/>
            <w:shd w:val="clear" w:color="auto" w:fill="C4EFCE"/>
            <w:vAlign w:val="center"/>
            <w:hideMark/>
          </w:tcPr>
          <w:p w14:paraId="31BEB070" w14:textId="6A625FBD" w:rsidR="00A15990" w:rsidRDefault="00686A62">
            <w:pPr>
              <w:pStyle w:val="P68B1DB1-Normal7"/>
              <w:spacing w:after="0" w:line="240" w:lineRule="auto"/>
              <w:jc w:val="center"/>
              <w:rPr>
                <w:rFonts w:eastAsia="Times New Roman" w:cs="Calibri"/>
                <w:noProof/>
              </w:rPr>
            </w:pPr>
            <w:r>
              <w:rPr>
                <w:noProof/>
              </w:rPr>
              <w:t>17.15</w:t>
            </w:r>
          </w:p>
        </w:tc>
        <w:tc>
          <w:tcPr>
            <w:tcW w:w="1161" w:type="dxa"/>
            <w:shd w:val="clear" w:color="auto" w:fill="C4EFCE"/>
            <w:noWrap/>
            <w:vAlign w:val="center"/>
            <w:hideMark/>
          </w:tcPr>
          <w:p w14:paraId="7B839632" w14:textId="77777777" w:rsidR="00A15990" w:rsidRDefault="00686A62">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0225F062"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4838897" w14:textId="77777777" w:rsidR="00A15990" w:rsidRDefault="00686A62">
            <w:pPr>
              <w:pStyle w:val="P68B1DB1-Normal8"/>
              <w:spacing w:after="0" w:line="240" w:lineRule="auto"/>
              <w:jc w:val="center"/>
              <w:rPr>
                <w:rFonts w:eastAsia="Times New Roman" w:cs="Calibri"/>
                <w:noProof/>
              </w:rPr>
            </w:pPr>
            <w:r>
              <w:rPr>
                <w:noProof/>
              </w:rPr>
              <w:t>Finalizarea punerii în aplicare a completării prealabile a modelului 1 de declarație privind impozitul municipal pe bunuri imobile (IMI), pe baza datelor de care dispune autoritatea fiscală și vamală</w:t>
            </w:r>
          </w:p>
        </w:tc>
        <w:tc>
          <w:tcPr>
            <w:tcW w:w="1356" w:type="dxa"/>
            <w:shd w:val="clear" w:color="auto" w:fill="C4EFCE"/>
            <w:noWrap/>
            <w:vAlign w:val="center"/>
            <w:hideMark/>
          </w:tcPr>
          <w:p w14:paraId="451BCA0C" w14:textId="77777777" w:rsidR="00A15990" w:rsidRDefault="00686A62">
            <w:pPr>
              <w:pStyle w:val="P68B1DB1-Normal8"/>
              <w:spacing w:after="0" w:line="240" w:lineRule="auto"/>
              <w:jc w:val="center"/>
              <w:rPr>
                <w:rFonts w:eastAsia="Times New Roman" w:cs="Calibri"/>
                <w:noProof/>
              </w:rPr>
            </w:pPr>
            <w:r>
              <w:rPr>
                <w:noProof/>
              </w:rPr>
              <w:t>Finalizarea punerii în aplicare a completării prealabile a modelului 1 de declarație privind impozitul municipal pe bunuri imobile (IMI)</w:t>
            </w:r>
          </w:p>
        </w:tc>
        <w:tc>
          <w:tcPr>
            <w:tcW w:w="909" w:type="dxa"/>
            <w:shd w:val="clear" w:color="auto" w:fill="C4EFCE"/>
            <w:noWrap/>
            <w:vAlign w:val="center"/>
            <w:hideMark/>
          </w:tcPr>
          <w:p w14:paraId="5622F9E0"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16D8FAE4"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1D1DC19D"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19997423" w14:textId="77777777" w:rsidR="00A15990" w:rsidRDefault="00686A62">
            <w:pPr>
              <w:pStyle w:val="P68B1DB1-Normal8"/>
              <w:spacing w:after="0" w:line="240" w:lineRule="auto"/>
              <w:jc w:val="center"/>
              <w:rPr>
                <w:rFonts w:eastAsia="Times New Roman" w:cs="Calibri"/>
                <w:noProof/>
              </w:rPr>
            </w:pPr>
            <w:r>
              <w:rPr>
                <w:noProof/>
              </w:rPr>
              <w:t>TRIMESTRUL 2</w:t>
            </w:r>
          </w:p>
        </w:tc>
        <w:tc>
          <w:tcPr>
            <w:tcW w:w="656" w:type="dxa"/>
            <w:shd w:val="clear" w:color="auto" w:fill="C4EFCE"/>
            <w:noWrap/>
            <w:vAlign w:val="center"/>
            <w:hideMark/>
          </w:tcPr>
          <w:p w14:paraId="2F091CDC" w14:textId="77777777" w:rsidR="00A15990" w:rsidRDefault="00686A62">
            <w:pPr>
              <w:pStyle w:val="P68B1DB1-Normal8"/>
              <w:spacing w:after="0" w:line="240" w:lineRule="auto"/>
              <w:jc w:val="center"/>
              <w:rPr>
                <w:rFonts w:eastAsia="Times New Roman" w:cs="Calibri"/>
                <w:noProof/>
              </w:rPr>
            </w:pPr>
            <w:r>
              <w:rPr>
                <w:noProof/>
              </w:rPr>
              <w:t>2022</w:t>
            </w:r>
          </w:p>
        </w:tc>
        <w:tc>
          <w:tcPr>
            <w:tcW w:w="5456" w:type="dxa"/>
            <w:shd w:val="clear" w:color="auto" w:fill="C4EFCE"/>
            <w:noWrap/>
            <w:vAlign w:val="center"/>
            <w:hideMark/>
          </w:tcPr>
          <w:p w14:paraId="0BA4FBF7" w14:textId="77777777" w:rsidR="00A15990" w:rsidRDefault="00686A62">
            <w:pPr>
              <w:pStyle w:val="P68B1DB1-Normal8"/>
              <w:spacing w:after="0" w:line="240" w:lineRule="auto"/>
              <w:jc w:val="both"/>
              <w:rPr>
                <w:rFonts w:eastAsia="Times New Roman" w:cs="Calibri"/>
                <w:noProof/>
              </w:rPr>
            </w:pPr>
            <w:r>
              <w:rPr>
                <w:noProof/>
              </w:rPr>
              <w:t>Schimbul de date între Administrația Fiscală și Vamală și municipalități pentru completarea prealabilă a modelului 1 de declarație privind impozitul municipal pe bunuri imobile („</w:t>
            </w:r>
            <w:r>
              <w:rPr>
                <w:i/>
                <w:noProof/>
              </w:rPr>
              <w:t>Imposto Municipal sobre Imóveis</w:t>
            </w:r>
            <w:r>
              <w:rPr>
                <w:noProof/>
              </w:rPr>
              <w:t>”, IMI), profitând de informațiile existente cu privire la proprietățile din sistemele de informații respective.</w:t>
            </w:r>
          </w:p>
        </w:tc>
      </w:tr>
      <w:tr w:rsidR="00A15990" w14:paraId="0B05BC3F" w14:textId="77777777">
        <w:trPr>
          <w:trHeight w:val="640"/>
        </w:trPr>
        <w:tc>
          <w:tcPr>
            <w:tcW w:w="1043" w:type="dxa"/>
            <w:gridSpan w:val="2"/>
            <w:shd w:val="clear" w:color="auto" w:fill="C4EFCE"/>
            <w:vAlign w:val="center"/>
          </w:tcPr>
          <w:p w14:paraId="62EFB6DD" w14:textId="15BA45D9" w:rsidR="00A15990" w:rsidRDefault="00686A62">
            <w:pPr>
              <w:pStyle w:val="P68B1DB1-Normal11"/>
              <w:spacing w:after="0" w:line="240" w:lineRule="auto"/>
              <w:jc w:val="center"/>
              <w:rPr>
                <w:rFonts w:ascii="Calibri" w:eastAsia="Times New Roman" w:hAnsi="Calibri" w:cs="Calibri"/>
                <w:noProof/>
              </w:rPr>
            </w:pPr>
            <w:r>
              <w:rPr>
                <w:noProof/>
              </w:rPr>
              <w:t>17.21</w:t>
            </w:r>
          </w:p>
        </w:tc>
        <w:tc>
          <w:tcPr>
            <w:tcW w:w="1161" w:type="dxa"/>
            <w:shd w:val="clear" w:color="auto" w:fill="C4EFCE"/>
            <w:noWrap/>
            <w:vAlign w:val="center"/>
          </w:tcPr>
          <w:p w14:paraId="21471993" w14:textId="2900E5A4" w:rsidR="00A15990" w:rsidRDefault="00686A62">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tcPr>
          <w:p w14:paraId="3FACD559" w14:textId="22769DF8"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tcPr>
          <w:p w14:paraId="648192F8" w14:textId="3B970152" w:rsidR="00A15990" w:rsidRDefault="00686A62">
            <w:pPr>
              <w:pStyle w:val="P68B1DB1-Normal8"/>
              <w:spacing w:after="0" w:line="240" w:lineRule="auto"/>
              <w:jc w:val="center"/>
              <w:rPr>
                <w:rFonts w:eastAsia="Times New Roman" w:cs="Calibri"/>
                <w:noProof/>
              </w:rPr>
            </w:pPr>
            <w:r>
              <w:rPr>
                <w:noProof/>
              </w:rPr>
              <w:t>Finalizarea punerii în aplicare a precompletării tranzacției specifice supuse taxei de timbru</w:t>
            </w:r>
          </w:p>
        </w:tc>
        <w:tc>
          <w:tcPr>
            <w:tcW w:w="1356" w:type="dxa"/>
            <w:shd w:val="clear" w:color="auto" w:fill="C4EFCE"/>
            <w:noWrap/>
            <w:vAlign w:val="center"/>
          </w:tcPr>
          <w:p w14:paraId="59F0138D" w14:textId="2B1A728B" w:rsidR="00A15990" w:rsidRDefault="00686A62">
            <w:pPr>
              <w:pStyle w:val="P68B1DB1-Normal8"/>
              <w:spacing w:after="0" w:line="240" w:lineRule="auto"/>
              <w:jc w:val="center"/>
              <w:rPr>
                <w:rFonts w:eastAsia="Times New Roman" w:cs="Calibri"/>
                <w:noProof/>
              </w:rPr>
            </w:pPr>
            <w:r>
              <w:rPr>
                <w:noProof/>
              </w:rPr>
              <w:t>Finalizarea punerii în aplicare a precompletării tranzacției specifice supuse taxei de timbru</w:t>
            </w:r>
          </w:p>
        </w:tc>
        <w:tc>
          <w:tcPr>
            <w:tcW w:w="909" w:type="dxa"/>
            <w:shd w:val="clear" w:color="auto" w:fill="C4EFCE"/>
            <w:noWrap/>
            <w:vAlign w:val="center"/>
          </w:tcPr>
          <w:p w14:paraId="6A2AF1CB" w14:textId="77777777" w:rsidR="00A15990" w:rsidRDefault="00A15990">
            <w:pPr>
              <w:spacing w:after="0" w:line="240" w:lineRule="auto"/>
              <w:jc w:val="center"/>
              <w:rPr>
                <w:rFonts w:ascii="Calibri" w:eastAsia="Times New Roman" w:hAnsi="Calibri" w:cs="Calibri"/>
                <w:noProof/>
                <w:sz w:val="16"/>
              </w:rPr>
            </w:pPr>
          </w:p>
        </w:tc>
        <w:tc>
          <w:tcPr>
            <w:tcW w:w="908" w:type="dxa"/>
            <w:shd w:val="clear" w:color="auto" w:fill="C4EFCE"/>
            <w:noWrap/>
            <w:vAlign w:val="center"/>
          </w:tcPr>
          <w:p w14:paraId="0C8AF654" w14:textId="77777777" w:rsidR="00A15990" w:rsidRDefault="00A15990">
            <w:pPr>
              <w:spacing w:after="0" w:line="240" w:lineRule="auto"/>
              <w:jc w:val="center"/>
              <w:rPr>
                <w:rFonts w:ascii="Calibri" w:eastAsia="Times New Roman" w:hAnsi="Calibri" w:cs="Calibri"/>
                <w:noProof/>
                <w:sz w:val="16"/>
              </w:rPr>
            </w:pPr>
          </w:p>
        </w:tc>
        <w:tc>
          <w:tcPr>
            <w:tcW w:w="657" w:type="dxa"/>
            <w:shd w:val="clear" w:color="auto" w:fill="C4EFCE"/>
            <w:noWrap/>
            <w:vAlign w:val="center"/>
          </w:tcPr>
          <w:p w14:paraId="4A18B87A" w14:textId="77777777" w:rsidR="00A15990" w:rsidRDefault="00A15990">
            <w:pPr>
              <w:spacing w:after="0" w:line="240" w:lineRule="auto"/>
              <w:jc w:val="center"/>
              <w:rPr>
                <w:rFonts w:ascii="Calibri" w:eastAsia="Times New Roman" w:hAnsi="Calibri" w:cs="Calibri"/>
                <w:noProof/>
                <w:sz w:val="16"/>
              </w:rPr>
            </w:pPr>
          </w:p>
        </w:tc>
        <w:tc>
          <w:tcPr>
            <w:tcW w:w="530" w:type="dxa"/>
            <w:shd w:val="clear" w:color="auto" w:fill="C4EFCE"/>
            <w:noWrap/>
            <w:vAlign w:val="center"/>
          </w:tcPr>
          <w:p w14:paraId="3169F07F" w14:textId="30A90A7A"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tcPr>
          <w:p w14:paraId="483BF940" w14:textId="6003A4D6" w:rsidR="00A15990" w:rsidRDefault="00686A62">
            <w:pPr>
              <w:pStyle w:val="P68B1DB1-Normal8"/>
              <w:spacing w:after="0" w:line="240" w:lineRule="auto"/>
              <w:jc w:val="center"/>
              <w:rPr>
                <w:rFonts w:eastAsia="Times New Roman" w:cs="Calibri"/>
                <w:noProof/>
              </w:rPr>
            </w:pPr>
            <w:r>
              <w:rPr>
                <w:noProof/>
              </w:rPr>
              <w:t>2023</w:t>
            </w:r>
          </w:p>
        </w:tc>
        <w:tc>
          <w:tcPr>
            <w:tcW w:w="5456" w:type="dxa"/>
            <w:shd w:val="clear" w:color="auto" w:fill="C4EFCE"/>
            <w:noWrap/>
            <w:vAlign w:val="center"/>
          </w:tcPr>
          <w:p w14:paraId="3FD5E02C" w14:textId="06D7A0A1" w:rsidR="00A15990" w:rsidRDefault="00686A62">
            <w:pPr>
              <w:pStyle w:val="P68B1DB1-Normal8"/>
              <w:spacing w:after="0" w:line="240" w:lineRule="auto"/>
              <w:jc w:val="both"/>
              <w:rPr>
                <w:rFonts w:eastAsia="Times New Roman" w:cs="Calibri"/>
                <w:noProof/>
              </w:rPr>
            </w:pPr>
            <w:r>
              <w:rPr>
                <w:noProof/>
              </w:rPr>
              <w:t>Implementarea completă a serviciilor de preumplere pentru operațiunile de transfer imobiliar și de vehicule supuse taxei de timbru</w:t>
            </w:r>
            <w:r>
              <w:rPr>
                <w:i/>
                <w:noProof/>
              </w:rPr>
              <w:t>(„Imposto de Selo</w:t>
            </w:r>
            <w:r>
              <w:rPr>
                <w:noProof/>
              </w:rPr>
              <w:t>”), profitând de informațiile existente privind proprietățile aflate la dispoziția autorităților fiscale și vamale, a Institutului pentru mobilitate și transport</w:t>
            </w:r>
            <w:r>
              <w:rPr>
                <w:i/>
                <w:noProof/>
              </w:rPr>
              <w:t xml:space="preserve">. </w:t>
            </w:r>
            <w:r>
              <w:rPr>
                <w:noProof/>
              </w:rPr>
              <w:t>(IMT) și Institutul pentru registre și notari (IRN).</w:t>
            </w:r>
          </w:p>
        </w:tc>
      </w:tr>
      <w:tr w:rsidR="00A15990" w14:paraId="5A586D67" w14:textId="77777777">
        <w:trPr>
          <w:trHeight w:val="430"/>
        </w:trPr>
        <w:tc>
          <w:tcPr>
            <w:tcW w:w="1043" w:type="dxa"/>
            <w:gridSpan w:val="2"/>
            <w:shd w:val="clear" w:color="auto" w:fill="C4EFCE"/>
            <w:vAlign w:val="center"/>
            <w:hideMark/>
          </w:tcPr>
          <w:p w14:paraId="169BD49B" w14:textId="22DC1B0C" w:rsidR="00A15990" w:rsidRDefault="00686A62">
            <w:pPr>
              <w:pStyle w:val="P68B1DB1-Normal7"/>
              <w:spacing w:after="0" w:line="240" w:lineRule="auto"/>
              <w:jc w:val="center"/>
              <w:rPr>
                <w:rFonts w:eastAsia="Times New Roman" w:cs="Calibri"/>
                <w:noProof/>
              </w:rPr>
            </w:pPr>
            <w:r>
              <w:rPr>
                <w:noProof/>
              </w:rPr>
              <w:t>17.16</w:t>
            </w:r>
          </w:p>
        </w:tc>
        <w:tc>
          <w:tcPr>
            <w:tcW w:w="1161" w:type="dxa"/>
            <w:shd w:val="clear" w:color="auto" w:fill="C4EFCE"/>
            <w:noWrap/>
            <w:vAlign w:val="center"/>
            <w:hideMark/>
          </w:tcPr>
          <w:p w14:paraId="7338038A" w14:textId="77777777" w:rsidR="00A15990" w:rsidRDefault="00686A62">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46ECBF0B" w14:textId="77777777" w:rsidR="00A15990" w:rsidRDefault="00686A62">
            <w:pPr>
              <w:pStyle w:val="P68B1DB1-Normal8"/>
              <w:spacing w:after="0" w:line="240" w:lineRule="auto"/>
              <w:jc w:val="center"/>
              <w:rPr>
                <w:rFonts w:eastAsia="Times New Roman" w:cs="Calibri"/>
                <w:noProof/>
              </w:rPr>
            </w:pPr>
            <w:r>
              <w:rPr>
                <w:noProof/>
              </w:rPr>
              <w:t>M</w:t>
            </w:r>
          </w:p>
        </w:tc>
        <w:tc>
          <w:tcPr>
            <w:tcW w:w="1539" w:type="dxa"/>
            <w:shd w:val="clear" w:color="auto" w:fill="C4EFCE"/>
            <w:noWrap/>
            <w:vAlign w:val="center"/>
            <w:hideMark/>
          </w:tcPr>
          <w:p w14:paraId="0369D0DB" w14:textId="77777777" w:rsidR="00A15990" w:rsidRDefault="00686A62">
            <w:pPr>
              <w:pStyle w:val="P68B1DB1-Normal8"/>
              <w:spacing w:after="0" w:line="240" w:lineRule="auto"/>
              <w:jc w:val="center"/>
              <w:rPr>
                <w:rFonts w:eastAsia="Times New Roman" w:cs="Calibri"/>
                <w:noProof/>
              </w:rPr>
            </w:pPr>
            <w:r>
              <w:rPr>
                <w:noProof/>
              </w:rPr>
              <w:t>Furnizarea și operaționalizarea versiunii finale a sistemului informatic care sprijină evaluarea simplificată a proprietăților din mediul rural</w:t>
            </w:r>
          </w:p>
        </w:tc>
        <w:tc>
          <w:tcPr>
            <w:tcW w:w="1356" w:type="dxa"/>
            <w:shd w:val="clear" w:color="auto" w:fill="C4EFCE"/>
            <w:noWrap/>
            <w:vAlign w:val="center"/>
            <w:hideMark/>
          </w:tcPr>
          <w:p w14:paraId="0D7E1C75" w14:textId="77777777" w:rsidR="00A15990" w:rsidRDefault="00686A62">
            <w:pPr>
              <w:pStyle w:val="P68B1DB1-Normal8"/>
              <w:spacing w:after="0" w:line="240" w:lineRule="auto"/>
              <w:jc w:val="center"/>
              <w:rPr>
                <w:rFonts w:eastAsia="Times New Roman" w:cs="Calibri"/>
                <w:noProof/>
              </w:rPr>
            </w:pPr>
            <w:r>
              <w:rPr>
                <w:noProof/>
              </w:rPr>
              <w:t>Furnizarea și operaționalizarea versiunii finale a sistemului informatic care sprijină evaluarea simplificată a proprietăților din mediul rural</w:t>
            </w:r>
          </w:p>
        </w:tc>
        <w:tc>
          <w:tcPr>
            <w:tcW w:w="909" w:type="dxa"/>
            <w:shd w:val="clear" w:color="auto" w:fill="C4EFCE"/>
            <w:noWrap/>
            <w:vAlign w:val="center"/>
            <w:hideMark/>
          </w:tcPr>
          <w:p w14:paraId="3A165F24" w14:textId="77777777" w:rsidR="00A15990" w:rsidRDefault="00686A62">
            <w:pPr>
              <w:pStyle w:val="P68B1DB1-Normal8"/>
              <w:spacing w:after="0" w:line="240" w:lineRule="auto"/>
              <w:jc w:val="center"/>
              <w:rPr>
                <w:rFonts w:eastAsia="Times New Roman" w:cs="Calibri"/>
                <w:noProof/>
              </w:rPr>
            </w:pPr>
            <w:r>
              <w:rPr>
                <w:noProof/>
              </w:rPr>
              <w:t> </w:t>
            </w:r>
          </w:p>
        </w:tc>
        <w:tc>
          <w:tcPr>
            <w:tcW w:w="908" w:type="dxa"/>
            <w:shd w:val="clear" w:color="auto" w:fill="C4EFCE"/>
            <w:noWrap/>
            <w:vAlign w:val="center"/>
            <w:hideMark/>
          </w:tcPr>
          <w:p w14:paraId="074CA91F" w14:textId="77777777" w:rsidR="00A15990" w:rsidRDefault="00686A62">
            <w:pPr>
              <w:pStyle w:val="P68B1DB1-Normal8"/>
              <w:spacing w:after="0" w:line="240" w:lineRule="auto"/>
              <w:jc w:val="center"/>
              <w:rPr>
                <w:rFonts w:eastAsia="Times New Roman" w:cs="Calibri"/>
                <w:noProof/>
              </w:rPr>
            </w:pPr>
            <w:r>
              <w:rPr>
                <w:noProof/>
              </w:rPr>
              <w:t> </w:t>
            </w:r>
          </w:p>
        </w:tc>
        <w:tc>
          <w:tcPr>
            <w:tcW w:w="657" w:type="dxa"/>
            <w:shd w:val="clear" w:color="auto" w:fill="C4EFCE"/>
            <w:noWrap/>
            <w:vAlign w:val="center"/>
            <w:hideMark/>
          </w:tcPr>
          <w:p w14:paraId="2300B0DA" w14:textId="77777777" w:rsidR="00A15990" w:rsidRDefault="00686A62">
            <w:pPr>
              <w:pStyle w:val="P68B1DB1-Normal8"/>
              <w:spacing w:after="0" w:line="240" w:lineRule="auto"/>
              <w:jc w:val="center"/>
              <w:rPr>
                <w:rFonts w:eastAsia="Times New Roman" w:cs="Calibri"/>
                <w:noProof/>
              </w:rPr>
            </w:pPr>
            <w:r>
              <w:rPr>
                <w:noProof/>
              </w:rPr>
              <w:t> </w:t>
            </w:r>
          </w:p>
        </w:tc>
        <w:tc>
          <w:tcPr>
            <w:tcW w:w="530" w:type="dxa"/>
            <w:shd w:val="clear" w:color="auto" w:fill="C4EFCE"/>
            <w:noWrap/>
            <w:vAlign w:val="center"/>
            <w:hideMark/>
          </w:tcPr>
          <w:p w14:paraId="6C8D6393"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0731EA14"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0EDB57E" w14:textId="77777777" w:rsidR="00A15990" w:rsidRDefault="00686A62">
            <w:pPr>
              <w:pStyle w:val="P68B1DB1-Normal8"/>
              <w:spacing w:after="0" w:line="240" w:lineRule="auto"/>
              <w:jc w:val="both"/>
              <w:rPr>
                <w:rFonts w:eastAsia="Times New Roman" w:cs="Calibri"/>
                <w:noProof/>
              </w:rPr>
            </w:pPr>
            <w:r>
              <w:rPr>
                <w:noProof/>
              </w:rPr>
              <w:t>Furnizarea sistemului informatic care sprijină evaluarea simplificată a proprietăților din mediul rural ca măsură auxiliară reevaluării generale a acestui tip de proprietate.</w:t>
            </w:r>
          </w:p>
        </w:tc>
      </w:tr>
      <w:tr w:rsidR="00A15990" w14:paraId="4384BCD2" w14:textId="77777777">
        <w:trPr>
          <w:trHeight w:val="640"/>
        </w:trPr>
        <w:tc>
          <w:tcPr>
            <w:tcW w:w="1043" w:type="dxa"/>
            <w:gridSpan w:val="2"/>
            <w:shd w:val="clear" w:color="auto" w:fill="C4EFCE"/>
            <w:vAlign w:val="center"/>
            <w:hideMark/>
          </w:tcPr>
          <w:p w14:paraId="0D69DEF7" w14:textId="1C27A11A" w:rsidR="00A15990" w:rsidRDefault="00686A62">
            <w:pPr>
              <w:pStyle w:val="P68B1DB1-Normal7"/>
              <w:spacing w:after="0" w:line="240" w:lineRule="auto"/>
              <w:jc w:val="center"/>
              <w:rPr>
                <w:rFonts w:eastAsia="Times New Roman" w:cs="Calibri"/>
                <w:noProof/>
              </w:rPr>
            </w:pPr>
            <w:r>
              <w:rPr>
                <w:noProof/>
              </w:rPr>
              <w:t>17.17</w:t>
            </w:r>
          </w:p>
        </w:tc>
        <w:tc>
          <w:tcPr>
            <w:tcW w:w="1161" w:type="dxa"/>
            <w:shd w:val="clear" w:color="auto" w:fill="C4EFCE"/>
            <w:noWrap/>
            <w:vAlign w:val="center"/>
            <w:hideMark/>
          </w:tcPr>
          <w:p w14:paraId="319B5557" w14:textId="77777777" w:rsidR="00A15990" w:rsidRDefault="00686A62">
            <w:pPr>
              <w:pStyle w:val="P68B1DB1-Normal8"/>
              <w:spacing w:after="0" w:line="240" w:lineRule="auto"/>
              <w:jc w:val="center"/>
              <w:rPr>
                <w:rFonts w:eastAsia="Times New Roman" w:cs="Calibri"/>
                <w:noProof/>
              </w:rPr>
            </w:pPr>
            <w:r>
              <w:rPr>
                <w:noProof/>
              </w:rPr>
              <w:t>TD-C17-i02</w:t>
            </w:r>
          </w:p>
        </w:tc>
        <w:tc>
          <w:tcPr>
            <w:tcW w:w="1034" w:type="dxa"/>
            <w:shd w:val="clear" w:color="auto" w:fill="C4EFCE"/>
            <w:noWrap/>
            <w:vAlign w:val="center"/>
            <w:hideMark/>
          </w:tcPr>
          <w:p w14:paraId="2F25B982" w14:textId="77777777" w:rsidR="00A15990" w:rsidRDefault="00686A62">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554A6DF7" w14:textId="77777777" w:rsidR="00A15990" w:rsidRDefault="00686A62">
            <w:pPr>
              <w:pStyle w:val="P68B1DB1-Normal8"/>
              <w:spacing w:after="0" w:line="240" w:lineRule="auto"/>
              <w:jc w:val="center"/>
              <w:rPr>
                <w:rFonts w:eastAsia="Times New Roman" w:cs="Calibri"/>
                <w:noProof/>
              </w:rPr>
            </w:pPr>
            <w:r>
              <w:rPr>
                <w:noProof/>
              </w:rPr>
              <w:t>Finalizarea caracterizării edafo-climato-morfologice (pedologice și climatice) și evaluarea potențialului economic al proprietăților rurale</w:t>
            </w:r>
          </w:p>
        </w:tc>
        <w:tc>
          <w:tcPr>
            <w:tcW w:w="1356" w:type="dxa"/>
            <w:shd w:val="clear" w:color="auto" w:fill="C4EFCE"/>
            <w:noWrap/>
            <w:vAlign w:val="center"/>
            <w:hideMark/>
          </w:tcPr>
          <w:p w14:paraId="23699059" w14:textId="77777777" w:rsidR="00A15990" w:rsidRDefault="00686A62">
            <w:pPr>
              <w:pStyle w:val="P68B1DB1-Normal9"/>
              <w:spacing w:after="0" w:line="240" w:lineRule="auto"/>
              <w:rPr>
                <w:rFonts w:eastAsia="Times New Roman" w:cs="Calibri"/>
                <w:noProof/>
              </w:rPr>
            </w:pPr>
            <w:r>
              <w:rPr>
                <w:noProof/>
              </w:rPr>
              <w:t> </w:t>
            </w:r>
          </w:p>
        </w:tc>
        <w:tc>
          <w:tcPr>
            <w:tcW w:w="909" w:type="dxa"/>
            <w:shd w:val="clear" w:color="auto" w:fill="C4EFCE"/>
            <w:noWrap/>
            <w:vAlign w:val="center"/>
            <w:hideMark/>
          </w:tcPr>
          <w:p w14:paraId="23D3643A" w14:textId="77777777" w:rsidR="00A15990" w:rsidRDefault="00686A62">
            <w:pPr>
              <w:pStyle w:val="P68B1DB1-Normal8"/>
              <w:spacing w:after="0" w:line="240" w:lineRule="auto"/>
              <w:jc w:val="center"/>
              <w:rPr>
                <w:rFonts w:eastAsia="Times New Roman" w:cs="Calibri"/>
                <w:noProof/>
              </w:rPr>
            </w:pPr>
            <w:r>
              <w:rPr>
                <w:noProof/>
              </w:rPr>
              <w:t>%</w:t>
            </w:r>
          </w:p>
        </w:tc>
        <w:tc>
          <w:tcPr>
            <w:tcW w:w="908" w:type="dxa"/>
            <w:shd w:val="clear" w:color="auto" w:fill="C4EFCE"/>
            <w:noWrap/>
            <w:vAlign w:val="center"/>
            <w:hideMark/>
          </w:tcPr>
          <w:p w14:paraId="7FB8B9E4" w14:textId="77777777" w:rsidR="00A15990" w:rsidRDefault="00686A62">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6CC06233" w14:textId="77777777" w:rsidR="00A15990" w:rsidRDefault="00686A62">
            <w:pPr>
              <w:pStyle w:val="P68B1DB1-Normal8"/>
              <w:spacing w:after="0" w:line="240" w:lineRule="auto"/>
              <w:jc w:val="center"/>
              <w:rPr>
                <w:rFonts w:eastAsia="Times New Roman" w:cs="Calibri"/>
                <w:noProof/>
              </w:rPr>
            </w:pPr>
            <w:r>
              <w:rPr>
                <w:noProof/>
              </w:rPr>
              <w:t>90</w:t>
            </w:r>
          </w:p>
        </w:tc>
        <w:tc>
          <w:tcPr>
            <w:tcW w:w="530" w:type="dxa"/>
            <w:shd w:val="clear" w:color="auto" w:fill="C4EFCE"/>
            <w:noWrap/>
            <w:vAlign w:val="center"/>
            <w:hideMark/>
          </w:tcPr>
          <w:p w14:paraId="2B8440D4"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0BB7DA10"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7355182" w14:textId="77777777" w:rsidR="00A15990" w:rsidRDefault="00686A62">
            <w:pPr>
              <w:pStyle w:val="P68B1DB1-Normal8"/>
              <w:spacing w:after="0" w:line="240" w:lineRule="auto"/>
              <w:jc w:val="both"/>
              <w:rPr>
                <w:rFonts w:eastAsia="Times New Roman" w:cs="Calibri"/>
                <w:noProof/>
              </w:rPr>
            </w:pPr>
            <w:r>
              <w:rPr>
                <w:noProof/>
              </w:rPr>
              <w:t>Procentul din zona rurală a Portugaliei continentale a cărei caracterizare edafo-climato-morfologică (sol și climă) și evaluarea potențialului economic trebuie să fie finalizată, sprijinită de dezvoltarea unei soluții georeferențiate de gestionare a informațiilor.</w:t>
            </w:r>
          </w:p>
        </w:tc>
      </w:tr>
      <w:tr w:rsidR="00A15990" w14:paraId="636011DB" w14:textId="77777777">
        <w:trPr>
          <w:trHeight w:val="1270"/>
        </w:trPr>
        <w:tc>
          <w:tcPr>
            <w:tcW w:w="1043" w:type="dxa"/>
            <w:gridSpan w:val="2"/>
            <w:shd w:val="clear" w:color="auto" w:fill="C4EFCE"/>
            <w:vAlign w:val="center"/>
            <w:hideMark/>
          </w:tcPr>
          <w:p w14:paraId="564CA0E6" w14:textId="3B2D5A91" w:rsidR="00A15990" w:rsidRDefault="00686A62">
            <w:pPr>
              <w:pStyle w:val="P68B1DB1-Normal7"/>
              <w:spacing w:after="0" w:line="240" w:lineRule="auto"/>
              <w:jc w:val="center"/>
              <w:rPr>
                <w:rFonts w:eastAsia="Times New Roman" w:cs="Calibri"/>
                <w:noProof/>
              </w:rPr>
            </w:pPr>
            <w:r>
              <w:rPr>
                <w:noProof/>
              </w:rPr>
              <w:t>17.18</w:t>
            </w:r>
          </w:p>
        </w:tc>
        <w:tc>
          <w:tcPr>
            <w:tcW w:w="1161" w:type="dxa"/>
            <w:shd w:val="clear" w:color="auto" w:fill="C4EFCE"/>
            <w:noWrap/>
            <w:vAlign w:val="center"/>
            <w:hideMark/>
          </w:tcPr>
          <w:p w14:paraId="54C584E0" w14:textId="77777777" w:rsidR="00A15990" w:rsidRDefault="00686A62">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38875FBD" w14:textId="77777777" w:rsidR="00A15990" w:rsidRDefault="00686A62">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C70B1BF" w14:textId="77777777" w:rsidR="00A15990" w:rsidRDefault="00686A62">
            <w:pPr>
              <w:pStyle w:val="P68B1DB1-Normal8"/>
              <w:spacing w:after="0" w:line="240" w:lineRule="auto"/>
              <w:jc w:val="center"/>
              <w:rPr>
                <w:rFonts w:eastAsia="Times New Roman" w:cs="Calibri"/>
                <w:noProof/>
              </w:rPr>
            </w:pPr>
            <w:r>
              <w:rPr>
                <w:noProof/>
              </w:rPr>
              <w:t xml:space="preserve">Extinderea funcționalităților </w:t>
            </w:r>
            <w:r>
              <w:rPr>
                <w:i/>
                <w:noProof/>
              </w:rPr>
              <w:t>site-ului Segurança Social Direta</w:t>
            </w:r>
            <w:r>
              <w:rPr>
                <w:noProof/>
              </w:rPr>
              <w:t>, prin adăugarea a cinci noi servicii online</w:t>
            </w:r>
          </w:p>
        </w:tc>
        <w:tc>
          <w:tcPr>
            <w:tcW w:w="1356" w:type="dxa"/>
            <w:shd w:val="clear" w:color="auto" w:fill="C4EFCE"/>
            <w:noWrap/>
            <w:vAlign w:val="center"/>
            <w:hideMark/>
          </w:tcPr>
          <w:p w14:paraId="4A5FCF4B" w14:textId="77777777" w:rsidR="00A15990" w:rsidRDefault="00686A62">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58A04118" w14:textId="77777777" w:rsidR="00A15990" w:rsidRDefault="00686A62">
            <w:pPr>
              <w:pStyle w:val="P68B1DB1-Normal8"/>
              <w:spacing w:after="0" w:line="240" w:lineRule="auto"/>
              <w:jc w:val="center"/>
              <w:rPr>
                <w:rFonts w:eastAsia="Times New Roman" w:cs="Calibri"/>
                <w:noProof/>
              </w:rPr>
            </w:pPr>
            <w:r>
              <w:rPr>
                <w:noProof/>
              </w:rPr>
              <w:t>Numărul</w:t>
            </w:r>
          </w:p>
        </w:tc>
        <w:tc>
          <w:tcPr>
            <w:tcW w:w="908" w:type="dxa"/>
            <w:shd w:val="clear" w:color="auto" w:fill="C4EFCE"/>
            <w:noWrap/>
            <w:vAlign w:val="center"/>
            <w:hideMark/>
          </w:tcPr>
          <w:p w14:paraId="16EE0F30" w14:textId="77777777" w:rsidR="00A15990" w:rsidRDefault="00686A62">
            <w:pPr>
              <w:pStyle w:val="P68B1DB1-Normal8"/>
              <w:spacing w:after="0" w:line="240" w:lineRule="auto"/>
              <w:jc w:val="center"/>
              <w:rPr>
                <w:rFonts w:eastAsia="Times New Roman" w:cs="Calibri"/>
                <w:noProof/>
              </w:rPr>
            </w:pPr>
            <w:r>
              <w:rPr>
                <w:noProof/>
              </w:rPr>
              <w:t>3</w:t>
            </w:r>
          </w:p>
        </w:tc>
        <w:tc>
          <w:tcPr>
            <w:tcW w:w="657" w:type="dxa"/>
            <w:shd w:val="clear" w:color="auto" w:fill="C4EFCE"/>
            <w:noWrap/>
            <w:vAlign w:val="center"/>
            <w:hideMark/>
          </w:tcPr>
          <w:p w14:paraId="45C95345" w14:textId="77777777" w:rsidR="00A15990" w:rsidRDefault="00686A62">
            <w:pPr>
              <w:pStyle w:val="P68B1DB1-Normal8"/>
              <w:spacing w:after="0" w:line="240" w:lineRule="auto"/>
              <w:jc w:val="center"/>
              <w:rPr>
                <w:rFonts w:eastAsia="Times New Roman" w:cs="Calibri"/>
                <w:noProof/>
              </w:rPr>
            </w:pPr>
            <w:r>
              <w:rPr>
                <w:noProof/>
              </w:rPr>
              <w:t>8</w:t>
            </w:r>
          </w:p>
        </w:tc>
        <w:tc>
          <w:tcPr>
            <w:tcW w:w="530" w:type="dxa"/>
            <w:shd w:val="clear" w:color="auto" w:fill="C4EFCE"/>
            <w:noWrap/>
            <w:vAlign w:val="center"/>
            <w:hideMark/>
          </w:tcPr>
          <w:p w14:paraId="578C45B2"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3B5AB061"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212D569A" w14:textId="0C5219B1" w:rsidR="00A15990" w:rsidRDefault="00686A62">
            <w:pPr>
              <w:pStyle w:val="P68B1DB1-Normal8"/>
              <w:spacing w:after="0" w:line="240" w:lineRule="auto"/>
              <w:jc w:val="both"/>
              <w:rPr>
                <w:rFonts w:eastAsia="Times New Roman" w:cs="Calibri"/>
                <w:noProof/>
              </w:rPr>
            </w:pPr>
            <w:r>
              <w:rPr>
                <w:noProof/>
              </w:rPr>
              <w:t xml:space="preserve">Numărul de noi servicii online adăugate pe site-ul </w:t>
            </w:r>
            <w:r>
              <w:rPr>
                <w:i/>
                <w:noProof/>
              </w:rPr>
              <w:t>Segurança Social Direta</w:t>
            </w:r>
            <w:r>
              <w:rPr>
                <w:noProof/>
              </w:rPr>
              <w:t xml:space="preserve"> pentru a-și extinde funcționalitățile, și anume: I) sistem informatic pentru asistență tehnică acordată instanțelor – procesul de tutelă civilă și procesul de promovare și protecție; II) prestații suplimentare – declararea statutului de șomaj; III) </w:t>
            </w:r>
            <w:r>
              <w:rPr>
                <w:i/>
                <w:noProof/>
              </w:rPr>
              <w:t>prestații familiale – reevaluare</w:t>
            </w:r>
            <w:r>
              <w:rPr>
                <w:noProof/>
              </w:rPr>
              <w:t xml:space="preserve">; IV) subvenție datorată suspendării activității; și v) pensie de urmaș. Obiectivul este de a crește ponderea relativă a </w:t>
            </w:r>
            <w:r>
              <w:rPr>
                <w:i/>
                <w:noProof/>
              </w:rPr>
              <w:t>Segurança Social</w:t>
            </w:r>
            <w:r>
              <w:rPr>
                <w:noProof/>
              </w:rPr>
              <w:t xml:space="preserve"> Direta pe toate canalele de comunicare cu securitatea socială, în contextul introducerii planului de vizibilitate 360°.</w:t>
            </w:r>
          </w:p>
        </w:tc>
      </w:tr>
      <w:tr w:rsidR="00A15990" w14:paraId="67757C18" w14:textId="77777777">
        <w:trPr>
          <w:trHeight w:val="850"/>
        </w:trPr>
        <w:tc>
          <w:tcPr>
            <w:tcW w:w="1043" w:type="dxa"/>
            <w:gridSpan w:val="2"/>
            <w:shd w:val="clear" w:color="auto" w:fill="C4EFCE"/>
            <w:vAlign w:val="center"/>
            <w:hideMark/>
          </w:tcPr>
          <w:p w14:paraId="7799FC6F" w14:textId="77E3C44D" w:rsidR="00A15990" w:rsidRDefault="00686A62">
            <w:pPr>
              <w:pStyle w:val="P68B1DB1-Normal7"/>
              <w:spacing w:after="0" w:line="240" w:lineRule="auto"/>
              <w:jc w:val="center"/>
              <w:rPr>
                <w:rFonts w:eastAsia="Times New Roman" w:cs="Calibri"/>
                <w:noProof/>
              </w:rPr>
            </w:pPr>
            <w:r>
              <w:rPr>
                <w:noProof/>
              </w:rPr>
              <w:t>17.19</w:t>
            </w:r>
          </w:p>
        </w:tc>
        <w:tc>
          <w:tcPr>
            <w:tcW w:w="1161" w:type="dxa"/>
            <w:shd w:val="clear" w:color="auto" w:fill="C4EFCE"/>
            <w:noWrap/>
            <w:vAlign w:val="center"/>
            <w:hideMark/>
          </w:tcPr>
          <w:p w14:paraId="69763485" w14:textId="77777777" w:rsidR="00A15990" w:rsidRDefault="00686A62">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76C9B871" w14:textId="77777777" w:rsidR="00A15990" w:rsidRDefault="00686A62">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33B5B6FF" w14:textId="77777777" w:rsidR="00A15990" w:rsidRDefault="00686A62">
            <w:pPr>
              <w:pStyle w:val="P68B1DB1-Normal8"/>
              <w:spacing w:after="0" w:line="240" w:lineRule="auto"/>
              <w:jc w:val="center"/>
              <w:rPr>
                <w:rFonts w:eastAsia="Times New Roman" w:cs="Calibri"/>
                <w:noProof/>
              </w:rPr>
            </w:pPr>
            <w:r>
              <w:rPr>
                <w:noProof/>
              </w:rPr>
              <w:t>Reducerea cu 80 % a numărului mediu de zile necesare pentru a acorda prestații sociale cu caracter contributiv, pentru cele care au o durată medie de acordare mai mare de 10 de zile</w:t>
            </w:r>
          </w:p>
        </w:tc>
        <w:tc>
          <w:tcPr>
            <w:tcW w:w="1356" w:type="dxa"/>
            <w:shd w:val="clear" w:color="auto" w:fill="C4EFCE"/>
            <w:noWrap/>
            <w:vAlign w:val="center"/>
            <w:hideMark/>
          </w:tcPr>
          <w:p w14:paraId="5D3A167F" w14:textId="77777777" w:rsidR="00A15990" w:rsidRDefault="00686A62">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187DF961" w14:textId="77777777" w:rsidR="00A15990" w:rsidRDefault="00686A62">
            <w:pPr>
              <w:pStyle w:val="P68B1DB1-Normal8"/>
              <w:spacing w:after="0" w:line="240" w:lineRule="auto"/>
              <w:jc w:val="center"/>
              <w:rPr>
                <w:rFonts w:eastAsia="Times New Roman" w:cs="Calibri"/>
                <w:noProof/>
              </w:rPr>
            </w:pPr>
            <w:r>
              <w:rPr>
                <w:noProof/>
              </w:rPr>
              <w:t>Numărul</w:t>
            </w:r>
          </w:p>
        </w:tc>
        <w:tc>
          <w:tcPr>
            <w:tcW w:w="908" w:type="dxa"/>
            <w:shd w:val="clear" w:color="auto" w:fill="C4EFCE"/>
            <w:noWrap/>
            <w:vAlign w:val="center"/>
            <w:hideMark/>
          </w:tcPr>
          <w:p w14:paraId="33D4BFA7" w14:textId="77777777" w:rsidR="00A15990" w:rsidRDefault="00686A62">
            <w:pPr>
              <w:pStyle w:val="P68B1DB1-Normal8"/>
              <w:spacing w:after="0" w:line="240" w:lineRule="auto"/>
              <w:jc w:val="center"/>
              <w:rPr>
                <w:rFonts w:eastAsia="Times New Roman" w:cs="Calibri"/>
                <w:noProof/>
              </w:rPr>
            </w:pPr>
            <w:r>
              <w:rPr>
                <w:noProof/>
              </w:rPr>
              <w:t>109</w:t>
            </w:r>
          </w:p>
        </w:tc>
        <w:tc>
          <w:tcPr>
            <w:tcW w:w="657" w:type="dxa"/>
            <w:shd w:val="clear" w:color="auto" w:fill="C4EFCE"/>
            <w:noWrap/>
            <w:vAlign w:val="center"/>
            <w:hideMark/>
          </w:tcPr>
          <w:p w14:paraId="03C9331A" w14:textId="77777777" w:rsidR="00A15990" w:rsidRDefault="00686A62">
            <w:pPr>
              <w:pStyle w:val="P68B1DB1-Normal8"/>
              <w:spacing w:after="0" w:line="240" w:lineRule="auto"/>
              <w:jc w:val="center"/>
              <w:rPr>
                <w:rFonts w:eastAsia="Times New Roman" w:cs="Calibri"/>
                <w:noProof/>
              </w:rPr>
            </w:pPr>
            <w:r>
              <w:rPr>
                <w:noProof/>
              </w:rPr>
              <w:t>22</w:t>
            </w:r>
          </w:p>
        </w:tc>
        <w:tc>
          <w:tcPr>
            <w:tcW w:w="530" w:type="dxa"/>
            <w:shd w:val="clear" w:color="auto" w:fill="C4EFCE"/>
            <w:noWrap/>
            <w:vAlign w:val="center"/>
            <w:hideMark/>
          </w:tcPr>
          <w:p w14:paraId="58BA2038"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7772F1E3"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0FB680BD" w14:textId="77777777" w:rsidR="00A15990" w:rsidRDefault="00686A62">
            <w:pPr>
              <w:pStyle w:val="P68B1DB1-Normal8"/>
              <w:spacing w:after="0" w:line="240" w:lineRule="auto"/>
              <w:jc w:val="both"/>
              <w:rPr>
                <w:rFonts w:eastAsia="Times New Roman" w:cs="Calibri"/>
                <w:noProof/>
              </w:rPr>
            </w:pPr>
            <w:r>
              <w:rPr>
                <w:noProof/>
              </w:rPr>
              <w:t xml:space="preserve">Reducerea cu 80 % a numărului mediu de zile necesare pentru a acorda prestații sociale de tip contributiv pentru cei care au o durată medie de acordare mai mare de 10 de zile, ca urmare a îmbunătățirilor puse în aplicare </w:t>
            </w:r>
            <w:r>
              <w:rPr>
                <w:i/>
                <w:noProof/>
              </w:rPr>
              <w:t>pe site-ul Segurança Social</w:t>
            </w:r>
            <w:r>
              <w:rPr>
                <w:noProof/>
              </w:rPr>
              <w:t xml:space="preserve"> Direta (referitoare la pensiile pentru limită de vârstă pentru pensionarii cu o carieră de tip contributiv numai în Portugalia).</w:t>
            </w:r>
          </w:p>
        </w:tc>
      </w:tr>
      <w:tr w:rsidR="00A15990" w14:paraId="4C7418F3" w14:textId="77777777">
        <w:trPr>
          <w:gridBefore w:val="1"/>
          <w:wBefore w:w="7" w:type="dxa"/>
          <w:trHeight w:val="1480"/>
        </w:trPr>
        <w:tc>
          <w:tcPr>
            <w:tcW w:w="1036" w:type="dxa"/>
            <w:shd w:val="clear" w:color="auto" w:fill="C4EFCE"/>
            <w:vAlign w:val="center"/>
            <w:hideMark/>
          </w:tcPr>
          <w:p w14:paraId="21268FB8" w14:textId="1D9AEF2B" w:rsidR="00A15990" w:rsidRDefault="00686A62">
            <w:pPr>
              <w:pStyle w:val="P68B1DB1-Normal7"/>
              <w:spacing w:after="0" w:line="240" w:lineRule="auto"/>
              <w:jc w:val="center"/>
              <w:rPr>
                <w:rFonts w:eastAsia="Times New Roman" w:cs="Calibri"/>
                <w:noProof/>
              </w:rPr>
            </w:pPr>
            <w:r>
              <w:rPr>
                <w:noProof/>
              </w:rPr>
              <w:t>17.20</w:t>
            </w:r>
          </w:p>
        </w:tc>
        <w:tc>
          <w:tcPr>
            <w:tcW w:w="1161" w:type="dxa"/>
            <w:shd w:val="clear" w:color="auto" w:fill="C4EFCE"/>
            <w:noWrap/>
            <w:vAlign w:val="center"/>
            <w:hideMark/>
          </w:tcPr>
          <w:p w14:paraId="5F644801" w14:textId="77777777" w:rsidR="00A15990" w:rsidRDefault="00686A62">
            <w:pPr>
              <w:pStyle w:val="P68B1DB1-Normal8"/>
              <w:spacing w:after="0" w:line="240" w:lineRule="auto"/>
              <w:jc w:val="center"/>
              <w:rPr>
                <w:rFonts w:eastAsia="Times New Roman" w:cs="Calibri"/>
                <w:noProof/>
              </w:rPr>
            </w:pPr>
            <w:r>
              <w:rPr>
                <w:noProof/>
              </w:rPr>
              <w:t>TD-C17-i03</w:t>
            </w:r>
          </w:p>
        </w:tc>
        <w:tc>
          <w:tcPr>
            <w:tcW w:w="1034" w:type="dxa"/>
            <w:shd w:val="clear" w:color="auto" w:fill="C4EFCE"/>
            <w:noWrap/>
            <w:vAlign w:val="center"/>
            <w:hideMark/>
          </w:tcPr>
          <w:p w14:paraId="252B371D" w14:textId="77777777" w:rsidR="00A15990" w:rsidRDefault="00686A62">
            <w:pPr>
              <w:pStyle w:val="P68B1DB1-Normal8"/>
              <w:spacing w:after="0" w:line="240" w:lineRule="auto"/>
              <w:jc w:val="center"/>
              <w:rPr>
                <w:rFonts w:eastAsia="Times New Roman" w:cs="Calibri"/>
                <w:noProof/>
              </w:rPr>
            </w:pPr>
            <w:r>
              <w:rPr>
                <w:noProof/>
              </w:rPr>
              <w:t>T</w:t>
            </w:r>
          </w:p>
        </w:tc>
        <w:tc>
          <w:tcPr>
            <w:tcW w:w="1539" w:type="dxa"/>
            <w:shd w:val="clear" w:color="auto" w:fill="C4EFCE"/>
            <w:noWrap/>
            <w:vAlign w:val="center"/>
            <w:hideMark/>
          </w:tcPr>
          <w:p w14:paraId="05EE2AD5" w14:textId="77777777" w:rsidR="00A15990" w:rsidRDefault="00686A62">
            <w:pPr>
              <w:pStyle w:val="P68B1DB1-Normal8"/>
              <w:spacing w:after="0" w:line="240" w:lineRule="auto"/>
              <w:jc w:val="center"/>
              <w:rPr>
                <w:rFonts w:eastAsia="Times New Roman" w:cs="Calibri"/>
                <w:noProof/>
              </w:rPr>
            </w:pPr>
            <w:r>
              <w:rPr>
                <w:noProof/>
              </w:rPr>
              <w:t>Punerea în aplicare a unor modele de supraveghere inteligente pentru a sprijini prevenirea fraudei, pe baza proceselor de învățare automată</w:t>
            </w:r>
          </w:p>
        </w:tc>
        <w:tc>
          <w:tcPr>
            <w:tcW w:w="1356" w:type="dxa"/>
            <w:shd w:val="clear" w:color="auto" w:fill="C4EFCE"/>
            <w:noWrap/>
            <w:vAlign w:val="center"/>
            <w:hideMark/>
          </w:tcPr>
          <w:p w14:paraId="1CEDD1F2" w14:textId="77777777" w:rsidR="00A15990" w:rsidRDefault="00686A62">
            <w:pPr>
              <w:pStyle w:val="P68B1DB1-Normal8"/>
              <w:spacing w:after="0" w:line="240" w:lineRule="auto"/>
              <w:jc w:val="center"/>
              <w:rPr>
                <w:rFonts w:eastAsia="Times New Roman" w:cs="Calibri"/>
                <w:noProof/>
              </w:rPr>
            </w:pPr>
            <w:r>
              <w:rPr>
                <w:noProof/>
              </w:rPr>
              <w:t> </w:t>
            </w:r>
          </w:p>
        </w:tc>
        <w:tc>
          <w:tcPr>
            <w:tcW w:w="909" w:type="dxa"/>
            <w:shd w:val="clear" w:color="auto" w:fill="C4EFCE"/>
            <w:noWrap/>
            <w:vAlign w:val="center"/>
            <w:hideMark/>
          </w:tcPr>
          <w:p w14:paraId="6A9BFCF7" w14:textId="77777777" w:rsidR="00A15990" w:rsidRDefault="00686A62">
            <w:pPr>
              <w:pStyle w:val="P68B1DB1-Normal8"/>
              <w:spacing w:after="0" w:line="240" w:lineRule="auto"/>
              <w:jc w:val="center"/>
              <w:rPr>
                <w:rFonts w:eastAsia="Times New Roman" w:cs="Calibri"/>
                <w:noProof/>
              </w:rPr>
            </w:pPr>
            <w:r>
              <w:rPr>
                <w:noProof/>
              </w:rPr>
              <w:t>Numărul</w:t>
            </w:r>
          </w:p>
        </w:tc>
        <w:tc>
          <w:tcPr>
            <w:tcW w:w="908" w:type="dxa"/>
            <w:shd w:val="clear" w:color="auto" w:fill="C4EFCE"/>
            <w:noWrap/>
            <w:vAlign w:val="center"/>
            <w:hideMark/>
          </w:tcPr>
          <w:p w14:paraId="7D447794" w14:textId="77777777" w:rsidR="00A15990" w:rsidRDefault="00686A62">
            <w:pPr>
              <w:pStyle w:val="P68B1DB1-Normal8"/>
              <w:spacing w:after="0" w:line="240" w:lineRule="auto"/>
              <w:jc w:val="center"/>
              <w:rPr>
                <w:rFonts w:eastAsia="Times New Roman" w:cs="Calibri"/>
                <w:noProof/>
              </w:rPr>
            </w:pPr>
            <w:r>
              <w:rPr>
                <w:noProof/>
              </w:rPr>
              <w:t>0</w:t>
            </w:r>
          </w:p>
        </w:tc>
        <w:tc>
          <w:tcPr>
            <w:tcW w:w="657" w:type="dxa"/>
            <w:shd w:val="clear" w:color="auto" w:fill="C4EFCE"/>
            <w:noWrap/>
            <w:vAlign w:val="center"/>
            <w:hideMark/>
          </w:tcPr>
          <w:p w14:paraId="46AC5F87" w14:textId="77777777" w:rsidR="00A15990" w:rsidRDefault="00686A62">
            <w:pPr>
              <w:pStyle w:val="P68B1DB1-Normal8"/>
              <w:spacing w:after="0" w:line="240" w:lineRule="auto"/>
              <w:jc w:val="center"/>
              <w:rPr>
                <w:rFonts w:eastAsia="Times New Roman" w:cs="Calibri"/>
                <w:noProof/>
              </w:rPr>
            </w:pPr>
            <w:r>
              <w:rPr>
                <w:noProof/>
              </w:rPr>
              <w:t>2</w:t>
            </w:r>
          </w:p>
        </w:tc>
        <w:tc>
          <w:tcPr>
            <w:tcW w:w="530" w:type="dxa"/>
            <w:shd w:val="clear" w:color="auto" w:fill="C4EFCE"/>
            <w:noWrap/>
            <w:vAlign w:val="center"/>
            <w:hideMark/>
          </w:tcPr>
          <w:p w14:paraId="5DD99422" w14:textId="77777777" w:rsidR="00A15990" w:rsidRDefault="00686A62">
            <w:pPr>
              <w:pStyle w:val="P68B1DB1-Normal8"/>
              <w:spacing w:after="0" w:line="240" w:lineRule="auto"/>
              <w:jc w:val="center"/>
              <w:rPr>
                <w:rFonts w:eastAsia="Times New Roman" w:cs="Calibri"/>
                <w:noProof/>
              </w:rPr>
            </w:pPr>
            <w:r>
              <w:rPr>
                <w:noProof/>
              </w:rPr>
              <w:t>TRIMESTRUL 4</w:t>
            </w:r>
          </w:p>
        </w:tc>
        <w:tc>
          <w:tcPr>
            <w:tcW w:w="656" w:type="dxa"/>
            <w:shd w:val="clear" w:color="auto" w:fill="C4EFCE"/>
            <w:noWrap/>
            <w:vAlign w:val="center"/>
            <w:hideMark/>
          </w:tcPr>
          <w:p w14:paraId="7F14D13C" w14:textId="77777777" w:rsidR="00A15990" w:rsidRDefault="00686A62">
            <w:pPr>
              <w:pStyle w:val="P68B1DB1-Normal8"/>
              <w:spacing w:after="0" w:line="240" w:lineRule="auto"/>
              <w:jc w:val="center"/>
              <w:rPr>
                <w:rFonts w:eastAsia="Times New Roman" w:cs="Calibri"/>
                <w:noProof/>
              </w:rPr>
            </w:pPr>
            <w:r>
              <w:rPr>
                <w:noProof/>
              </w:rPr>
              <w:t>2025</w:t>
            </w:r>
          </w:p>
        </w:tc>
        <w:tc>
          <w:tcPr>
            <w:tcW w:w="5456" w:type="dxa"/>
            <w:shd w:val="clear" w:color="auto" w:fill="C4EFCE"/>
            <w:noWrap/>
            <w:vAlign w:val="center"/>
            <w:hideMark/>
          </w:tcPr>
          <w:p w14:paraId="5CABF8C9" w14:textId="77777777" w:rsidR="00A15990" w:rsidRDefault="00686A62">
            <w:pPr>
              <w:pStyle w:val="P68B1DB1-Normal8"/>
              <w:spacing w:after="0" w:line="240" w:lineRule="auto"/>
              <w:jc w:val="both"/>
              <w:rPr>
                <w:rFonts w:eastAsia="Times New Roman" w:cs="Calibri"/>
                <w:noProof/>
              </w:rPr>
            </w:pPr>
            <w:r>
              <w:rPr>
                <w:noProof/>
              </w:rPr>
              <w:t>Două modele inteligente de supraveghere, care utilizează procese de învățare automată, sunt furnizate și puse în funcțiune. Cele două modele care urmează să fie create și puse în aplicare sunt: un model predictiv care poate semnala entitățile care urmează să fie inspectate pe baza rezultatelor algoritmilor de învățare, utilizând date istorice din subsistemul „informații privind supravegherea” al sistemului de informații privind securitatea socială, pentru a desfășura acțiuni de supraveghere mai specifice, cu un efort operațional mai redus și rezultate mai asertive, sporind eficacitatea și eficiența sistemului de supraveghere și profitând de alte surse de informații; un model de indici de risc pentru beneficiarii de prestații sociale.</w:t>
            </w:r>
          </w:p>
        </w:tc>
      </w:tr>
      <w:tr w:rsidR="00A15990" w14:paraId="69E96EC0" w14:textId="77777777">
        <w:trPr>
          <w:gridBefore w:val="1"/>
          <w:wBefore w:w="7" w:type="dxa"/>
          <w:trHeight w:val="1480"/>
        </w:trPr>
        <w:tc>
          <w:tcPr>
            <w:tcW w:w="1036" w:type="dxa"/>
            <w:shd w:val="clear" w:color="auto" w:fill="C4EFCE"/>
            <w:vAlign w:val="center"/>
          </w:tcPr>
          <w:p w14:paraId="01D7CF90" w14:textId="67468CFC" w:rsidR="00A15990" w:rsidRDefault="00686A62">
            <w:pPr>
              <w:pStyle w:val="P68B1DB1-Normal11"/>
              <w:spacing w:after="0" w:line="240" w:lineRule="auto"/>
              <w:jc w:val="center"/>
              <w:rPr>
                <w:rFonts w:eastAsia="Times New Roman"/>
                <w:noProof/>
              </w:rPr>
            </w:pPr>
            <w:r>
              <w:rPr>
                <w:noProof/>
              </w:rPr>
              <w:t>17.22</w:t>
            </w:r>
          </w:p>
        </w:tc>
        <w:tc>
          <w:tcPr>
            <w:tcW w:w="1161" w:type="dxa"/>
            <w:shd w:val="clear" w:color="auto" w:fill="C4EFCE"/>
            <w:noWrap/>
            <w:vAlign w:val="center"/>
          </w:tcPr>
          <w:p w14:paraId="4F426F40" w14:textId="196A5CF9" w:rsidR="00A15990" w:rsidRDefault="00686A62">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42B2BCF9" w14:textId="55495B11" w:rsidR="00A15990" w:rsidRDefault="00686A62">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5E087B51" w14:textId="7A377310" w:rsidR="00A15990" w:rsidRDefault="00686A62">
            <w:pPr>
              <w:pStyle w:val="P68B1DB1-Normal12"/>
              <w:spacing w:after="0" w:line="240" w:lineRule="auto"/>
              <w:jc w:val="center"/>
              <w:rPr>
                <w:rFonts w:eastAsia="Times New Roman" w:cstheme="minorHAnsi"/>
                <w:noProof/>
              </w:rPr>
            </w:pPr>
            <w:r>
              <w:rPr>
                <w:noProof/>
              </w:rPr>
              <w:t>Intrarea în vigoare a unui act juridic de modificare a cadrului juridic al anumitor avantaje fiscale</w:t>
            </w:r>
          </w:p>
        </w:tc>
        <w:tc>
          <w:tcPr>
            <w:tcW w:w="1356" w:type="dxa"/>
            <w:shd w:val="clear" w:color="auto" w:fill="C4EFCE"/>
            <w:noWrap/>
            <w:vAlign w:val="center"/>
          </w:tcPr>
          <w:p w14:paraId="066FAA9F" w14:textId="6052F03F" w:rsidR="00A15990" w:rsidRDefault="00686A62">
            <w:pPr>
              <w:pStyle w:val="P68B1DB1-Normal12"/>
              <w:spacing w:after="0" w:line="240" w:lineRule="auto"/>
              <w:jc w:val="center"/>
              <w:rPr>
                <w:rFonts w:eastAsia="Times New Roman" w:cstheme="minorHAnsi"/>
                <w:noProof/>
              </w:rPr>
            </w:pPr>
            <w:r>
              <w:rPr>
                <w:noProof/>
              </w:rPr>
              <w:t xml:space="preserve">Dispoziție din actul juridic care indică data de intrare în vigoare a actului juridic </w:t>
            </w:r>
          </w:p>
        </w:tc>
        <w:tc>
          <w:tcPr>
            <w:tcW w:w="909" w:type="dxa"/>
            <w:shd w:val="clear" w:color="auto" w:fill="C4EFCE"/>
            <w:noWrap/>
            <w:vAlign w:val="center"/>
          </w:tcPr>
          <w:p w14:paraId="04F14139" w14:textId="77777777" w:rsidR="00A15990" w:rsidRDefault="00A15990">
            <w:pPr>
              <w:spacing w:after="0" w:line="240" w:lineRule="auto"/>
              <w:jc w:val="center"/>
              <w:rPr>
                <w:rFonts w:eastAsia="Times New Roman" w:cstheme="minorHAnsi"/>
                <w:noProof/>
                <w:sz w:val="16"/>
              </w:rPr>
            </w:pPr>
          </w:p>
        </w:tc>
        <w:tc>
          <w:tcPr>
            <w:tcW w:w="908" w:type="dxa"/>
            <w:shd w:val="clear" w:color="auto" w:fill="C4EFCE"/>
            <w:noWrap/>
            <w:vAlign w:val="center"/>
          </w:tcPr>
          <w:p w14:paraId="365FE8AC" w14:textId="77777777" w:rsidR="00A15990" w:rsidRDefault="00A15990">
            <w:pPr>
              <w:spacing w:after="0" w:line="240" w:lineRule="auto"/>
              <w:jc w:val="center"/>
              <w:rPr>
                <w:rFonts w:eastAsia="Times New Roman" w:cstheme="minorHAnsi"/>
                <w:noProof/>
                <w:sz w:val="16"/>
              </w:rPr>
            </w:pPr>
          </w:p>
        </w:tc>
        <w:tc>
          <w:tcPr>
            <w:tcW w:w="657" w:type="dxa"/>
            <w:shd w:val="clear" w:color="auto" w:fill="C4EFCE"/>
            <w:noWrap/>
            <w:vAlign w:val="center"/>
          </w:tcPr>
          <w:p w14:paraId="186DD478" w14:textId="77777777" w:rsidR="00A15990" w:rsidRDefault="00A15990">
            <w:pPr>
              <w:spacing w:after="0" w:line="240" w:lineRule="auto"/>
              <w:jc w:val="center"/>
              <w:rPr>
                <w:rFonts w:eastAsia="Times New Roman" w:cstheme="minorHAnsi"/>
                <w:noProof/>
                <w:sz w:val="16"/>
              </w:rPr>
            </w:pPr>
          </w:p>
        </w:tc>
        <w:tc>
          <w:tcPr>
            <w:tcW w:w="530" w:type="dxa"/>
            <w:shd w:val="clear" w:color="auto" w:fill="C4EFCE"/>
            <w:noWrap/>
            <w:vAlign w:val="center"/>
          </w:tcPr>
          <w:p w14:paraId="487CCC18" w14:textId="5AA3F23D" w:rsidR="00A15990" w:rsidRDefault="00686A62">
            <w:pPr>
              <w:pStyle w:val="P68B1DB1-Normal12"/>
              <w:spacing w:after="0" w:line="240" w:lineRule="auto"/>
              <w:jc w:val="center"/>
              <w:rPr>
                <w:rFonts w:eastAsia="Times New Roman"/>
                <w:noProof/>
              </w:rPr>
            </w:pPr>
            <w:r>
              <w:rPr>
                <w:noProof/>
              </w:rPr>
              <w:t>TRIMESTRUL 2</w:t>
            </w:r>
          </w:p>
        </w:tc>
        <w:tc>
          <w:tcPr>
            <w:tcW w:w="656" w:type="dxa"/>
            <w:shd w:val="clear" w:color="auto" w:fill="C4EFCE"/>
            <w:noWrap/>
            <w:vAlign w:val="center"/>
          </w:tcPr>
          <w:p w14:paraId="76AEA003" w14:textId="7985F81C" w:rsidR="00A15990" w:rsidRDefault="00686A62">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243D977D" w14:textId="31C1F2BF" w:rsidR="00A15990" w:rsidRDefault="00686A62">
            <w:pPr>
              <w:pStyle w:val="P68B1DB1-Normal12"/>
              <w:spacing w:after="0" w:line="240" w:lineRule="auto"/>
              <w:jc w:val="both"/>
              <w:rPr>
                <w:rFonts w:eastAsia="Times New Roman" w:cstheme="minorHAnsi"/>
                <w:noProof/>
              </w:rPr>
            </w:pPr>
            <w:r>
              <w:rPr>
                <w:noProof/>
              </w:rPr>
              <w:t xml:space="preserve">Intrarea în vigoare a unui act juridic care elimină sau extinde un set specific de avantaje fiscale. Actul juridic include beneficii fiscale care urmează să expire în anul următor intrării sale în vigoare, care nu mai sunt aliniate la obiectivul său inițial de politică publică sau au un număr redus de beneficiari și care pot dăuna mediului. </w:t>
            </w:r>
          </w:p>
        </w:tc>
      </w:tr>
      <w:tr w:rsidR="00A15990" w14:paraId="7D159597" w14:textId="77777777">
        <w:trPr>
          <w:gridBefore w:val="1"/>
          <w:wBefore w:w="7" w:type="dxa"/>
          <w:trHeight w:val="1480"/>
        </w:trPr>
        <w:tc>
          <w:tcPr>
            <w:tcW w:w="1036" w:type="dxa"/>
            <w:shd w:val="clear" w:color="auto" w:fill="C4EFCE"/>
            <w:vAlign w:val="center"/>
          </w:tcPr>
          <w:p w14:paraId="4663EF1C" w14:textId="69D49F94" w:rsidR="00A15990" w:rsidRDefault="00686A62">
            <w:pPr>
              <w:pStyle w:val="P68B1DB1-Normal11"/>
              <w:spacing w:after="0" w:line="240" w:lineRule="auto"/>
              <w:jc w:val="center"/>
              <w:rPr>
                <w:rFonts w:eastAsia="Times New Roman"/>
                <w:noProof/>
              </w:rPr>
            </w:pPr>
            <w:r>
              <w:rPr>
                <w:noProof/>
              </w:rPr>
              <w:t>17.23</w:t>
            </w:r>
          </w:p>
        </w:tc>
        <w:tc>
          <w:tcPr>
            <w:tcW w:w="1161" w:type="dxa"/>
            <w:shd w:val="clear" w:color="auto" w:fill="C4EFCE"/>
            <w:noWrap/>
            <w:vAlign w:val="center"/>
          </w:tcPr>
          <w:p w14:paraId="02D8E2E9" w14:textId="15919057" w:rsidR="00A15990" w:rsidRDefault="00686A62">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5585C109" w14:textId="6D8FEF48" w:rsidR="00A15990" w:rsidRDefault="00686A62">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074B5F8D" w14:textId="45DB9125" w:rsidR="00A15990" w:rsidRDefault="00686A62">
            <w:pPr>
              <w:pStyle w:val="P68B1DB1-Normal12"/>
              <w:spacing w:after="0" w:line="240" w:lineRule="auto"/>
              <w:jc w:val="center"/>
              <w:rPr>
                <w:rFonts w:eastAsia="Times New Roman" w:cstheme="minorHAnsi"/>
                <w:noProof/>
              </w:rPr>
            </w:pPr>
            <w:r>
              <w:rPr>
                <w:noProof/>
              </w:rPr>
              <w:t xml:space="preserve">Intrarea în vigoare a actului juridic de înființare a unității permanente de politică fiscală tehnică </w:t>
            </w:r>
            <w:r>
              <w:rPr>
                <w:i/>
                <w:noProof/>
              </w:rPr>
              <w:t>Unidade Técnica de Avaliação Tributária e Aduaneira</w:t>
            </w:r>
            <w:r>
              <w:rPr>
                <w:noProof/>
              </w:rPr>
              <w:t xml:space="preserve"> (U-TAX)</w:t>
            </w:r>
          </w:p>
        </w:tc>
        <w:tc>
          <w:tcPr>
            <w:tcW w:w="1356" w:type="dxa"/>
            <w:shd w:val="clear" w:color="auto" w:fill="C4EFCE"/>
            <w:noWrap/>
            <w:vAlign w:val="center"/>
          </w:tcPr>
          <w:p w14:paraId="719D5034" w14:textId="1C010633" w:rsidR="00A15990" w:rsidRDefault="00686A62">
            <w:pPr>
              <w:pStyle w:val="P68B1DB1-Normal12"/>
              <w:spacing w:after="0" w:line="240" w:lineRule="auto"/>
              <w:jc w:val="center"/>
              <w:rPr>
                <w:rFonts w:eastAsia="Times New Roman" w:cstheme="minorHAnsi"/>
                <w:noProof/>
              </w:rPr>
            </w:pPr>
            <w:r>
              <w:rPr>
                <w:noProof/>
              </w:rPr>
              <w:t>Dispoziție din actul juridic care indică data de intrare în vigoare a actului juridic</w:t>
            </w:r>
          </w:p>
        </w:tc>
        <w:tc>
          <w:tcPr>
            <w:tcW w:w="909" w:type="dxa"/>
            <w:shd w:val="clear" w:color="auto" w:fill="C4EFCE"/>
            <w:noWrap/>
            <w:vAlign w:val="center"/>
          </w:tcPr>
          <w:p w14:paraId="3B1ACCA2" w14:textId="77777777" w:rsidR="00A15990" w:rsidRDefault="00A15990">
            <w:pPr>
              <w:spacing w:after="0" w:line="240" w:lineRule="auto"/>
              <w:jc w:val="center"/>
              <w:rPr>
                <w:rFonts w:eastAsia="Times New Roman" w:cstheme="minorHAnsi"/>
                <w:noProof/>
                <w:sz w:val="16"/>
              </w:rPr>
            </w:pPr>
          </w:p>
        </w:tc>
        <w:tc>
          <w:tcPr>
            <w:tcW w:w="908" w:type="dxa"/>
            <w:shd w:val="clear" w:color="auto" w:fill="C4EFCE"/>
            <w:noWrap/>
            <w:vAlign w:val="center"/>
          </w:tcPr>
          <w:p w14:paraId="0E293281" w14:textId="77777777" w:rsidR="00A15990" w:rsidRDefault="00A15990">
            <w:pPr>
              <w:spacing w:after="0" w:line="240" w:lineRule="auto"/>
              <w:jc w:val="center"/>
              <w:rPr>
                <w:rFonts w:eastAsia="Times New Roman" w:cstheme="minorHAnsi"/>
                <w:noProof/>
                <w:sz w:val="16"/>
              </w:rPr>
            </w:pPr>
          </w:p>
        </w:tc>
        <w:tc>
          <w:tcPr>
            <w:tcW w:w="657" w:type="dxa"/>
            <w:shd w:val="clear" w:color="auto" w:fill="C4EFCE"/>
            <w:noWrap/>
            <w:vAlign w:val="center"/>
          </w:tcPr>
          <w:p w14:paraId="5D83358F" w14:textId="77777777" w:rsidR="00A15990" w:rsidRDefault="00A15990">
            <w:pPr>
              <w:spacing w:after="0" w:line="240" w:lineRule="auto"/>
              <w:jc w:val="center"/>
              <w:rPr>
                <w:rFonts w:eastAsia="Times New Roman" w:cstheme="minorHAnsi"/>
                <w:noProof/>
                <w:sz w:val="16"/>
              </w:rPr>
            </w:pPr>
          </w:p>
        </w:tc>
        <w:tc>
          <w:tcPr>
            <w:tcW w:w="530" w:type="dxa"/>
            <w:shd w:val="clear" w:color="auto" w:fill="C4EFCE"/>
            <w:noWrap/>
            <w:vAlign w:val="center"/>
          </w:tcPr>
          <w:p w14:paraId="0DAA9FB8" w14:textId="4F3E99EE" w:rsidR="00A15990" w:rsidRDefault="00686A62">
            <w:pPr>
              <w:pStyle w:val="P68B1DB1-Normal12"/>
              <w:spacing w:after="0" w:line="240" w:lineRule="auto"/>
              <w:jc w:val="center"/>
              <w:rPr>
                <w:rFonts w:eastAsia="Times New Roman" w:cstheme="minorHAnsi"/>
                <w:noProof/>
              </w:rPr>
            </w:pPr>
            <w:r>
              <w:rPr>
                <w:noProof/>
              </w:rPr>
              <w:t>TRIMESTRUL 4</w:t>
            </w:r>
          </w:p>
        </w:tc>
        <w:tc>
          <w:tcPr>
            <w:tcW w:w="656" w:type="dxa"/>
            <w:shd w:val="clear" w:color="auto" w:fill="C4EFCE"/>
            <w:noWrap/>
            <w:vAlign w:val="center"/>
          </w:tcPr>
          <w:p w14:paraId="65BE177B" w14:textId="2FA41D59" w:rsidR="00A15990" w:rsidRDefault="00686A62">
            <w:pPr>
              <w:pStyle w:val="P68B1DB1-Normal12"/>
              <w:spacing w:after="0" w:line="240" w:lineRule="auto"/>
              <w:jc w:val="center"/>
              <w:rPr>
                <w:rFonts w:eastAsia="Times New Roman" w:cstheme="minorHAnsi"/>
                <w:noProof/>
              </w:rPr>
            </w:pPr>
            <w:r>
              <w:rPr>
                <w:noProof/>
              </w:rPr>
              <w:t>2023</w:t>
            </w:r>
          </w:p>
        </w:tc>
        <w:tc>
          <w:tcPr>
            <w:tcW w:w="5456" w:type="dxa"/>
            <w:shd w:val="clear" w:color="auto" w:fill="C4EFCE"/>
            <w:noWrap/>
            <w:vAlign w:val="center"/>
          </w:tcPr>
          <w:p w14:paraId="4897A805" w14:textId="581A7D2B" w:rsidR="00A15990" w:rsidRDefault="00686A62">
            <w:pPr>
              <w:pStyle w:val="P68B1DB1-Bodytext1013"/>
              <w:rPr>
                <w:rFonts w:cstheme="minorHAnsi"/>
                <w:noProof/>
              </w:rPr>
            </w:pPr>
            <w:r>
              <w:rPr>
                <w:noProof/>
              </w:rPr>
              <w:t>Intrarea în vigoare a actului juridic prin care se creează unitatea permanentă de politică fiscală tehnică U-TAX.</w:t>
            </w:r>
          </w:p>
        </w:tc>
      </w:tr>
      <w:tr w:rsidR="00A15990" w14:paraId="0837937C" w14:textId="77777777">
        <w:trPr>
          <w:gridBefore w:val="1"/>
          <w:wBefore w:w="7" w:type="dxa"/>
          <w:trHeight w:val="1480"/>
        </w:trPr>
        <w:tc>
          <w:tcPr>
            <w:tcW w:w="1036" w:type="dxa"/>
            <w:shd w:val="clear" w:color="auto" w:fill="C4EFCE"/>
            <w:vAlign w:val="center"/>
          </w:tcPr>
          <w:p w14:paraId="3233421E" w14:textId="76C741D0" w:rsidR="00A15990" w:rsidRDefault="00686A62">
            <w:pPr>
              <w:pStyle w:val="P68B1DB1-Normal11"/>
              <w:spacing w:after="0" w:line="240" w:lineRule="auto"/>
              <w:jc w:val="center"/>
              <w:rPr>
                <w:rFonts w:eastAsia="Times New Roman"/>
                <w:noProof/>
              </w:rPr>
            </w:pPr>
            <w:r>
              <w:rPr>
                <w:noProof/>
              </w:rPr>
              <w:t>17.24</w:t>
            </w:r>
          </w:p>
        </w:tc>
        <w:tc>
          <w:tcPr>
            <w:tcW w:w="1161" w:type="dxa"/>
            <w:shd w:val="clear" w:color="auto" w:fill="C4EFCE"/>
            <w:noWrap/>
            <w:vAlign w:val="center"/>
          </w:tcPr>
          <w:p w14:paraId="737C50B6" w14:textId="0F8480BF" w:rsidR="00A15990" w:rsidRDefault="00686A62">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033151D4" w14:textId="6185ABFC" w:rsidR="00A15990" w:rsidRDefault="00686A62">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161CE14C" w14:textId="582AD1B7" w:rsidR="00A15990" w:rsidRDefault="00686A62">
            <w:pPr>
              <w:pStyle w:val="P68B1DB1-Bodytext1013"/>
              <w:rPr>
                <w:rFonts w:cstheme="minorHAnsi"/>
                <w:noProof/>
              </w:rPr>
            </w:pPr>
            <w:r>
              <w:rPr>
                <w:noProof/>
              </w:rPr>
              <w:t>Publicarea de către U-TAX a raportului de evaluare privind avantajele fiscale existente</w:t>
            </w:r>
          </w:p>
        </w:tc>
        <w:tc>
          <w:tcPr>
            <w:tcW w:w="1356" w:type="dxa"/>
            <w:shd w:val="clear" w:color="auto" w:fill="C4EFCE"/>
            <w:noWrap/>
            <w:vAlign w:val="center"/>
          </w:tcPr>
          <w:p w14:paraId="6CFBEBB0" w14:textId="37037DA5" w:rsidR="00A15990" w:rsidRDefault="00686A62">
            <w:pPr>
              <w:pStyle w:val="P68B1DB1-Normal12"/>
              <w:spacing w:after="0" w:line="240" w:lineRule="auto"/>
              <w:jc w:val="center"/>
              <w:rPr>
                <w:rFonts w:eastAsia="Times New Roman" w:cstheme="minorHAnsi"/>
                <w:noProof/>
              </w:rPr>
            </w:pPr>
            <w:r>
              <w:rPr>
                <w:noProof/>
              </w:rPr>
              <w:t>Publicarea raportului de evaluare de către U-TAX</w:t>
            </w:r>
          </w:p>
        </w:tc>
        <w:tc>
          <w:tcPr>
            <w:tcW w:w="909" w:type="dxa"/>
            <w:shd w:val="clear" w:color="auto" w:fill="C4EFCE"/>
            <w:noWrap/>
            <w:vAlign w:val="center"/>
          </w:tcPr>
          <w:p w14:paraId="178DAFEF" w14:textId="77777777" w:rsidR="00A15990" w:rsidRDefault="00A15990">
            <w:pPr>
              <w:spacing w:after="0" w:line="240" w:lineRule="auto"/>
              <w:jc w:val="center"/>
              <w:rPr>
                <w:rFonts w:eastAsia="Times New Roman" w:cstheme="minorHAnsi"/>
                <w:noProof/>
                <w:sz w:val="16"/>
              </w:rPr>
            </w:pPr>
          </w:p>
        </w:tc>
        <w:tc>
          <w:tcPr>
            <w:tcW w:w="908" w:type="dxa"/>
            <w:shd w:val="clear" w:color="auto" w:fill="C4EFCE"/>
            <w:noWrap/>
            <w:vAlign w:val="center"/>
          </w:tcPr>
          <w:p w14:paraId="31A31401" w14:textId="77777777" w:rsidR="00A15990" w:rsidRDefault="00A15990">
            <w:pPr>
              <w:spacing w:after="0" w:line="240" w:lineRule="auto"/>
              <w:jc w:val="center"/>
              <w:rPr>
                <w:rFonts w:eastAsia="Times New Roman" w:cstheme="minorHAnsi"/>
                <w:noProof/>
                <w:sz w:val="16"/>
              </w:rPr>
            </w:pPr>
          </w:p>
        </w:tc>
        <w:tc>
          <w:tcPr>
            <w:tcW w:w="657" w:type="dxa"/>
            <w:shd w:val="clear" w:color="auto" w:fill="C4EFCE"/>
            <w:noWrap/>
            <w:vAlign w:val="center"/>
          </w:tcPr>
          <w:p w14:paraId="58433C55" w14:textId="77777777" w:rsidR="00A15990" w:rsidRDefault="00A15990">
            <w:pPr>
              <w:spacing w:after="0" w:line="240" w:lineRule="auto"/>
              <w:jc w:val="center"/>
              <w:rPr>
                <w:rFonts w:eastAsia="Times New Roman" w:cstheme="minorHAnsi"/>
                <w:noProof/>
                <w:sz w:val="16"/>
              </w:rPr>
            </w:pPr>
          </w:p>
        </w:tc>
        <w:tc>
          <w:tcPr>
            <w:tcW w:w="530" w:type="dxa"/>
            <w:shd w:val="clear" w:color="auto" w:fill="C4EFCE"/>
            <w:noWrap/>
            <w:vAlign w:val="center"/>
          </w:tcPr>
          <w:p w14:paraId="266E7E25" w14:textId="18AC0BB2" w:rsidR="00A15990" w:rsidRDefault="00686A62">
            <w:pPr>
              <w:pStyle w:val="P68B1DB1-Normal12"/>
              <w:spacing w:after="0" w:line="240" w:lineRule="auto"/>
              <w:jc w:val="center"/>
              <w:rPr>
                <w:rFonts w:eastAsia="Times New Roman" w:cstheme="minorHAnsi"/>
                <w:noProof/>
              </w:rPr>
            </w:pPr>
            <w:r>
              <w:rPr>
                <w:noProof/>
              </w:rPr>
              <w:t>TRIMESTRUL 2</w:t>
            </w:r>
          </w:p>
        </w:tc>
        <w:tc>
          <w:tcPr>
            <w:tcW w:w="656" w:type="dxa"/>
            <w:shd w:val="clear" w:color="auto" w:fill="C4EFCE"/>
            <w:noWrap/>
            <w:vAlign w:val="center"/>
          </w:tcPr>
          <w:p w14:paraId="77EA0F2E" w14:textId="13F6F2D7" w:rsidR="00A15990" w:rsidRDefault="00686A62">
            <w:pPr>
              <w:pStyle w:val="P68B1DB1-Normal12"/>
              <w:spacing w:after="0" w:line="240" w:lineRule="auto"/>
              <w:jc w:val="center"/>
              <w:rPr>
                <w:rFonts w:eastAsia="Times New Roman" w:cstheme="minorHAnsi"/>
                <w:noProof/>
              </w:rPr>
            </w:pPr>
            <w:r>
              <w:rPr>
                <w:noProof/>
              </w:rPr>
              <w:t>2025</w:t>
            </w:r>
          </w:p>
        </w:tc>
        <w:tc>
          <w:tcPr>
            <w:tcW w:w="5456" w:type="dxa"/>
            <w:shd w:val="clear" w:color="auto" w:fill="C4EFCE"/>
            <w:noWrap/>
            <w:vAlign w:val="center"/>
          </w:tcPr>
          <w:p w14:paraId="03CED8F5" w14:textId="2F4499FE" w:rsidR="00A15990" w:rsidRDefault="00686A62">
            <w:pPr>
              <w:pStyle w:val="P68B1DB1-Bodytext1013"/>
              <w:spacing w:after="0"/>
              <w:rPr>
                <w:rFonts w:cstheme="minorHAnsi"/>
                <w:noProof/>
              </w:rPr>
            </w:pPr>
            <w:r>
              <w:rPr>
                <w:noProof/>
              </w:rPr>
              <w:t xml:space="preserve">Publicarea de către U-TAX a unui raport de evaluare privind avantajele fiscale existente. Raportul include o analiză cost-beneficiu cu criterii de eficacitate a beneficiilor fiscale care răspund obiectivului lor inițial de politică publică, eficienței economice a cheltuielilor fiscale generate și considerentelor de mediu. </w:t>
            </w:r>
          </w:p>
          <w:p w14:paraId="32CA742E" w14:textId="77777777" w:rsidR="00A15990" w:rsidRDefault="00686A62">
            <w:pPr>
              <w:pStyle w:val="P68B1DB1-Bodytext1013"/>
              <w:spacing w:after="0"/>
              <w:rPr>
                <w:rFonts w:cstheme="minorHAnsi"/>
                <w:noProof/>
              </w:rPr>
            </w:pPr>
            <w:r>
              <w:rPr>
                <w:noProof/>
              </w:rPr>
              <w:t xml:space="preserve">Raportul de evaluare se referă la avantajele fiscale care urmează să expire în anul următor publicării sale, precum și la setul substanțial de avantaje fiscale, inclusiv în afara </w:t>
            </w:r>
            <w:r>
              <w:rPr>
                <w:i/>
                <w:noProof/>
              </w:rPr>
              <w:t>Estatuto dos Benefícios Fiscais</w:t>
            </w:r>
            <w:r>
              <w:rPr>
                <w:noProof/>
              </w:rPr>
              <w:t xml:space="preserve">. </w:t>
            </w:r>
          </w:p>
          <w:p w14:paraId="3165E0FB" w14:textId="74F6954C" w:rsidR="00A15990" w:rsidRDefault="00686A62">
            <w:pPr>
              <w:pStyle w:val="P68B1DB1-Bodytext1013"/>
              <w:spacing w:after="0"/>
              <w:rPr>
                <w:rFonts w:cstheme="minorHAnsi"/>
                <w:noProof/>
              </w:rPr>
            </w:pPr>
            <w:r>
              <w:rPr>
                <w:noProof/>
              </w:rPr>
              <w:t>Setul substanțial de beneficii fiscale este definit în funcție de reprezentativitatea cheltuielilor sale fiscale asociate, cu accent pe cele legate de taxa pe valoarea adăugată, impozitul pe venitul persoanelor fizice și impozitul pe profit.</w:t>
            </w:r>
          </w:p>
          <w:p w14:paraId="27114AA9" w14:textId="1D86CB07" w:rsidR="00A15990" w:rsidRDefault="00686A62">
            <w:pPr>
              <w:pStyle w:val="P68B1DB1-Normal12"/>
              <w:rPr>
                <w:noProof/>
              </w:rPr>
            </w:pPr>
            <w:r>
              <w:rPr>
                <w:noProof/>
              </w:rPr>
              <w:t xml:space="preserve">U-TAX poate exclude din analiza sa avantajele fiscale portugheze deja evaluate de grupuri de lucru specifice înainte de crearea sa, precum și avantajele fiscale portugheze evaluate de instituții publice independente, cu condiția ca această analiză publicată să fie actualizată și în conformitate cu criteriile definite mai sus pentru analiza cost-beneficiu. </w:t>
            </w:r>
          </w:p>
          <w:p w14:paraId="69554B53" w14:textId="6AC9827B" w:rsidR="00A15990" w:rsidRDefault="00686A62">
            <w:pPr>
              <w:pStyle w:val="P68B1DB1-Normal12"/>
              <w:spacing w:after="0" w:line="240" w:lineRule="auto"/>
              <w:jc w:val="both"/>
              <w:rPr>
                <w:rFonts w:eastAsia="Times New Roman" w:cstheme="minorHAnsi"/>
                <w:noProof/>
              </w:rPr>
            </w:pPr>
            <w:r>
              <w:rPr>
                <w:noProof/>
              </w:rPr>
              <w:t>Raportul de evaluare include recomandări cu privire la avantajele fiscale care fac obiectul acestuia care trebuie eliminate, extinse sau modificate.</w:t>
            </w:r>
          </w:p>
        </w:tc>
      </w:tr>
      <w:tr w:rsidR="00A15990" w14:paraId="014DEF92" w14:textId="77777777">
        <w:trPr>
          <w:gridBefore w:val="1"/>
          <w:wBefore w:w="7" w:type="dxa"/>
          <w:trHeight w:val="1480"/>
        </w:trPr>
        <w:tc>
          <w:tcPr>
            <w:tcW w:w="1036" w:type="dxa"/>
            <w:shd w:val="clear" w:color="auto" w:fill="C4EFCE"/>
            <w:vAlign w:val="center"/>
          </w:tcPr>
          <w:p w14:paraId="5B5FBA47" w14:textId="374B26BF" w:rsidR="00A15990" w:rsidRDefault="00686A62">
            <w:pPr>
              <w:pStyle w:val="P68B1DB1-Normal11"/>
              <w:spacing w:after="0" w:line="240" w:lineRule="auto"/>
              <w:jc w:val="center"/>
              <w:rPr>
                <w:rFonts w:eastAsia="Times New Roman"/>
                <w:noProof/>
              </w:rPr>
            </w:pPr>
            <w:r>
              <w:rPr>
                <w:noProof/>
              </w:rPr>
              <w:t>17.25</w:t>
            </w:r>
          </w:p>
        </w:tc>
        <w:tc>
          <w:tcPr>
            <w:tcW w:w="1161" w:type="dxa"/>
            <w:shd w:val="clear" w:color="auto" w:fill="C4EFCE"/>
            <w:noWrap/>
            <w:vAlign w:val="center"/>
          </w:tcPr>
          <w:p w14:paraId="027A26B7" w14:textId="7BDDCBF5" w:rsidR="00A15990" w:rsidRDefault="00686A62">
            <w:pPr>
              <w:pStyle w:val="P68B1DB1-Normal12"/>
              <w:spacing w:after="0" w:line="240" w:lineRule="auto"/>
              <w:jc w:val="center"/>
              <w:rPr>
                <w:rFonts w:eastAsia="Times New Roman" w:cstheme="minorHAnsi"/>
                <w:noProof/>
              </w:rPr>
            </w:pPr>
            <w:r>
              <w:rPr>
                <w:noProof/>
              </w:rPr>
              <w:t>TD-C17-r40</w:t>
            </w:r>
          </w:p>
        </w:tc>
        <w:tc>
          <w:tcPr>
            <w:tcW w:w="1034" w:type="dxa"/>
            <w:shd w:val="clear" w:color="auto" w:fill="C4EFCE"/>
            <w:noWrap/>
            <w:vAlign w:val="center"/>
          </w:tcPr>
          <w:p w14:paraId="232BE3B1" w14:textId="451A1F82" w:rsidR="00A15990" w:rsidRDefault="00686A62">
            <w:pPr>
              <w:pStyle w:val="P68B1DB1-Normal12"/>
              <w:spacing w:after="0" w:line="240" w:lineRule="auto"/>
              <w:jc w:val="center"/>
              <w:rPr>
                <w:rFonts w:eastAsia="Times New Roman" w:cstheme="minorHAnsi"/>
                <w:noProof/>
              </w:rPr>
            </w:pPr>
            <w:r>
              <w:rPr>
                <w:noProof/>
              </w:rPr>
              <w:t>M</w:t>
            </w:r>
          </w:p>
        </w:tc>
        <w:tc>
          <w:tcPr>
            <w:tcW w:w="1539" w:type="dxa"/>
            <w:shd w:val="clear" w:color="auto" w:fill="C4EFCE"/>
            <w:noWrap/>
            <w:vAlign w:val="center"/>
          </w:tcPr>
          <w:p w14:paraId="65CAD365" w14:textId="31C85319" w:rsidR="00A15990" w:rsidRDefault="00686A62">
            <w:pPr>
              <w:pStyle w:val="P68B1DB1-Normal12"/>
              <w:spacing w:after="0" w:line="240" w:lineRule="auto"/>
              <w:jc w:val="center"/>
              <w:rPr>
                <w:rFonts w:eastAsia="Times New Roman" w:cstheme="minorHAnsi"/>
                <w:noProof/>
              </w:rPr>
            </w:pPr>
            <w:r>
              <w:rPr>
                <w:noProof/>
              </w:rPr>
              <w:t xml:space="preserve">Intrarea în vigoare a unui act juridic privind prestațiile fiscale </w:t>
            </w:r>
          </w:p>
        </w:tc>
        <w:tc>
          <w:tcPr>
            <w:tcW w:w="1356" w:type="dxa"/>
            <w:shd w:val="clear" w:color="auto" w:fill="C4EFCE"/>
            <w:noWrap/>
            <w:vAlign w:val="center"/>
          </w:tcPr>
          <w:p w14:paraId="311CAF38" w14:textId="6D28ACD0" w:rsidR="00A15990" w:rsidRDefault="00686A62">
            <w:pPr>
              <w:pStyle w:val="P68B1DB1-Normal12"/>
              <w:spacing w:after="0" w:line="240" w:lineRule="auto"/>
              <w:jc w:val="center"/>
              <w:rPr>
                <w:rFonts w:eastAsia="Times New Roman" w:cstheme="minorHAnsi"/>
                <w:noProof/>
              </w:rPr>
            </w:pPr>
            <w:r>
              <w:rPr>
                <w:noProof/>
              </w:rPr>
              <w:t xml:space="preserve">Dispoziție din actul juridic care indică data de intrare în vigoare a actului juridic </w:t>
            </w:r>
          </w:p>
        </w:tc>
        <w:tc>
          <w:tcPr>
            <w:tcW w:w="909" w:type="dxa"/>
            <w:shd w:val="clear" w:color="auto" w:fill="C4EFCE"/>
            <w:noWrap/>
            <w:vAlign w:val="center"/>
          </w:tcPr>
          <w:p w14:paraId="347AD5E7" w14:textId="77777777" w:rsidR="00A15990" w:rsidRDefault="00A15990">
            <w:pPr>
              <w:spacing w:after="0" w:line="240" w:lineRule="auto"/>
              <w:jc w:val="center"/>
              <w:rPr>
                <w:rFonts w:eastAsia="Times New Roman" w:cstheme="minorHAnsi"/>
                <w:noProof/>
                <w:sz w:val="16"/>
              </w:rPr>
            </w:pPr>
          </w:p>
        </w:tc>
        <w:tc>
          <w:tcPr>
            <w:tcW w:w="908" w:type="dxa"/>
            <w:shd w:val="clear" w:color="auto" w:fill="C4EFCE"/>
            <w:noWrap/>
            <w:vAlign w:val="center"/>
          </w:tcPr>
          <w:p w14:paraId="676CE199" w14:textId="77777777" w:rsidR="00A15990" w:rsidRDefault="00A15990">
            <w:pPr>
              <w:spacing w:after="0" w:line="240" w:lineRule="auto"/>
              <w:jc w:val="center"/>
              <w:rPr>
                <w:rFonts w:eastAsia="Times New Roman" w:cstheme="minorHAnsi"/>
                <w:noProof/>
                <w:sz w:val="16"/>
              </w:rPr>
            </w:pPr>
          </w:p>
        </w:tc>
        <w:tc>
          <w:tcPr>
            <w:tcW w:w="657" w:type="dxa"/>
            <w:shd w:val="clear" w:color="auto" w:fill="C4EFCE"/>
            <w:noWrap/>
            <w:vAlign w:val="center"/>
          </w:tcPr>
          <w:p w14:paraId="57178CE3" w14:textId="77777777" w:rsidR="00A15990" w:rsidRDefault="00A15990">
            <w:pPr>
              <w:spacing w:after="0" w:line="240" w:lineRule="auto"/>
              <w:jc w:val="center"/>
              <w:rPr>
                <w:rFonts w:eastAsia="Times New Roman" w:cstheme="minorHAnsi"/>
                <w:noProof/>
                <w:sz w:val="16"/>
              </w:rPr>
            </w:pPr>
          </w:p>
        </w:tc>
        <w:tc>
          <w:tcPr>
            <w:tcW w:w="530" w:type="dxa"/>
            <w:shd w:val="clear" w:color="auto" w:fill="C4EFCE"/>
            <w:noWrap/>
            <w:vAlign w:val="center"/>
          </w:tcPr>
          <w:p w14:paraId="3D84C64B" w14:textId="4029FEA2" w:rsidR="00A15990" w:rsidRDefault="00686A62">
            <w:pPr>
              <w:pStyle w:val="P68B1DB1-Normal12"/>
              <w:spacing w:after="0" w:line="240" w:lineRule="auto"/>
              <w:jc w:val="center"/>
              <w:rPr>
                <w:rFonts w:eastAsia="Times New Roman" w:cstheme="minorHAnsi"/>
                <w:noProof/>
              </w:rPr>
            </w:pPr>
            <w:r>
              <w:rPr>
                <w:noProof/>
              </w:rPr>
              <w:t>TRIMESTRUL 1</w:t>
            </w:r>
          </w:p>
        </w:tc>
        <w:tc>
          <w:tcPr>
            <w:tcW w:w="656" w:type="dxa"/>
            <w:shd w:val="clear" w:color="auto" w:fill="C4EFCE"/>
            <w:noWrap/>
            <w:vAlign w:val="center"/>
          </w:tcPr>
          <w:p w14:paraId="29B7FF51" w14:textId="261A5E14" w:rsidR="00A15990" w:rsidRDefault="00686A62">
            <w:pPr>
              <w:pStyle w:val="P68B1DB1-Normal12"/>
              <w:spacing w:after="0" w:line="240" w:lineRule="auto"/>
              <w:jc w:val="center"/>
              <w:rPr>
                <w:rFonts w:eastAsia="Times New Roman" w:cstheme="minorHAnsi"/>
                <w:noProof/>
              </w:rPr>
            </w:pPr>
            <w:r>
              <w:rPr>
                <w:noProof/>
              </w:rPr>
              <w:t>2026</w:t>
            </w:r>
          </w:p>
        </w:tc>
        <w:tc>
          <w:tcPr>
            <w:tcW w:w="5456" w:type="dxa"/>
            <w:shd w:val="clear" w:color="auto" w:fill="C4EFCE"/>
            <w:noWrap/>
            <w:vAlign w:val="center"/>
          </w:tcPr>
          <w:p w14:paraId="12CA98A0" w14:textId="0DCA3F2C" w:rsidR="00A15990" w:rsidRDefault="00686A62">
            <w:pPr>
              <w:pStyle w:val="P68B1DB1-Bodytext1013"/>
              <w:spacing w:after="0"/>
              <w:rPr>
                <w:rFonts w:eastAsiaTheme="minorHAnsi" w:cstheme="minorBidi"/>
                <w:noProof/>
              </w:rPr>
            </w:pPr>
            <w:r>
              <w:rPr>
                <w:noProof/>
              </w:rPr>
              <w:t>Intrarea în vigoare a unui act juridic de simplificare a sistemului de prestații fiscale prin reducerea numărului de beneficii fiscale existente, luând în considerare recomandările din raportul de evaluare al U-TAX și alte analize, astfel cum se specifică în etapa 17.24.</w:t>
            </w:r>
          </w:p>
        </w:tc>
      </w:tr>
    </w:tbl>
    <w:p w14:paraId="7340E1CC" w14:textId="77777777" w:rsidR="00A15990" w:rsidRDefault="00A15990">
      <w:pPr>
        <w:keepNext/>
        <w:spacing w:before="40" w:after="0" w:line="259" w:lineRule="auto"/>
        <w:jc w:val="both"/>
        <w:rPr>
          <w:rFonts w:ascii="Times New Roman" w:eastAsiaTheme="minorEastAsia" w:hAnsi="Times New Roman" w:cs="Times New Roman"/>
          <w:noProof/>
          <w:sz w:val="24"/>
          <w:u w:val="single"/>
        </w:rPr>
      </w:pPr>
    </w:p>
    <w:p w14:paraId="1B2345CC" w14:textId="77777777" w:rsidR="00A15990" w:rsidRDefault="00A15990">
      <w:pPr>
        <w:keepNext/>
        <w:spacing w:before="40" w:after="0" w:line="259" w:lineRule="auto"/>
        <w:jc w:val="both"/>
        <w:rPr>
          <w:rFonts w:ascii="Times New Roman" w:eastAsiaTheme="minorEastAsia" w:hAnsi="Times New Roman" w:cs="Times New Roman"/>
          <w:noProof/>
          <w:sz w:val="24"/>
          <w:u w:val="single"/>
        </w:rPr>
      </w:pPr>
    </w:p>
    <w:p w14:paraId="6123A23C"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324"/>
          <w:headerReference w:type="default" r:id="rId325"/>
          <w:footerReference w:type="even" r:id="rId326"/>
          <w:footerReference w:type="default" r:id="rId327"/>
          <w:headerReference w:type="first" r:id="rId328"/>
          <w:footerReference w:type="first" r:id="rId329"/>
          <w:pgSz w:w="16839" w:h="11907" w:orient="landscape"/>
          <w:pgMar w:top="1134" w:right="1134" w:bottom="1134" w:left="1134" w:header="567" w:footer="567" w:gutter="0"/>
          <w:cols w:space="720"/>
          <w:docGrid w:linePitch="360"/>
        </w:sectPr>
      </w:pPr>
    </w:p>
    <w:p w14:paraId="2F13BED3"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R. COMPONENTA 18: Justiția economică și mediul de afaceri</w:t>
      </w:r>
    </w:p>
    <w:p w14:paraId="238C7521"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Componenta abordează provocarea reprezentată de ineficiențele din sistemul judiciar portughez, precum și blocajele rămase în ceea ce privește acordarea de licențe întreprinderilor. Durata procedurilor administrative și fiscale s-a îmbunătățit în ultimii ani, dar rămâne una dintre cele mai ridicate din UE, iar numărul de cauze pendinte (numărul de cauze nesoluționate) rămâne relativ ridicat. Mediul de afaceri este, de asemenea, afectat de eficacitatea scăzută a legislației privind garanțiile și falimentul, precum și de procedurile greoaie de acordare a licențelor în anumite sectoare. </w:t>
      </w:r>
    </w:p>
    <w:p w14:paraId="5E76299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componentei este de a consolida și de a eficientiza relațiile dintre cetățeni și întreprinderi cu statul, precum și de a reduce sarcina și complexitatea care împiedică activitatea întreprinderilor și afectează productivitatea. Acesta abordează două chestiuni de lungă durată: obstacole în obținerea licențelor comerciale și ineficiențe în sistemul judiciar, precum și adoptarea paradigmei „digital prin definiție” în sistemul de justiție și promovarea acesteia în cadrul procedurilor de acordare a licențelor, atât în ceea ce privește funcționarea instanțelor, cât și interacțiunea cu părțile interesate. </w:t>
      </w:r>
    </w:p>
    <w:p w14:paraId="76272F78" w14:textId="77777777" w:rsidR="00A15990" w:rsidRDefault="00686A62">
      <w:pPr>
        <w:pStyle w:val="P68B1DB1-Normal4"/>
        <w:keepNext/>
        <w:spacing w:before="40" w:after="0" w:line="259" w:lineRule="auto"/>
        <w:jc w:val="both"/>
        <w:rPr>
          <w:rFonts w:eastAsiaTheme="minorEastAsia" w:cs="Times New Roman"/>
          <w:noProof/>
        </w:rPr>
      </w:pPr>
      <w:r>
        <w:rPr>
          <w:noProof/>
        </w:rPr>
        <w:t>Această componentă vizează abordarea diferitelor provocări identificate în recomandările specifice fiecărei țări (recomandările specifice fiecărei țări 4 2019 și 2020), și anume ineficiențele rămase în domeniul procedurilor de insolvență și al instanțelor administrative și fiscale, precum și abordarea problemei cerințelor de acordare a licențelor pentru întreprinderi, abordând în același timp cadrul profesiilor reglementate (inclus, de asemenea, în aceleași recomandări specifice fiecărei țări), deși limitat la profesia de practician în insolvență (provocarea privind profesiile reglementate este abordată în componenta 6). Componenta contribuie, de asemenea, la abordarea recomandării specifice fiecărei țări de a concentra investițiile asupra tranziției digitale (recomandarea specifică fiecărei țări 3 2020).</w:t>
      </w:r>
    </w:p>
    <w:p w14:paraId="5854FAB7" w14:textId="77777777" w:rsidR="00A15990" w:rsidRDefault="00686A62">
      <w:pPr>
        <w:pStyle w:val="P68B1DB1-Normal4"/>
        <w:keepNext/>
        <w:spacing w:before="40" w:after="0" w:line="259" w:lineRule="auto"/>
        <w:jc w:val="both"/>
        <w:rPr>
          <w:rFonts w:eastAsiaTheme="minorEastAsia" w:cs="Times New Roman"/>
          <w:noProof/>
        </w:rPr>
      </w:pPr>
      <w:r>
        <w:rPr>
          <w:noProof/>
        </w:rPr>
        <w:t>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w:t>
      </w:r>
    </w:p>
    <w:p w14:paraId="1109CC39"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3FEC5922"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 xml:space="preserve">R.1. </w:t>
      </w:r>
      <w:r>
        <w:rPr>
          <w:noProof/>
        </w:rPr>
        <w:tab/>
        <w:t>Descrierea reformelor și a investițiilor pentru sprijinul financiar nerambursabil</w:t>
      </w:r>
    </w:p>
    <w:p w14:paraId="6924508E" w14:textId="7198A548"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TD-C18-r33: Justiția economică și mediul de afaceri</w:t>
      </w:r>
    </w:p>
    <w:p w14:paraId="3133444F" w14:textId="77777777" w:rsidR="00A15990" w:rsidRDefault="00686A62">
      <w:pPr>
        <w:pStyle w:val="P68B1DB1-Normal4"/>
        <w:keepNext/>
        <w:spacing w:before="40" w:after="0" w:line="259" w:lineRule="auto"/>
        <w:jc w:val="both"/>
        <w:rPr>
          <w:rFonts w:eastAsiaTheme="minorEastAsia" w:cs="Times New Roman"/>
          <w:noProof/>
        </w:rPr>
      </w:pPr>
      <w:r>
        <w:rPr>
          <w:noProof/>
        </w:rPr>
        <w:t>Reforma include identificarea barierelor în calea investițiilor în domeniul acordării de licențe, în vederea reducerii ineficiențelor procedurale și a valorificării beneficiilor digitalizării și interoperabilității între servicii, punând în aplicare principiul „o singură dată”, ca element central al reformei în ceea ce privește mediul de afaceri. Modificările cadrului juridic, care elimină astfel de bariere, sunt programate să intre în vigoare până în al treilea trimestru al anului 2025.</w:t>
      </w:r>
    </w:p>
    <w:p w14:paraId="16D053AF" w14:textId="6A0BEF7A" w:rsidR="00A15990" w:rsidRDefault="00686A62">
      <w:pPr>
        <w:pStyle w:val="P68B1DB1-Normal4"/>
        <w:keepNext/>
        <w:spacing w:before="40" w:after="0" w:line="259" w:lineRule="auto"/>
        <w:jc w:val="both"/>
        <w:rPr>
          <w:rFonts w:eastAsiaTheme="minorEastAsia" w:cs="Times New Roman"/>
          <w:noProof/>
        </w:rPr>
      </w:pPr>
      <w:r>
        <w:rPr>
          <w:noProof/>
        </w:rPr>
        <w:t xml:space="preserve">În domeniul justiției, reforma vizează creșterea eficienței instanțelor administrative și fiscale prin instituirea unui cadru juridic care să promoveze tranzacțiile judiciare și extrajudiciare și crearea unor camere specializate în instanțele superioare, în timp ce revizuirea cadrului în materie de insolvență include consolidarea rolului practicienilor în insolvență, revizuirea cadrului juridic care consolidează drepturile creditorului și introducerea repartizării parțiale obligatorii în cazuri specifice. </w:t>
      </w:r>
    </w:p>
    <w:p w14:paraId="512710E7"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În plus, reforma avută în vedere oferă temeiul juridic pentru digitalizarea proceselor și a procedurilor în întregul sistem de justiție, inclusiv în domeniul anchetelor criminalistice și penale. </w:t>
      </w:r>
    </w:p>
    <w:p w14:paraId="62C04DD3" w14:textId="233D5065"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30 septembrie 2025.</w:t>
      </w:r>
    </w:p>
    <w:p w14:paraId="0242038B"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67684AD" w14:textId="66EF0FAF"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TD-C18-i01: Justiția economică și mediul de afaceri</w:t>
      </w:r>
    </w:p>
    <w:p w14:paraId="0BCC9F57" w14:textId="77777777" w:rsidR="00A15990" w:rsidRDefault="00686A62">
      <w:pPr>
        <w:pStyle w:val="P68B1DB1-Normal4"/>
        <w:keepNext/>
        <w:spacing w:before="40" w:after="0" w:line="259" w:lineRule="auto"/>
        <w:jc w:val="both"/>
        <w:rPr>
          <w:rFonts w:eastAsiaTheme="minorEastAsia" w:cs="Times New Roman"/>
          <w:noProof/>
        </w:rPr>
      </w:pPr>
      <w:r>
        <w:rPr>
          <w:noProof/>
        </w:rPr>
        <w:t>Obiectivul investiției este de a asigura tranziția digitală și reziliența sistemelor informatice de justiție portugheze. Scopul său este de a integra paradigma „digitală prin definiție” în sistemul judiciar și în grefieri, inclusiv în ceea ce privește interacțiunile cu cetățenii și întreprinderile.</w:t>
      </w:r>
    </w:p>
    <w:p w14:paraId="440992D0" w14:textId="77777777" w:rsidR="00A15990" w:rsidRDefault="00686A62">
      <w:pPr>
        <w:pStyle w:val="P68B1DB1-Normal4"/>
        <w:keepNext/>
        <w:spacing w:before="40" w:after="0" w:line="259" w:lineRule="auto"/>
        <w:jc w:val="both"/>
        <w:rPr>
          <w:rFonts w:eastAsiaTheme="minorEastAsia" w:cs="Times New Roman"/>
          <w:noProof/>
        </w:rPr>
      </w:pPr>
      <w:r>
        <w:rPr>
          <w:noProof/>
        </w:rPr>
        <w:t>Tranziția digitală reprezintă piatra de temelie a acestei investiții, concentrându-se asupra sistemului de justiție, care este împărțit în cinci clustere:</w:t>
      </w:r>
    </w:p>
    <w:p w14:paraId="3E5216F8"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Dezvoltarea și punerea în aplicare a unor platforme digitale pentru sistemul de justiție (care să cuprindă toate instanțele), în cadrul cărora scopul este de a promova digitalizarea tuturor proceselor și procedurilor judiciare și de a profita de beneficiile creșterii inerente a eficienței pentru a aborda întârzierile existente. În plus, trebuie dezvoltate noi interfețe pentru interacțiunea cu părțile interesate relevante;</w:t>
      </w:r>
    </w:p>
    <w:p w14:paraId="6E480707"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Dezvoltarea de platforme digitale pentru cetățeni și întreprinderi (inclusiv migrația datelor), punerea la dispoziție online a unor noi servicii și asigurarea unei dematerializări totale a anumitor servicii. Această investiție vizează furnizarea de platforme integrate de servicii pentru întreprinderi și cetățeni, pe tot parcursul „ciclului lor de viață”, inclusiv pentru toți operatorii de registru (bunuri imobile, vehicule, naționalitate, caziere comerciale și caziere judiciare, precum și înregistrarea și verificarea brevetelor);</w:t>
      </w:r>
    </w:p>
    <w:p w14:paraId="5C4276B3"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Platforme digitale pentru anchete penale și criminalistică, dezvoltarea și modernizarea sistemelor de informații și asigurarea conexiunii cu rețelele europene; </w:t>
      </w:r>
    </w:p>
    <w:p w14:paraId="7CD0A53D"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Dezvoltarea și punerea în aplicare a unor platforme de gestionare a cunoștințelor în domeniul justiției, inclusiv a unei platforme comune de servicii partajate, gestionarea documentelor, dezvoltarea unei platforme pentru compilarea de statistici și indicatori și simplificarea limbajului utilizat în comunicații și în serviciile digitale în interacțiunile cu cetățenii și întreprinderile (inclusiv notificările electronice);</w:t>
      </w:r>
    </w:p>
    <w:p w14:paraId="6B600ACC"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Îmbunătățirea infrastructurii și a echipamentelor tehnologice, inclusiv a centrului de date, a instalației de recuperare în caz de dezastru, a arhivelor digitale, a platformei de date deschise, a gestionării identității digitale, precum și crearea unui centru de contact digital și a unui serviciu de asistență în domeniul justiției.</w:t>
      </w:r>
    </w:p>
    <w:p w14:paraId="5E8B14D7"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beneficiază de sinergii puternice cu componenta 19 – administrația publică digitală, punerea în aplicare a paradigmei „digital prin definiție” și asigurarea alinierii la Strategia națională de securitate cibernetică și la Strategia în domeniul cloud computingului. </w:t>
      </w:r>
    </w:p>
    <w:p w14:paraId="4A4D4017" w14:textId="77777777" w:rsidR="00A15990" w:rsidRDefault="00686A62">
      <w:pPr>
        <w:pStyle w:val="P68B1DB1-Normal4"/>
        <w:spacing w:before="40" w:after="0" w:line="259" w:lineRule="auto"/>
        <w:jc w:val="both"/>
        <w:rPr>
          <w:rFonts w:eastAsiaTheme="minorEastAsia" w:cs="Times New Roman"/>
          <w:noProof/>
        </w:rPr>
        <w:sectPr w:rsidR="00A15990" w:rsidSect="00E00EDD">
          <w:headerReference w:type="even" r:id="rId330"/>
          <w:headerReference w:type="default" r:id="rId331"/>
          <w:footerReference w:type="even" r:id="rId332"/>
          <w:footerReference w:type="default" r:id="rId333"/>
          <w:headerReference w:type="first" r:id="rId334"/>
          <w:footerReference w:type="first" r:id="rId335"/>
          <w:pgSz w:w="11907" w:h="16839"/>
          <w:pgMar w:top="1134" w:right="1134" w:bottom="1134" w:left="1134" w:header="567" w:footer="567" w:gutter="0"/>
          <w:cols w:space="720"/>
          <w:docGrid w:linePitch="360"/>
        </w:sectPr>
      </w:pPr>
      <w:r>
        <w:rPr>
          <w:noProof/>
        </w:rPr>
        <w:t>Punerea în aplicare a investiției se va finaliza până la 31 decembrie 2025.</w:t>
      </w:r>
    </w:p>
    <w:p w14:paraId="10A08022" w14:textId="77777777" w:rsidR="00A15990" w:rsidRDefault="00686A62">
      <w:pPr>
        <w:pStyle w:val="P68B1DB1-Normal3"/>
        <w:spacing w:before="40" w:after="0" w:line="259" w:lineRule="auto"/>
        <w:ind w:left="130" w:firstLine="720"/>
        <w:jc w:val="both"/>
        <w:outlineLvl w:val="1"/>
        <w:rPr>
          <w:rFonts w:eastAsiaTheme="minorEastAsia" w:cs="Times New Roman"/>
          <w:noProof/>
        </w:rPr>
      </w:pPr>
      <w:r>
        <w:rPr>
          <w:noProof/>
        </w:rPr>
        <w:t xml:space="preserve">R.2. </w:t>
      </w:r>
      <w:r>
        <w:rPr>
          <w:noProof/>
        </w:rPr>
        <w:tab/>
        <w:t>Obiective de etapă, ținte, indicatori și calendar pentru monitorizarea și punerea în aplicare a sprijinului financiar nerambursabil</w:t>
      </w:r>
    </w:p>
    <w:p w14:paraId="786060A7"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993"/>
        <w:gridCol w:w="1521"/>
        <w:gridCol w:w="6"/>
        <w:gridCol w:w="1633"/>
        <w:gridCol w:w="1659"/>
        <w:gridCol w:w="992"/>
        <w:gridCol w:w="777"/>
        <w:gridCol w:w="533"/>
        <w:gridCol w:w="614"/>
        <w:gridCol w:w="4880"/>
      </w:tblGrid>
      <w:tr w:rsidR="00A15990" w14:paraId="10258B68" w14:textId="77777777">
        <w:trPr>
          <w:trHeight w:val="910"/>
          <w:tblHeader/>
        </w:trPr>
        <w:tc>
          <w:tcPr>
            <w:tcW w:w="1277" w:type="dxa"/>
            <w:vMerge w:val="restart"/>
            <w:shd w:val="clear" w:color="auto" w:fill="BDD6EE"/>
            <w:vAlign w:val="center"/>
          </w:tcPr>
          <w:p w14:paraId="690E97EE"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5" w:type="dxa"/>
            <w:vMerge w:val="restart"/>
            <w:shd w:val="clear" w:color="auto" w:fill="BDD6EE"/>
            <w:vAlign w:val="center"/>
            <w:hideMark/>
          </w:tcPr>
          <w:p w14:paraId="6FE76F1B"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993" w:type="dxa"/>
            <w:vMerge w:val="restart"/>
            <w:shd w:val="clear" w:color="auto" w:fill="BDD6EE"/>
            <w:vAlign w:val="center"/>
            <w:hideMark/>
          </w:tcPr>
          <w:p w14:paraId="1C9E635C" w14:textId="592BABF1"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br/>
              <w:t>Țintă</w:t>
            </w:r>
          </w:p>
        </w:tc>
        <w:tc>
          <w:tcPr>
            <w:tcW w:w="1521" w:type="dxa"/>
            <w:vMerge w:val="restart"/>
            <w:shd w:val="clear" w:color="auto" w:fill="BDD6EE"/>
            <w:vAlign w:val="center"/>
            <w:hideMark/>
          </w:tcPr>
          <w:p w14:paraId="03568057" w14:textId="77777777" w:rsidR="00A15990" w:rsidRDefault="00686A62">
            <w:pPr>
              <w:pStyle w:val="P68B1DB1-Normal6"/>
              <w:spacing w:after="0" w:line="240" w:lineRule="auto"/>
              <w:jc w:val="center"/>
              <w:rPr>
                <w:rFonts w:eastAsia="Times New Roman" w:cs="Times New Roman"/>
                <w:noProof/>
              </w:rPr>
            </w:pPr>
            <w:r>
              <w:rPr>
                <w:noProof/>
              </w:rPr>
              <w:t>Nume</w:t>
            </w:r>
          </w:p>
        </w:tc>
        <w:tc>
          <w:tcPr>
            <w:tcW w:w="1639" w:type="dxa"/>
            <w:gridSpan w:val="2"/>
            <w:vMerge w:val="restart"/>
            <w:shd w:val="clear" w:color="auto" w:fill="BDD6EE"/>
            <w:vAlign w:val="center"/>
            <w:hideMark/>
          </w:tcPr>
          <w:p w14:paraId="28863AC3"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3428" w:type="dxa"/>
            <w:gridSpan w:val="3"/>
            <w:shd w:val="clear" w:color="auto" w:fill="BDD6EE"/>
            <w:vAlign w:val="center"/>
            <w:hideMark/>
          </w:tcPr>
          <w:p w14:paraId="4089044F"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147" w:type="dxa"/>
            <w:gridSpan w:val="2"/>
            <w:shd w:val="clear" w:color="auto" w:fill="BDD6EE"/>
            <w:vAlign w:val="center"/>
            <w:hideMark/>
          </w:tcPr>
          <w:p w14:paraId="637730C0"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880" w:type="dxa"/>
            <w:vMerge w:val="restart"/>
            <w:shd w:val="clear" w:color="auto" w:fill="BDD6EE"/>
            <w:noWrap/>
            <w:vAlign w:val="center"/>
            <w:hideMark/>
          </w:tcPr>
          <w:p w14:paraId="6E961EB9"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259DC459" w14:textId="77777777">
        <w:trPr>
          <w:trHeight w:val="470"/>
          <w:tblHeader/>
        </w:trPr>
        <w:tc>
          <w:tcPr>
            <w:tcW w:w="1277" w:type="dxa"/>
            <w:vMerge/>
          </w:tcPr>
          <w:p w14:paraId="0B61D35A"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42F5CA82" w14:textId="77777777" w:rsidR="00A15990" w:rsidRDefault="00A15990">
            <w:pPr>
              <w:spacing w:after="0" w:line="240" w:lineRule="auto"/>
              <w:rPr>
                <w:rFonts w:ascii="Times New Roman" w:eastAsia="Times New Roman" w:hAnsi="Times New Roman" w:cs="Times New Roman"/>
                <w:b/>
                <w:noProof/>
                <w:sz w:val="18"/>
              </w:rPr>
            </w:pPr>
          </w:p>
        </w:tc>
        <w:tc>
          <w:tcPr>
            <w:tcW w:w="993" w:type="dxa"/>
            <w:vMerge/>
            <w:vAlign w:val="center"/>
            <w:hideMark/>
          </w:tcPr>
          <w:p w14:paraId="6A66BA83" w14:textId="5098E0F5" w:rsidR="00A15990" w:rsidRDefault="00A15990">
            <w:pPr>
              <w:spacing w:after="0" w:line="240" w:lineRule="auto"/>
              <w:jc w:val="center"/>
              <w:rPr>
                <w:rFonts w:ascii="Times New Roman" w:eastAsia="Times New Roman" w:hAnsi="Times New Roman" w:cs="Times New Roman"/>
                <w:b/>
                <w:noProof/>
                <w:sz w:val="18"/>
              </w:rPr>
            </w:pPr>
          </w:p>
        </w:tc>
        <w:tc>
          <w:tcPr>
            <w:tcW w:w="1521" w:type="dxa"/>
            <w:vMerge/>
            <w:vAlign w:val="center"/>
            <w:hideMark/>
          </w:tcPr>
          <w:p w14:paraId="020E12E7" w14:textId="77777777" w:rsidR="00A15990" w:rsidRDefault="00A15990">
            <w:pPr>
              <w:spacing w:after="0" w:line="240" w:lineRule="auto"/>
              <w:rPr>
                <w:rFonts w:ascii="Times New Roman" w:eastAsia="Times New Roman" w:hAnsi="Times New Roman" w:cs="Times New Roman"/>
                <w:b/>
                <w:noProof/>
                <w:sz w:val="18"/>
              </w:rPr>
            </w:pPr>
          </w:p>
        </w:tc>
        <w:tc>
          <w:tcPr>
            <w:tcW w:w="1639" w:type="dxa"/>
            <w:gridSpan w:val="2"/>
            <w:vMerge/>
            <w:vAlign w:val="center"/>
            <w:hideMark/>
          </w:tcPr>
          <w:p w14:paraId="70F7DD30" w14:textId="77777777" w:rsidR="00A15990" w:rsidRDefault="00A15990">
            <w:pPr>
              <w:spacing w:after="0" w:line="240" w:lineRule="auto"/>
              <w:rPr>
                <w:rFonts w:ascii="Times New Roman" w:eastAsia="Times New Roman" w:hAnsi="Times New Roman" w:cs="Times New Roman"/>
                <w:b/>
                <w:noProof/>
                <w:sz w:val="18"/>
              </w:rPr>
            </w:pPr>
          </w:p>
        </w:tc>
        <w:tc>
          <w:tcPr>
            <w:tcW w:w="1659" w:type="dxa"/>
            <w:shd w:val="clear" w:color="auto" w:fill="BDD6EE"/>
            <w:vAlign w:val="center"/>
            <w:hideMark/>
          </w:tcPr>
          <w:p w14:paraId="6FED8042"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055E64A2"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77" w:type="dxa"/>
            <w:shd w:val="clear" w:color="auto" w:fill="BDD6EE"/>
            <w:vAlign w:val="center"/>
            <w:hideMark/>
          </w:tcPr>
          <w:p w14:paraId="114749AF"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33" w:type="dxa"/>
            <w:shd w:val="clear" w:color="auto" w:fill="BDD6EE"/>
            <w:vAlign w:val="center"/>
            <w:hideMark/>
          </w:tcPr>
          <w:p w14:paraId="76E28634" w14:textId="77777777" w:rsidR="00A15990" w:rsidRDefault="00686A62">
            <w:pPr>
              <w:pStyle w:val="P68B1DB1-Normal6"/>
              <w:spacing w:after="0" w:line="240" w:lineRule="auto"/>
              <w:jc w:val="center"/>
              <w:rPr>
                <w:rFonts w:eastAsia="Times New Roman" w:cs="Times New Roman"/>
                <w:noProof/>
              </w:rPr>
            </w:pPr>
            <w:r>
              <w:rPr>
                <w:noProof/>
              </w:rPr>
              <w:t>Q</w:t>
            </w:r>
          </w:p>
        </w:tc>
        <w:tc>
          <w:tcPr>
            <w:tcW w:w="614" w:type="dxa"/>
            <w:shd w:val="clear" w:color="auto" w:fill="BDD6EE"/>
            <w:vAlign w:val="center"/>
            <w:hideMark/>
          </w:tcPr>
          <w:p w14:paraId="6B436B9B" w14:textId="77777777" w:rsidR="00A15990" w:rsidRDefault="00686A62">
            <w:pPr>
              <w:pStyle w:val="P68B1DB1-Normal6"/>
              <w:spacing w:after="0" w:line="240" w:lineRule="auto"/>
              <w:jc w:val="center"/>
              <w:rPr>
                <w:rFonts w:eastAsia="Times New Roman" w:cs="Times New Roman"/>
                <w:noProof/>
              </w:rPr>
            </w:pPr>
            <w:r>
              <w:rPr>
                <w:noProof/>
              </w:rPr>
              <w:t>Anul</w:t>
            </w:r>
          </w:p>
        </w:tc>
        <w:tc>
          <w:tcPr>
            <w:tcW w:w="4880" w:type="dxa"/>
            <w:vMerge/>
            <w:vAlign w:val="center"/>
            <w:hideMark/>
          </w:tcPr>
          <w:p w14:paraId="1483F6BF" w14:textId="77777777" w:rsidR="00A15990" w:rsidRDefault="00A15990">
            <w:pPr>
              <w:spacing w:after="0" w:line="240" w:lineRule="auto"/>
              <w:rPr>
                <w:rFonts w:ascii="Times New Roman" w:eastAsia="Times New Roman" w:hAnsi="Times New Roman" w:cs="Times New Roman"/>
                <w:b/>
                <w:noProof/>
                <w:sz w:val="18"/>
              </w:rPr>
            </w:pPr>
          </w:p>
        </w:tc>
      </w:tr>
      <w:tr w:rsidR="00A15990" w14:paraId="0704287E" w14:textId="77777777">
        <w:trPr>
          <w:trHeight w:val="1038"/>
        </w:trPr>
        <w:tc>
          <w:tcPr>
            <w:tcW w:w="1277" w:type="dxa"/>
            <w:shd w:val="clear" w:color="auto" w:fill="C4EFCE"/>
            <w:vAlign w:val="center"/>
          </w:tcPr>
          <w:p w14:paraId="30823E55" w14:textId="77777777" w:rsidR="00A15990" w:rsidRDefault="00686A62">
            <w:pPr>
              <w:pStyle w:val="P68B1DB1-Normal7"/>
              <w:spacing w:after="0" w:line="240" w:lineRule="auto"/>
              <w:jc w:val="center"/>
              <w:rPr>
                <w:rFonts w:eastAsia="Times New Roman" w:cs="Calibri"/>
                <w:noProof/>
              </w:rPr>
            </w:pPr>
            <w:r>
              <w:rPr>
                <w:noProof/>
              </w:rPr>
              <w:t>18.1</w:t>
            </w:r>
          </w:p>
        </w:tc>
        <w:tc>
          <w:tcPr>
            <w:tcW w:w="1275" w:type="dxa"/>
            <w:shd w:val="clear" w:color="auto" w:fill="C4EFCE"/>
            <w:noWrap/>
            <w:vAlign w:val="center"/>
            <w:hideMark/>
          </w:tcPr>
          <w:p w14:paraId="0F9E1EF8" w14:textId="77777777" w:rsidR="00A15990" w:rsidRDefault="00686A62">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016CCA3"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5B55A10" w14:textId="77777777" w:rsidR="00A15990" w:rsidRDefault="00686A62">
            <w:pPr>
              <w:pStyle w:val="P68B1DB1-Normal8"/>
              <w:spacing w:after="0" w:line="240" w:lineRule="auto"/>
              <w:jc w:val="center"/>
              <w:rPr>
                <w:rFonts w:eastAsia="Times New Roman" w:cs="Calibri"/>
                <w:noProof/>
              </w:rPr>
            </w:pPr>
            <w:r>
              <w:rPr>
                <w:noProof/>
              </w:rPr>
              <w:t>Crearea unor camere specializate în instanțele administrative și fiscale superioare</w:t>
            </w:r>
          </w:p>
        </w:tc>
        <w:tc>
          <w:tcPr>
            <w:tcW w:w="1633" w:type="dxa"/>
            <w:shd w:val="clear" w:color="auto" w:fill="C4EFCE"/>
            <w:noWrap/>
            <w:vAlign w:val="center"/>
            <w:hideMark/>
          </w:tcPr>
          <w:p w14:paraId="594CF147" w14:textId="77777777" w:rsidR="00A15990" w:rsidRDefault="00686A62">
            <w:pPr>
              <w:pStyle w:val="P68B1DB1-Normal8"/>
              <w:spacing w:after="0" w:line="240" w:lineRule="auto"/>
              <w:jc w:val="center"/>
              <w:rPr>
                <w:rFonts w:eastAsia="Times New Roman" w:cs="Calibri"/>
                <w:noProof/>
              </w:rPr>
            </w:pPr>
            <w:r>
              <w:rPr>
                <w:noProof/>
              </w:rPr>
              <w:t>Crearea unor camere specializate în instanțele administrative și fiscale superioare</w:t>
            </w:r>
          </w:p>
        </w:tc>
        <w:tc>
          <w:tcPr>
            <w:tcW w:w="1659" w:type="dxa"/>
            <w:shd w:val="clear" w:color="auto" w:fill="C4EFCE"/>
            <w:noWrap/>
            <w:vAlign w:val="center"/>
            <w:hideMark/>
          </w:tcPr>
          <w:p w14:paraId="77D105FC"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8DF828B"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19FDADA"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0C9B9432" w14:textId="77777777" w:rsidR="00A15990" w:rsidRDefault="00686A62">
            <w:pPr>
              <w:pStyle w:val="P68B1DB1-Normal8"/>
              <w:spacing w:after="0" w:line="240" w:lineRule="auto"/>
              <w:jc w:val="center"/>
              <w:rPr>
                <w:rFonts w:eastAsia="Times New Roman" w:cs="Calibri"/>
                <w:noProof/>
              </w:rPr>
            </w:pPr>
            <w:r>
              <w:rPr>
                <w:noProof/>
              </w:rPr>
              <w:t>TRIMESTRUL 1</w:t>
            </w:r>
          </w:p>
        </w:tc>
        <w:tc>
          <w:tcPr>
            <w:tcW w:w="614" w:type="dxa"/>
            <w:shd w:val="clear" w:color="auto" w:fill="C4EFCE"/>
            <w:noWrap/>
            <w:vAlign w:val="center"/>
            <w:hideMark/>
          </w:tcPr>
          <w:p w14:paraId="47910214" w14:textId="77777777" w:rsidR="00A15990" w:rsidRDefault="00686A62">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210990C9" w14:textId="77777777" w:rsidR="00A15990" w:rsidRDefault="00686A62">
            <w:pPr>
              <w:pStyle w:val="P68B1DB1-Normal8"/>
              <w:spacing w:after="0" w:line="240" w:lineRule="auto"/>
              <w:jc w:val="both"/>
              <w:rPr>
                <w:rFonts w:eastAsia="Times New Roman" w:cs="Calibri"/>
                <w:noProof/>
              </w:rPr>
            </w:pPr>
            <w:r>
              <w:rPr>
                <w:noProof/>
              </w:rPr>
              <w:t>Crearea unor camere specializate în instanțele administrative și fiscale superioare: hotărâri administrative ordinare, hotărâri administrative sociale, hotărâri în materie de achiziții publice, hotărâri fiscale obișnuite, hotărâri privind executarea fiscală și contravenții administrative</w:t>
            </w:r>
          </w:p>
        </w:tc>
      </w:tr>
      <w:tr w:rsidR="00A15990" w14:paraId="5EA37799" w14:textId="77777777">
        <w:trPr>
          <w:trHeight w:val="2570"/>
        </w:trPr>
        <w:tc>
          <w:tcPr>
            <w:tcW w:w="1277" w:type="dxa"/>
            <w:shd w:val="clear" w:color="auto" w:fill="C4EFCE"/>
            <w:vAlign w:val="center"/>
          </w:tcPr>
          <w:p w14:paraId="45922976" w14:textId="77777777" w:rsidR="00A15990" w:rsidRDefault="00686A62">
            <w:pPr>
              <w:pStyle w:val="P68B1DB1-Normal7"/>
              <w:spacing w:after="0" w:line="240" w:lineRule="auto"/>
              <w:jc w:val="center"/>
              <w:rPr>
                <w:rFonts w:eastAsia="Times New Roman" w:cs="Calibri"/>
                <w:noProof/>
              </w:rPr>
            </w:pPr>
            <w:r>
              <w:rPr>
                <w:noProof/>
              </w:rPr>
              <w:t>18.2</w:t>
            </w:r>
          </w:p>
        </w:tc>
        <w:tc>
          <w:tcPr>
            <w:tcW w:w="1275" w:type="dxa"/>
            <w:shd w:val="clear" w:color="auto" w:fill="C4EFCE"/>
            <w:noWrap/>
            <w:vAlign w:val="center"/>
          </w:tcPr>
          <w:p w14:paraId="134D7CD8" w14:textId="77777777" w:rsidR="00A15990" w:rsidRDefault="00686A62">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tcPr>
          <w:p w14:paraId="1EBB304E"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tcPr>
          <w:p w14:paraId="0E38DEE8" w14:textId="77777777" w:rsidR="00A15990" w:rsidRDefault="00686A62">
            <w:pPr>
              <w:pStyle w:val="P68B1DB1-Normal8"/>
              <w:spacing w:after="0" w:line="240" w:lineRule="auto"/>
              <w:jc w:val="center"/>
              <w:rPr>
                <w:rFonts w:eastAsia="Times New Roman" w:cs="Calibri"/>
                <w:noProof/>
              </w:rPr>
            </w:pPr>
            <w:r>
              <w:rPr>
                <w:noProof/>
              </w:rPr>
              <w:t>Intrarea în vigoare a unui regim juridic care să încurajeze soluționarea judiciară și extrajudiciară</w:t>
            </w:r>
          </w:p>
          <w:p w14:paraId="36CC1118" w14:textId="77777777" w:rsidR="00A15990" w:rsidRDefault="00A15990">
            <w:pPr>
              <w:spacing w:after="0" w:line="240" w:lineRule="auto"/>
              <w:jc w:val="center"/>
              <w:rPr>
                <w:rFonts w:ascii="Calibri" w:eastAsia="Times New Roman" w:hAnsi="Calibri" w:cs="Calibri"/>
                <w:noProof/>
                <w:sz w:val="16"/>
              </w:rPr>
            </w:pPr>
          </w:p>
        </w:tc>
        <w:tc>
          <w:tcPr>
            <w:tcW w:w="1633" w:type="dxa"/>
            <w:shd w:val="clear" w:color="auto" w:fill="C4EFCE"/>
            <w:noWrap/>
            <w:vAlign w:val="center"/>
          </w:tcPr>
          <w:p w14:paraId="4DB8A301" w14:textId="77777777" w:rsidR="00A15990" w:rsidRDefault="00686A62">
            <w:pPr>
              <w:pStyle w:val="P68B1DB1-Normal8"/>
              <w:spacing w:after="0" w:line="240" w:lineRule="auto"/>
              <w:jc w:val="center"/>
              <w:rPr>
                <w:rFonts w:eastAsia="Times New Roman" w:cs="Calibri"/>
                <w:noProof/>
              </w:rPr>
            </w:pPr>
            <w:r>
              <w:rPr>
                <w:noProof/>
              </w:rPr>
              <w:t>Intrarea în vigoare a unui regim juridic care să încurajeze soluționarea judiciară și extrajudiciară</w:t>
            </w:r>
          </w:p>
        </w:tc>
        <w:tc>
          <w:tcPr>
            <w:tcW w:w="1659" w:type="dxa"/>
            <w:shd w:val="clear" w:color="auto" w:fill="C4EFCE"/>
            <w:noWrap/>
            <w:vAlign w:val="center"/>
          </w:tcPr>
          <w:p w14:paraId="3F523CAC" w14:textId="77777777" w:rsidR="00A15990" w:rsidRDefault="00A15990">
            <w:pPr>
              <w:spacing w:after="0" w:line="240" w:lineRule="auto"/>
              <w:rPr>
                <w:rFonts w:ascii="Calibri" w:eastAsia="Times New Roman" w:hAnsi="Calibri" w:cs="Calibri"/>
                <w:noProof/>
                <w:sz w:val="16"/>
              </w:rPr>
            </w:pPr>
          </w:p>
        </w:tc>
        <w:tc>
          <w:tcPr>
            <w:tcW w:w="992" w:type="dxa"/>
            <w:shd w:val="clear" w:color="auto" w:fill="C4EFCE"/>
            <w:noWrap/>
            <w:vAlign w:val="center"/>
          </w:tcPr>
          <w:p w14:paraId="50EE6E1F" w14:textId="77777777" w:rsidR="00A15990" w:rsidRDefault="00A15990">
            <w:pPr>
              <w:spacing w:after="0" w:line="240" w:lineRule="auto"/>
              <w:jc w:val="center"/>
              <w:rPr>
                <w:rFonts w:ascii="Calibri" w:eastAsia="Times New Roman" w:hAnsi="Calibri" w:cs="Calibri"/>
                <w:noProof/>
                <w:sz w:val="16"/>
              </w:rPr>
            </w:pPr>
          </w:p>
        </w:tc>
        <w:tc>
          <w:tcPr>
            <w:tcW w:w="777" w:type="dxa"/>
            <w:shd w:val="clear" w:color="auto" w:fill="C4EFCE"/>
            <w:noWrap/>
            <w:vAlign w:val="center"/>
          </w:tcPr>
          <w:p w14:paraId="66037AB8" w14:textId="77777777" w:rsidR="00A15990" w:rsidRDefault="00A15990">
            <w:pPr>
              <w:spacing w:after="0" w:line="240" w:lineRule="auto"/>
              <w:jc w:val="center"/>
              <w:rPr>
                <w:rFonts w:ascii="Calibri" w:eastAsia="Times New Roman" w:hAnsi="Calibri" w:cs="Calibri"/>
                <w:noProof/>
                <w:sz w:val="16"/>
              </w:rPr>
            </w:pPr>
          </w:p>
        </w:tc>
        <w:tc>
          <w:tcPr>
            <w:tcW w:w="533" w:type="dxa"/>
            <w:shd w:val="clear" w:color="auto" w:fill="C4EFCE"/>
            <w:noWrap/>
            <w:vAlign w:val="center"/>
          </w:tcPr>
          <w:p w14:paraId="2E87CE6B" w14:textId="77777777" w:rsidR="00A15990" w:rsidRDefault="00686A62">
            <w:pPr>
              <w:pStyle w:val="P68B1DB1-Normal8"/>
              <w:spacing w:after="0" w:line="240" w:lineRule="auto"/>
              <w:jc w:val="center"/>
              <w:rPr>
                <w:rFonts w:eastAsia="Times New Roman" w:cs="Calibri"/>
                <w:noProof/>
              </w:rPr>
            </w:pPr>
            <w:r>
              <w:rPr>
                <w:noProof/>
              </w:rPr>
              <w:t>TRIMESTRUL 1</w:t>
            </w:r>
          </w:p>
        </w:tc>
        <w:tc>
          <w:tcPr>
            <w:tcW w:w="614" w:type="dxa"/>
            <w:shd w:val="clear" w:color="auto" w:fill="C4EFCE"/>
            <w:noWrap/>
            <w:vAlign w:val="center"/>
          </w:tcPr>
          <w:p w14:paraId="2B06B617" w14:textId="77777777" w:rsidR="00A15990" w:rsidRDefault="00686A62">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tcPr>
          <w:p w14:paraId="3B845451" w14:textId="77777777" w:rsidR="00A15990" w:rsidRDefault="00686A62">
            <w:pPr>
              <w:pStyle w:val="P68B1DB1-Normal8"/>
              <w:spacing w:after="0" w:line="240" w:lineRule="auto"/>
              <w:jc w:val="both"/>
              <w:rPr>
                <w:rFonts w:eastAsia="Times New Roman" w:cs="Calibri"/>
                <w:noProof/>
              </w:rPr>
            </w:pPr>
            <w:r>
              <w:rPr>
                <w:noProof/>
              </w:rPr>
              <w:t>Intrarea în vigoare a regimului juridic prin care se instituie un sistem legal de stimulare pentru încheierea procedurilor prin tranzacție judiciară și extrajudiciară</w:t>
            </w:r>
          </w:p>
        </w:tc>
      </w:tr>
      <w:tr w:rsidR="00A15990" w14:paraId="63E4A25B" w14:textId="77777777">
        <w:trPr>
          <w:cantSplit/>
          <w:trHeight w:val="5929"/>
        </w:trPr>
        <w:tc>
          <w:tcPr>
            <w:tcW w:w="1277" w:type="dxa"/>
            <w:shd w:val="clear" w:color="auto" w:fill="C4EFCE"/>
            <w:vAlign w:val="center"/>
          </w:tcPr>
          <w:p w14:paraId="4030100F" w14:textId="77777777" w:rsidR="00A15990" w:rsidRDefault="00686A62">
            <w:pPr>
              <w:pStyle w:val="P68B1DB1-Normal7"/>
              <w:spacing w:after="0" w:line="240" w:lineRule="auto"/>
              <w:jc w:val="center"/>
              <w:rPr>
                <w:rFonts w:eastAsia="Times New Roman" w:cs="Calibri"/>
                <w:noProof/>
              </w:rPr>
            </w:pPr>
            <w:r>
              <w:rPr>
                <w:noProof/>
              </w:rPr>
              <w:t>18.3</w:t>
            </w:r>
          </w:p>
        </w:tc>
        <w:tc>
          <w:tcPr>
            <w:tcW w:w="1275" w:type="dxa"/>
            <w:shd w:val="clear" w:color="auto" w:fill="C4EFCE"/>
            <w:noWrap/>
            <w:vAlign w:val="center"/>
            <w:hideMark/>
          </w:tcPr>
          <w:p w14:paraId="0EE4E35F" w14:textId="77777777" w:rsidR="00A15990" w:rsidRDefault="00686A62">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7DF377C5"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046AC9E" w14:textId="77777777" w:rsidR="00A15990" w:rsidRDefault="00686A62">
            <w:pPr>
              <w:pStyle w:val="P68B1DB1-Normal8"/>
              <w:spacing w:after="0" w:line="240" w:lineRule="auto"/>
              <w:jc w:val="center"/>
              <w:rPr>
                <w:rFonts w:eastAsia="Times New Roman" w:cs="Calibri"/>
                <w:noProof/>
              </w:rPr>
            </w:pPr>
            <w:r>
              <w:rPr>
                <w:noProof/>
              </w:rPr>
              <w:t>Intrarea în vigoare a cadrului juridic revizuit privind insolvența și recuperarea</w:t>
            </w:r>
          </w:p>
        </w:tc>
        <w:tc>
          <w:tcPr>
            <w:tcW w:w="1633" w:type="dxa"/>
            <w:shd w:val="clear" w:color="auto" w:fill="C4EFCE"/>
            <w:vAlign w:val="center"/>
          </w:tcPr>
          <w:p w14:paraId="3258DA2E" w14:textId="77777777" w:rsidR="00A15990" w:rsidRDefault="00686A62">
            <w:pPr>
              <w:pStyle w:val="P68B1DB1-Normal8"/>
              <w:spacing w:after="0" w:line="240" w:lineRule="auto"/>
              <w:jc w:val="center"/>
              <w:rPr>
                <w:rFonts w:eastAsia="Times New Roman" w:cs="Calibri"/>
                <w:noProof/>
              </w:rPr>
            </w:pPr>
            <w:r>
              <w:rPr>
                <w:noProof/>
              </w:rPr>
              <w:t>Intrarea în vigoare a cadrului juridic revizuit privind insolvența și recuperarea</w:t>
            </w:r>
          </w:p>
        </w:tc>
        <w:tc>
          <w:tcPr>
            <w:tcW w:w="1659" w:type="dxa"/>
            <w:shd w:val="clear" w:color="auto" w:fill="C4EFCE"/>
            <w:noWrap/>
            <w:vAlign w:val="center"/>
            <w:hideMark/>
          </w:tcPr>
          <w:p w14:paraId="15B6D3B5"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21E48313"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56852BD8"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DEFE34C" w14:textId="77777777" w:rsidR="00A15990" w:rsidRDefault="00686A62">
            <w:pPr>
              <w:pStyle w:val="P68B1DB1-Normal8"/>
              <w:spacing w:after="0" w:line="240" w:lineRule="auto"/>
              <w:jc w:val="center"/>
              <w:rPr>
                <w:rFonts w:eastAsia="Times New Roman" w:cs="Calibri"/>
                <w:noProof/>
              </w:rPr>
            </w:pPr>
            <w:r>
              <w:rPr>
                <w:noProof/>
              </w:rPr>
              <w:t>TRIMESTRUL 2</w:t>
            </w:r>
          </w:p>
        </w:tc>
        <w:tc>
          <w:tcPr>
            <w:tcW w:w="614" w:type="dxa"/>
            <w:shd w:val="clear" w:color="auto" w:fill="C4EFCE"/>
            <w:noWrap/>
            <w:vAlign w:val="center"/>
            <w:hideMark/>
          </w:tcPr>
          <w:p w14:paraId="06EFAEAF" w14:textId="77777777" w:rsidR="00A15990" w:rsidRDefault="00686A62">
            <w:pPr>
              <w:pStyle w:val="P68B1DB1-Normal8"/>
              <w:rPr>
                <w:rFonts w:eastAsia="Times New Roman" w:cs="Calibri"/>
                <w:noProof/>
              </w:rPr>
            </w:pPr>
            <w:r>
              <w:rPr>
                <w:noProof/>
              </w:rPr>
              <w:t>2024</w:t>
            </w:r>
          </w:p>
        </w:tc>
        <w:tc>
          <w:tcPr>
            <w:tcW w:w="4880" w:type="dxa"/>
            <w:shd w:val="clear" w:color="auto" w:fill="C4EFCE"/>
            <w:vAlign w:val="center"/>
            <w:hideMark/>
          </w:tcPr>
          <w:p w14:paraId="340D1B69" w14:textId="77777777" w:rsidR="00A15990" w:rsidRDefault="00686A62">
            <w:pPr>
              <w:spacing w:after="0" w:line="240" w:lineRule="auto"/>
              <w:jc w:val="both"/>
              <w:rPr>
                <w:rFonts w:ascii="Calibri" w:eastAsia="Times New Roman" w:hAnsi="Calibri" w:cs="Calibri"/>
                <w:noProof/>
                <w:sz w:val="16"/>
              </w:rPr>
            </w:pPr>
            <w:r>
              <w:rPr>
                <w:rFonts w:ascii="Calibri" w:hAnsi="Calibri"/>
                <w:noProof/>
                <w:sz w:val="16"/>
              </w:rPr>
              <w:t>Intrarea în vigoare a cadrului juridic revizuit pentru insolvența și salvarea întreprinderilor în vederea accelerării acestor proceduri și a adaptării acestora la „digital în mod implicit”, inclusiv</w:t>
            </w:r>
            <w:r>
              <w:rPr>
                <w:noProof/>
              </w:rPr>
              <w:br/>
            </w:r>
          </w:p>
          <w:p w14:paraId="75E14895" w14:textId="77777777" w:rsidR="00A15990" w:rsidRDefault="00686A62">
            <w:pPr>
              <w:pStyle w:val="P68B1DB1-Normal8"/>
              <w:spacing w:after="0" w:line="240" w:lineRule="auto"/>
              <w:jc w:val="both"/>
              <w:rPr>
                <w:rFonts w:eastAsia="Times New Roman" w:cs="Calibri"/>
                <w:noProof/>
              </w:rPr>
            </w:pPr>
            <w:r>
              <w:rPr>
                <w:noProof/>
              </w:rPr>
              <w:t>a) revizuirea Codului insolvenței pentru a optimiza procedurile de insolvență, reflectând, de asemenea, transpunerea Directivei 2019/1023 și instituirea unor proceduri pur electronice;</w:t>
            </w:r>
          </w:p>
          <w:p w14:paraId="5EAA7A3B" w14:textId="77777777" w:rsidR="00A15990" w:rsidRDefault="00686A62">
            <w:pPr>
              <w:pStyle w:val="P68B1DB1-Normal8"/>
              <w:spacing w:after="0" w:line="240" w:lineRule="auto"/>
              <w:jc w:val="both"/>
              <w:rPr>
                <w:rFonts w:eastAsia="Times New Roman" w:cs="Calibri"/>
                <w:noProof/>
              </w:rPr>
            </w:pPr>
            <w:r>
              <w:rPr>
                <w:noProof/>
              </w:rPr>
              <w:t>(b) încredințează administratorului insolvenței sarcina de a elabora un plan de lichidare, cu obiective limitate în timp, pentru descărcarea activelor care constituie masa bunurilor care constituie masa bunurilor care face obiectul insolvenței;</w:t>
            </w:r>
          </w:p>
          <w:p w14:paraId="4D201E3F" w14:textId="77777777" w:rsidR="00A15990" w:rsidRDefault="00686A62">
            <w:pPr>
              <w:pStyle w:val="P68B1DB1-Normal8"/>
              <w:spacing w:after="0" w:line="240" w:lineRule="auto"/>
              <w:jc w:val="both"/>
              <w:rPr>
                <w:rFonts w:eastAsia="Times New Roman" w:cs="Calibri"/>
                <w:noProof/>
              </w:rPr>
            </w:pPr>
            <w:r>
              <w:rPr>
                <w:noProof/>
              </w:rPr>
              <w:t>(c) simplificarea procedurii de examinare a pasivelor și a rangului creanțelor în cadrul procedurii de insolvență, conferind administratorului de insolvență responsabilitatea de a prezenta împreună cu lista creanțelor recunoscute o propunere privind rangul acestora, permițând judecătorului, în caz de acord și în absența oricărei contestații, să aprobe ambele documente, permițând astfel o procedură mai flexibilă;</w:t>
            </w:r>
          </w:p>
          <w:p w14:paraId="6435378B" w14:textId="77777777" w:rsidR="00A15990" w:rsidRDefault="00686A62">
            <w:pPr>
              <w:pStyle w:val="P68B1DB1-Normal8"/>
              <w:spacing w:after="0" w:line="240" w:lineRule="auto"/>
              <w:jc w:val="both"/>
              <w:rPr>
                <w:rFonts w:eastAsia="Times New Roman" w:cs="Calibri"/>
                <w:noProof/>
              </w:rPr>
            </w:pPr>
            <w:r>
              <w:rPr>
                <w:noProof/>
              </w:rPr>
              <w:t>(d) instituția de repartizare parțială obligatorie în cazul în care masa bunurilor care face obiectul insolvenței face parte din produsul lichidării activelor în valoare de cel puțin 10 000 EUR, a căror proprietate nu este contestată, iar procedura nu este în măsură să efectueze o repartizare finală;</w:t>
            </w:r>
          </w:p>
          <w:p w14:paraId="68A0B579" w14:textId="77777777" w:rsidR="00A15990" w:rsidRDefault="00686A62">
            <w:pPr>
              <w:pStyle w:val="P68B1DB1-Normal8"/>
              <w:spacing w:after="0" w:line="240" w:lineRule="auto"/>
              <w:jc w:val="both"/>
              <w:rPr>
                <w:rFonts w:eastAsia="Times New Roman" w:cs="Calibri"/>
                <w:noProof/>
              </w:rPr>
            </w:pPr>
            <w:r>
              <w:rPr>
                <w:noProof/>
              </w:rPr>
              <w:t xml:space="preserve">(e) revizuirea regimului de preempțiune al dreptului de retenție în prezența ipotecii (Código Civil); </w:t>
            </w:r>
          </w:p>
          <w:p w14:paraId="785EC4F6" w14:textId="77777777" w:rsidR="00A15990" w:rsidRDefault="00686A62">
            <w:pPr>
              <w:pStyle w:val="P68B1DB1-Normal8"/>
              <w:spacing w:after="0" w:line="240" w:lineRule="auto"/>
              <w:jc w:val="both"/>
              <w:rPr>
                <w:rFonts w:eastAsia="Times New Roman" w:cs="Calibri"/>
                <w:noProof/>
              </w:rPr>
            </w:pPr>
            <w:r>
              <w:rPr>
                <w:noProof/>
              </w:rPr>
              <w:t>(f) reducerea restricțiilor privind exercitarea practicienilor în insolvență.</w:t>
            </w:r>
          </w:p>
          <w:p w14:paraId="66B701AF" w14:textId="77777777" w:rsidR="00A15990" w:rsidRDefault="00686A62">
            <w:pPr>
              <w:pStyle w:val="P68B1DB1-Normal8"/>
              <w:spacing w:after="0" w:line="240" w:lineRule="auto"/>
              <w:jc w:val="both"/>
              <w:rPr>
                <w:rFonts w:eastAsia="Times New Roman" w:cs="Calibri"/>
                <w:noProof/>
              </w:rPr>
            </w:pPr>
            <w:r>
              <w:rPr>
                <w:noProof/>
              </w:rPr>
              <w:t>(g) eliminarea constrângerilor în etapa citației, stabilește, de regulă, notificarea sau comunicarea electronică a persoanelor juridice, în special în cadrul procedurilor de insolvență (CPC);</w:t>
            </w:r>
          </w:p>
          <w:p w14:paraId="15C87B35" w14:textId="77777777" w:rsidR="00A15990" w:rsidRDefault="00686A62">
            <w:pPr>
              <w:pStyle w:val="P68B1DB1-Normal8"/>
              <w:spacing w:after="0" w:line="240" w:lineRule="auto"/>
              <w:jc w:val="both"/>
              <w:rPr>
                <w:rFonts w:eastAsia="Times New Roman" w:cs="Calibri"/>
                <w:noProof/>
              </w:rPr>
            </w:pPr>
            <w:r>
              <w:rPr>
                <w:noProof/>
              </w:rPr>
              <w:t>(h) crearea și funcționarea camerelor specializate în instanțele superioare în materie comercială.</w:t>
            </w:r>
          </w:p>
          <w:p w14:paraId="472B518E" w14:textId="77777777" w:rsidR="00A15990" w:rsidRDefault="00686A62">
            <w:pPr>
              <w:pStyle w:val="P68B1DB1-Normal8"/>
              <w:spacing w:after="0" w:line="240" w:lineRule="auto"/>
              <w:jc w:val="both"/>
              <w:rPr>
                <w:rFonts w:eastAsia="Times New Roman" w:cs="Calibri"/>
                <w:noProof/>
              </w:rPr>
            </w:pPr>
            <w:r>
              <w:rPr>
                <w:noProof/>
              </w:rPr>
              <w:t xml:space="preserve">procedurile secretariatului Eureka și adaptarea acestora la „digital în mod implicit”, inclusiv </w:t>
            </w:r>
          </w:p>
        </w:tc>
      </w:tr>
      <w:tr w:rsidR="00A15990" w14:paraId="6AB9F600" w14:textId="77777777">
        <w:trPr>
          <w:trHeight w:val="430"/>
        </w:trPr>
        <w:tc>
          <w:tcPr>
            <w:tcW w:w="1277" w:type="dxa"/>
            <w:shd w:val="clear" w:color="auto" w:fill="C4EFCE"/>
            <w:vAlign w:val="center"/>
          </w:tcPr>
          <w:p w14:paraId="55355ADE" w14:textId="3ECAA7F9" w:rsidR="00A15990" w:rsidRDefault="00686A62">
            <w:pPr>
              <w:pStyle w:val="P68B1DB1-Normal7"/>
              <w:spacing w:after="0" w:line="240" w:lineRule="auto"/>
              <w:jc w:val="center"/>
              <w:rPr>
                <w:rFonts w:eastAsia="Times New Roman" w:cs="Calibri"/>
                <w:noProof/>
              </w:rPr>
            </w:pPr>
            <w:r>
              <w:rPr>
                <w:noProof/>
              </w:rPr>
              <w:t>18.4</w:t>
            </w:r>
          </w:p>
        </w:tc>
        <w:tc>
          <w:tcPr>
            <w:tcW w:w="1275" w:type="dxa"/>
            <w:shd w:val="clear" w:color="auto" w:fill="C4EFCE"/>
            <w:noWrap/>
            <w:vAlign w:val="center"/>
            <w:hideMark/>
          </w:tcPr>
          <w:p w14:paraId="7AEBE05E" w14:textId="77777777" w:rsidR="00A15990" w:rsidRDefault="00686A62">
            <w:pPr>
              <w:pStyle w:val="P68B1DB1-Normal8"/>
              <w:spacing w:after="0" w:line="240" w:lineRule="auto"/>
              <w:jc w:val="center"/>
              <w:rPr>
                <w:rFonts w:eastAsia="Times New Roman" w:cs="Calibri"/>
                <w:noProof/>
              </w:rPr>
            </w:pPr>
            <w:r>
              <w:rPr>
                <w:noProof/>
              </w:rPr>
              <w:t>TD-C18-r33</w:t>
            </w:r>
          </w:p>
        </w:tc>
        <w:tc>
          <w:tcPr>
            <w:tcW w:w="993" w:type="dxa"/>
            <w:shd w:val="clear" w:color="auto" w:fill="C4EFCE"/>
            <w:noWrap/>
            <w:vAlign w:val="center"/>
            <w:hideMark/>
          </w:tcPr>
          <w:p w14:paraId="460B81AA"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27A38FD" w14:textId="433D97C7" w:rsidR="00A15990" w:rsidRDefault="00686A62">
            <w:pPr>
              <w:pStyle w:val="P68B1DB1-Normal8"/>
              <w:spacing w:after="0" w:line="240" w:lineRule="auto"/>
              <w:jc w:val="center"/>
              <w:rPr>
                <w:rFonts w:eastAsia="Times New Roman" w:cs="Calibri"/>
                <w:noProof/>
              </w:rPr>
            </w:pPr>
            <w:r>
              <w:rPr>
                <w:noProof/>
              </w:rPr>
              <w:t>Intrarea în vigoare a pachetului legislativ privind eliminarea barierelor din calea acordării de licențe</w:t>
            </w:r>
          </w:p>
        </w:tc>
        <w:tc>
          <w:tcPr>
            <w:tcW w:w="1633" w:type="dxa"/>
            <w:shd w:val="clear" w:color="auto" w:fill="C4EFCE"/>
            <w:noWrap/>
            <w:vAlign w:val="center"/>
            <w:hideMark/>
          </w:tcPr>
          <w:p w14:paraId="65E920C4" w14:textId="39F70BC9" w:rsidR="00A15990" w:rsidRDefault="00686A62">
            <w:pPr>
              <w:pStyle w:val="P68B1DB1-Normal8"/>
              <w:spacing w:after="0" w:line="240" w:lineRule="auto"/>
              <w:jc w:val="center"/>
              <w:rPr>
                <w:rFonts w:eastAsia="Times New Roman" w:cs="Calibri"/>
                <w:noProof/>
              </w:rPr>
            </w:pPr>
            <w:r>
              <w:rPr>
                <w:noProof/>
              </w:rPr>
              <w:t xml:space="preserve"> Intrarea în vigoare a pachetului legislativ privind eliminarea barierelor din calea acordării de licențe</w:t>
            </w:r>
          </w:p>
        </w:tc>
        <w:tc>
          <w:tcPr>
            <w:tcW w:w="1659" w:type="dxa"/>
            <w:shd w:val="clear" w:color="auto" w:fill="C4EFCE"/>
            <w:noWrap/>
            <w:vAlign w:val="center"/>
            <w:hideMark/>
          </w:tcPr>
          <w:p w14:paraId="3B9AFDC2"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4405CD4C"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2DA1C3F0"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31E6942C" w14:textId="77777777" w:rsidR="00A15990" w:rsidRDefault="00686A62">
            <w:pPr>
              <w:pStyle w:val="P68B1DB1-Normal8"/>
              <w:spacing w:after="0" w:line="240" w:lineRule="auto"/>
              <w:jc w:val="center"/>
              <w:rPr>
                <w:rFonts w:eastAsia="Times New Roman" w:cs="Calibri"/>
                <w:noProof/>
              </w:rPr>
            </w:pPr>
            <w:r>
              <w:rPr>
                <w:noProof/>
              </w:rPr>
              <w:t>TRIMESTRUL 3</w:t>
            </w:r>
          </w:p>
        </w:tc>
        <w:tc>
          <w:tcPr>
            <w:tcW w:w="614" w:type="dxa"/>
            <w:shd w:val="clear" w:color="auto" w:fill="C4EFCE"/>
            <w:noWrap/>
            <w:vAlign w:val="center"/>
            <w:hideMark/>
          </w:tcPr>
          <w:p w14:paraId="75CF287C" w14:textId="77777777" w:rsidR="00A15990" w:rsidRDefault="00686A62">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7510859" w14:textId="37E2259C" w:rsidR="00A15990" w:rsidRDefault="00686A62">
            <w:pPr>
              <w:pStyle w:val="P68B1DB1-Normal8"/>
              <w:spacing w:after="0" w:line="240" w:lineRule="auto"/>
              <w:jc w:val="both"/>
              <w:rPr>
                <w:rFonts w:eastAsia="Times New Roman" w:cs="Calibri"/>
                <w:noProof/>
              </w:rPr>
            </w:pPr>
            <w:r>
              <w:rPr>
                <w:noProof/>
              </w:rPr>
              <w:t>Intrarea în vigoare a legislației privind eliminarea barierelor din calea acordării licențelor, identificată în raportul grupului de lucru instituit prin ordin comun al membrilor guvernului responsabili</w:t>
            </w:r>
          </w:p>
        </w:tc>
      </w:tr>
      <w:tr w:rsidR="00A15990" w14:paraId="50FA20CE" w14:textId="77777777">
        <w:trPr>
          <w:trHeight w:val="640"/>
        </w:trPr>
        <w:tc>
          <w:tcPr>
            <w:tcW w:w="1277" w:type="dxa"/>
            <w:shd w:val="clear" w:color="auto" w:fill="C4EFCE"/>
            <w:vAlign w:val="center"/>
          </w:tcPr>
          <w:p w14:paraId="7B1F5CA0" w14:textId="77777777" w:rsidR="00A15990" w:rsidRDefault="00686A62">
            <w:pPr>
              <w:pStyle w:val="P68B1DB1-Normal7"/>
              <w:spacing w:after="0" w:line="240" w:lineRule="auto"/>
              <w:jc w:val="center"/>
              <w:rPr>
                <w:rFonts w:eastAsia="Times New Roman" w:cs="Calibri"/>
                <w:noProof/>
              </w:rPr>
            </w:pPr>
            <w:r>
              <w:rPr>
                <w:noProof/>
              </w:rPr>
              <w:t>18.5</w:t>
            </w:r>
          </w:p>
        </w:tc>
        <w:tc>
          <w:tcPr>
            <w:tcW w:w="1275" w:type="dxa"/>
            <w:shd w:val="clear" w:color="auto" w:fill="C4EFCE"/>
            <w:noWrap/>
            <w:vAlign w:val="center"/>
            <w:hideMark/>
          </w:tcPr>
          <w:p w14:paraId="7D316546" w14:textId="77777777" w:rsidR="00A15990" w:rsidRDefault="00686A62">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6B073812"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EFEFE4E" w14:textId="77777777" w:rsidR="00A15990" w:rsidRDefault="00686A62">
            <w:pPr>
              <w:pStyle w:val="P68B1DB1-Normal8"/>
              <w:spacing w:after="0" w:line="240" w:lineRule="auto"/>
              <w:jc w:val="center"/>
              <w:rPr>
                <w:rFonts w:eastAsia="Times New Roman" w:cs="Calibri"/>
                <w:noProof/>
              </w:rPr>
            </w:pPr>
            <w:r>
              <w:rPr>
                <w:noProof/>
              </w:rPr>
              <w:t>Modernizarea sistemului informatic de cercetare penală</w:t>
            </w:r>
          </w:p>
        </w:tc>
        <w:tc>
          <w:tcPr>
            <w:tcW w:w="1633" w:type="dxa"/>
            <w:shd w:val="clear" w:color="auto" w:fill="C4EFCE"/>
            <w:noWrap/>
            <w:vAlign w:val="center"/>
            <w:hideMark/>
          </w:tcPr>
          <w:p w14:paraId="676EC23C" w14:textId="77777777" w:rsidR="00A15990" w:rsidRDefault="00686A62">
            <w:pPr>
              <w:pStyle w:val="P68B1DB1-Normal8"/>
              <w:spacing w:after="0" w:line="240" w:lineRule="auto"/>
              <w:jc w:val="center"/>
              <w:rPr>
                <w:rFonts w:eastAsia="Times New Roman" w:cs="Calibri"/>
                <w:noProof/>
              </w:rPr>
            </w:pPr>
            <w:r>
              <w:rPr>
                <w:noProof/>
              </w:rPr>
              <w:t>Sistem informatic modernizat pentru cercetarea penală în funcțiune</w:t>
            </w:r>
          </w:p>
        </w:tc>
        <w:tc>
          <w:tcPr>
            <w:tcW w:w="1659" w:type="dxa"/>
            <w:shd w:val="clear" w:color="auto" w:fill="C4EFCE"/>
            <w:noWrap/>
            <w:vAlign w:val="center"/>
            <w:hideMark/>
          </w:tcPr>
          <w:p w14:paraId="1F1E7814"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EF1498A"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399F2EC4"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AD1E3F4" w14:textId="77777777" w:rsidR="00A15990" w:rsidRDefault="00686A62">
            <w:pPr>
              <w:pStyle w:val="P68B1DB1-Normal8"/>
              <w:spacing w:after="0" w:line="240" w:lineRule="auto"/>
              <w:jc w:val="center"/>
              <w:rPr>
                <w:rFonts w:eastAsia="Times New Roman" w:cs="Calibri"/>
                <w:noProof/>
              </w:rPr>
            </w:pPr>
            <w:r>
              <w:rPr>
                <w:noProof/>
              </w:rPr>
              <w:t>TRIMESTRUL 4</w:t>
            </w:r>
          </w:p>
        </w:tc>
        <w:tc>
          <w:tcPr>
            <w:tcW w:w="614" w:type="dxa"/>
            <w:shd w:val="clear" w:color="auto" w:fill="C4EFCE"/>
            <w:noWrap/>
            <w:vAlign w:val="center"/>
            <w:hideMark/>
          </w:tcPr>
          <w:p w14:paraId="5122DDCF" w14:textId="77777777" w:rsidR="00A15990" w:rsidRDefault="00686A62">
            <w:pPr>
              <w:pStyle w:val="P68B1DB1-Normal8"/>
              <w:spacing w:after="0" w:line="240" w:lineRule="auto"/>
              <w:jc w:val="center"/>
              <w:rPr>
                <w:rFonts w:eastAsia="Times New Roman" w:cs="Calibri"/>
                <w:noProof/>
              </w:rPr>
            </w:pPr>
            <w:r>
              <w:rPr>
                <w:noProof/>
              </w:rPr>
              <w:t>2023</w:t>
            </w:r>
          </w:p>
        </w:tc>
        <w:tc>
          <w:tcPr>
            <w:tcW w:w="4880" w:type="dxa"/>
            <w:shd w:val="clear" w:color="auto" w:fill="C4EFCE"/>
            <w:vAlign w:val="center"/>
            <w:hideMark/>
          </w:tcPr>
          <w:p w14:paraId="41A423B1" w14:textId="78BE8103" w:rsidR="00A15990" w:rsidRDefault="00686A62">
            <w:pPr>
              <w:pStyle w:val="P68B1DB1-Normal8"/>
              <w:spacing w:after="0" w:line="240" w:lineRule="auto"/>
              <w:jc w:val="both"/>
              <w:rPr>
                <w:rFonts w:eastAsia="Times New Roman" w:cs="Calibri"/>
                <w:noProof/>
              </w:rPr>
            </w:pPr>
            <w:r>
              <w:rPr>
                <w:noProof/>
              </w:rPr>
              <w:t>Punerea în funcțiune a unui sistem informatic modernizat pentru anchetele penale. Modernizarea include implementarea de interfețe și modernizarea sistemelor de interceptare și asigurarea interoperabilității cu omologii europeni și internaționali</w:t>
            </w:r>
          </w:p>
        </w:tc>
      </w:tr>
      <w:tr w:rsidR="00A15990" w14:paraId="225C6D24" w14:textId="77777777">
        <w:trPr>
          <w:trHeight w:val="430"/>
        </w:trPr>
        <w:tc>
          <w:tcPr>
            <w:tcW w:w="1277" w:type="dxa"/>
            <w:shd w:val="clear" w:color="auto" w:fill="C4EFCE"/>
            <w:vAlign w:val="center"/>
          </w:tcPr>
          <w:p w14:paraId="26C96112" w14:textId="77777777" w:rsidR="00A15990" w:rsidRDefault="00686A62">
            <w:pPr>
              <w:pStyle w:val="P68B1DB1-Normal7"/>
              <w:spacing w:after="0" w:line="240" w:lineRule="auto"/>
              <w:jc w:val="center"/>
              <w:rPr>
                <w:rFonts w:eastAsia="Times New Roman" w:cs="Calibri"/>
                <w:noProof/>
              </w:rPr>
            </w:pPr>
            <w:r>
              <w:rPr>
                <w:noProof/>
              </w:rPr>
              <w:t>18.6</w:t>
            </w:r>
          </w:p>
        </w:tc>
        <w:tc>
          <w:tcPr>
            <w:tcW w:w="1275" w:type="dxa"/>
            <w:shd w:val="clear" w:color="auto" w:fill="C4EFCE"/>
            <w:noWrap/>
            <w:vAlign w:val="center"/>
            <w:hideMark/>
          </w:tcPr>
          <w:p w14:paraId="169DA80A" w14:textId="77777777" w:rsidR="00A15990" w:rsidRDefault="00686A62">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39443976"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095D35B1" w14:textId="77777777" w:rsidR="00A15990" w:rsidRDefault="00686A62">
            <w:pPr>
              <w:pStyle w:val="P68B1DB1-Normal8"/>
              <w:spacing w:after="0" w:line="240" w:lineRule="auto"/>
              <w:jc w:val="center"/>
              <w:rPr>
                <w:rFonts w:eastAsia="Times New Roman" w:cs="Calibri"/>
                <w:noProof/>
              </w:rPr>
            </w:pPr>
            <w:r>
              <w:rPr>
                <w:noProof/>
              </w:rPr>
              <w:t>Sistemul de informații „Întreprinderea 2.0”</w:t>
            </w:r>
          </w:p>
        </w:tc>
        <w:tc>
          <w:tcPr>
            <w:tcW w:w="1633" w:type="dxa"/>
            <w:shd w:val="clear" w:color="auto" w:fill="C4EFCE"/>
            <w:noWrap/>
            <w:vAlign w:val="center"/>
            <w:hideMark/>
          </w:tcPr>
          <w:p w14:paraId="57E18843" w14:textId="77777777" w:rsidR="00A15990" w:rsidRDefault="00686A62">
            <w:pPr>
              <w:pStyle w:val="P68B1DB1-Normal8"/>
              <w:spacing w:after="0" w:line="240" w:lineRule="auto"/>
              <w:jc w:val="center"/>
              <w:rPr>
                <w:rFonts w:eastAsia="Times New Roman" w:cs="Calibri"/>
                <w:noProof/>
              </w:rPr>
            </w:pPr>
            <w:r>
              <w:rPr>
                <w:noProof/>
              </w:rPr>
              <w:t>Sistemul informatic operațional al „Întreprinderii 2.0”</w:t>
            </w:r>
          </w:p>
        </w:tc>
        <w:tc>
          <w:tcPr>
            <w:tcW w:w="1659" w:type="dxa"/>
            <w:shd w:val="clear" w:color="auto" w:fill="C4EFCE"/>
            <w:noWrap/>
            <w:vAlign w:val="center"/>
            <w:hideMark/>
          </w:tcPr>
          <w:p w14:paraId="02355EB1"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547E5270"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0D2D7DFE"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5472196" w14:textId="77777777" w:rsidR="00A15990" w:rsidRDefault="00686A62">
            <w:pPr>
              <w:pStyle w:val="P68B1DB1-Normal8"/>
              <w:spacing w:after="0" w:line="240" w:lineRule="auto"/>
              <w:jc w:val="center"/>
              <w:rPr>
                <w:rFonts w:eastAsia="Times New Roman" w:cs="Calibri"/>
                <w:noProof/>
              </w:rPr>
            </w:pPr>
            <w:r>
              <w:rPr>
                <w:noProof/>
              </w:rPr>
              <w:t>TRIMESTRUL 1</w:t>
            </w:r>
          </w:p>
        </w:tc>
        <w:tc>
          <w:tcPr>
            <w:tcW w:w="614" w:type="dxa"/>
            <w:shd w:val="clear" w:color="auto" w:fill="C4EFCE"/>
            <w:noWrap/>
            <w:vAlign w:val="center"/>
            <w:hideMark/>
          </w:tcPr>
          <w:p w14:paraId="34E046B1" w14:textId="77777777" w:rsidR="00A15990" w:rsidRDefault="00686A62">
            <w:pPr>
              <w:pStyle w:val="P68B1DB1-Normal8"/>
              <w:spacing w:after="0" w:line="240" w:lineRule="auto"/>
              <w:jc w:val="center"/>
              <w:rPr>
                <w:rFonts w:eastAsia="Times New Roman" w:cs="Calibri"/>
                <w:noProof/>
              </w:rPr>
            </w:pPr>
            <w:r>
              <w:rPr>
                <w:noProof/>
              </w:rPr>
              <w:t>2024</w:t>
            </w:r>
          </w:p>
        </w:tc>
        <w:tc>
          <w:tcPr>
            <w:tcW w:w="4880" w:type="dxa"/>
            <w:shd w:val="clear" w:color="auto" w:fill="C4EFCE"/>
            <w:vAlign w:val="center"/>
            <w:hideMark/>
          </w:tcPr>
          <w:p w14:paraId="1B04CDEB" w14:textId="77777777" w:rsidR="00A15990" w:rsidRDefault="00686A62">
            <w:pPr>
              <w:pStyle w:val="P68B1DB1-Normal8"/>
              <w:spacing w:after="0" w:line="240" w:lineRule="auto"/>
              <w:jc w:val="both"/>
              <w:rPr>
                <w:rFonts w:eastAsia="Times New Roman" w:cs="Calibri"/>
                <w:noProof/>
              </w:rPr>
            </w:pPr>
            <w:r>
              <w:rPr>
                <w:noProof/>
              </w:rPr>
              <w:t>Punerea în funcțiune a sistemului informatic „Enterprise 2.0”, care este o nouă platformă care include informații privind ciclul de viață al întreprinderilor (creare, gestionare și închidere).</w:t>
            </w:r>
          </w:p>
        </w:tc>
      </w:tr>
      <w:tr w:rsidR="00A15990" w14:paraId="0A059693" w14:textId="77777777">
        <w:trPr>
          <w:trHeight w:val="1549"/>
        </w:trPr>
        <w:tc>
          <w:tcPr>
            <w:tcW w:w="1277" w:type="dxa"/>
            <w:shd w:val="clear" w:color="auto" w:fill="C4EFCE"/>
            <w:vAlign w:val="center"/>
          </w:tcPr>
          <w:p w14:paraId="4ED3BD78" w14:textId="77777777" w:rsidR="00A15990" w:rsidRDefault="00686A62">
            <w:pPr>
              <w:pStyle w:val="P68B1DB1-Normal7"/>
              <w:spacing w:after="0" w:line="240" w:lineRule="auto"/>
              <w:jc w:val="center"/>
              <w:rPr>
                <w:rFonts w:eastAsia="Times New Roman" w:cs="Calibri"/>
                <w:noProof/>
              </w:rPr>
            </w:pPr>
            <w:r>
              <w:rPr>
                <w:noProof/>
              </w:rPr>
              <w:t>18.7</w:t>
            </w:r>
          </w:p>
        </w:tc>
        <w:tc>
          <w:tcPr>
            <w:tcW w:w="1275" w:type="dxa"/>
            <w:shd w:val="clear" w:color="auto" w:fill="C4EFCE"/>
            <w:noWrap/>
            <w:vAlign w:val="center"/>
            <w:hideMark/>
          </w:tcPr>
          <w:p w14:paraId="2C1871B2" w14:textId="77777777" w:rsidR="00A15990" w:rsidRDefault="00686A62">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40CE8FFB"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4F76739D" w14:textId="77777777" w:rsidR="00A15990" w:rsidRDefault="00686A62">
            <w:pPr>
              <w:pStyle w:val="P68B1DB1-Normal8"/>
              <w:spacing w:after="0" w:line="240" w:lineRule="auto"/>
              <w:jc w:val="center"/>
              <w:rPr>
                <w:rFonts w:eastAsia="Times New Roman" w:cs="Calibri"/>
                <w:noProof/>
              </w:rPr>
            </w:pPr>
            <w:r>
              <w:rPr>
                <w:noProof/>
              </w:rPr>
              <w:t>Noul sistem de informații pentru transformarea digitală a instanțelor și a parchetului</w:t>
            </w:r>
          </w:p>
        </w:tc>
        <w:tc>
          <w:tcPr>
            <w:tcW w:w="1633" w:type="dxa"/>
            <w:shd w:val="clear" w:color="auto" w:fill="C4EFCE"/>
            <w:noWrap/>
            <w:vAlign w:val="center"/>
            <w:hideMark/>
          </w:tcPr>
          <w:p w14:paraId="0E3E294D" w14:textId="77777777" w:rsidR="00A15990" w:rsidRDefault="00686A62">
            <w:pPr>
              <w:pStyle w:val="P68B1DB1-Normal8"/>
              <w:spacing w:after="0" w:line="240" w:lineRule="auto"/>
              <w:jc w:val="center"/>
              <w:rPr>
                <w:rFonts w:eastAsia="Times New Roman" w:cs="Calibri"/>
                <w:noProof/>
              </w:rPr>
            </w:pPr>
            <w:r>
              <w:rPr>
                <w:noProof/>
              </w:rPr>
              <w:t>Noul sistem de informații pentru transformarea digitală a instanțelor și a parchetului în funcțiune</w:t>
            </w:r>
          </w:p>
        </w:tc>
        <w:tc>
          <w:tcPr>
            <w:tcW w:w="1659" w:type="dxa"/>
            <w:shd w:val="clear" w:color="auto" w:fill="C4EFCE"/>
            <w:noWrap/>
            <w:vAlign w:val="center"/>
            <w:hideMark/>
          </w:tcPr>
          <w:p w14:paraId="01C32B98"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376C17AC"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48D4F6D4"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2D0E0F97" w14:textId="77777777" w:rsidR="00A15990" w:rsidRDefault="00686A62">
            <w:pPr>
              <w:pStyle w:val="P68B1DB1-Normal8"/>
              <w:spacing w:after="0" w:line="240" w:lineRule="auto"/>
              <w:jc w:val="center"/>
              <w:rPr>
                <w:rFonts w:eastAsia="Times New Roman" w:cs="Calibri"/>
                <w:noProof/>
              </w:rPr>
            </w:pPr>
            <w:r>
              <w:rPr>
                <w:noProof/>
              </w:rPr>
              <w:t>TRIMESTRUL 4</w:t>
            </w:r>
          </w:p>
        </w:tc>
        <w:tc>
          <w:tcPr>
            <w:tcW w:w="614" w:type="dxa"/>
            <w:shd w:val="clear" w:color="auto" w:fill="C4EFCE"/>
            <w:noWrap/>
            <w:vAlign w:val="center"/>
            <w:hideMark/>
          </w:tcPr>
          <w:p w14:paraId="0F78CEE7" w14:textId="77777777" w:rsidR="00A15990" w:rsidRDefault="00686A62">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28A62C7E" w14:textId="2D8A6040" w:rsidR="00A15990" w:rsidRDefault="00686A62">
            <w:pPr>
              <w:pStyle w:val="P68B1DB1-Normal8"/>
              <w:spacing w:after="0" w:line="240" w:lineRule="auto"/>
              <w:jc w:val="both"/>
              <w:rPr>
                <w:rFonts w:eastAsia="Times New Roman" w:cs="Calibri"/>
                <w:noProof/>
              </w:rPr>
            </w:pPr>
            <w:r>
              <w:rPr>
                <w:noProof/>
              </w:rPr>
              <w:t>Punerea în funcțiune a unui nou sistem de informații pentru gestionarea procedurilor judiciare electronice. Noul sistem de informații este disponibil în aproximativ 400 de instanțe și unități de urmărire penală, pentru gestionarea procedurilor judiciare electronice care acoperă toate jurisdicțiile, etapele procedurale (inclusiv anchetarea) și organele judiciare și este utilizat de judecători, procurori, funcționari ai instanțelor și reprezentanți. Toate comunicările Curții cu părțile interesate sunt digitalizate.</w:t>
            </w:r>
          </w:p>
        </w:tc>
      </w:tr>
      <w:tr w:rsidR="00A15990" w14:paraId="7596235C" w14:textId="77777777">
        <w:trPr>
          <w:trHeight w:val="420"/>
        </w:trPr>
        <w:tc>
          <w:tcPr>
            <w:tcW w:w="1277" w:type="dxa"/>
            <w:shd w:val="clear" w:color="auto" w:fill="C4EFCE"/>
            <w:vAlign w:val="center"/>
          </w:tcPr>
          <w:p w14:paraId="136E2CBE" w14:textId="77777777" w:rsidR="00A15990" w:rsidRDefault="00686A62">
            <w:pPr>
              <w:pStyle w:val="P68B1DB1-Normal7"/>
              <w:spacing w:after="0" w:line="240" w:lineRule="auto"/>
              <w:jc w:val="center"/>
              <w:rPr>
                <w:rFonts w:eastAsia="Times New Roman" w:cs="Calibri"/>
                <w:noProof/>
              </w:rPr>
            </w:pPr>
            <w:r>
              <w:rPr>
                <w:noProof/>
              </w:rPr>
              <w:t>18.8</w:t>
            </w:r>
          </w:p>
        </w:tc>
        <w:tc>
          <w:tcPr>
            <w:tcW w:w="1275" w:type="dxa"/>
            <w:shd w:val="clear" w:color="auto" w:fill="C4EFCE"/>
            <w:noWrap/>
            <w:vAlign w:val="center"/>
            <w:hideMark/>
          </w:tcPr>
          <w:p w14:paraId="04B7365D" w14:textId="77777777" w:rsidR="00A15990" w:rsidRDefault="00686A62">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03AD5040"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2AEC5F26" w14:textId="77777777" w:rsidR="00A15990" w:rsidRDefault="00686A62">
            <w:pPr>
              <w:pStyle w:val="P68B1DB1-Normal8"/>
              <w:spacing w:after="0" w:line="240" w:lineRule="auto"/>
              <w:jc w:val="center"/>
              <w:rPr>
                <w:rFonts w:eastAsia="Times New Roman" w:cs="Calibri"/>
                <w:noProof/>
              </w:rPr>
            </w:pPr>
            <w:r>
              <w:rPr>
                <w:noProof/>
              </w:rPr>
              <w:t xml:space="preserve">Punerea în aplicare a noului plan tehnologic  </w:t>
            </w:r>
          </w:p>
        </w:tc>
        <w:tc>
          <w:tcPr>
            <w:tcW w:w="1633" w:type="dxa"/>
            <w:shd w:val="clear" w:color="auto" w:fill="C4EFCE"/>
            <w:noWrap/>
            <w:vAlign w:val="center"/>
            <w:hideMark/>
          </w:tcPr>
          <w:p w14:paraId="490AFB9D" w14:textId="77777777" w:rsidR="00A15990" w:rsidRDefault="00686A62">
            <w:pPr>
              <w:pStyle w:val="P68B1DB1-Normal8"/>
              <w:spacing w:after="0" w:line="240" w:lineRule="auto"/>
              <w:jc w:val="center"/>
              <w:rPr>
                <w:rFonts w:eastAsia="Times New Roman" w:cs="Calibri"/>
                <w:noProof/>
              </w:rPr>
            </w:pPr>
            <w:r>
              <w:rPr>
                <w:noProof/>
              </w:rPr>
              <w:t>Punerea în aplicare a noului plan tehnologic</w:t>
            </w:r>
          </w:p>
        </w:tc>
        <w:tc>
          <w:tcPr>
            <w:tcW w:w="1659" w:type="dxa"/>
            <w:shd w:val="clear" w:color="auto" w:fill="C4EFCE"/>
            <w:noWrap/>
            <w:vAlign w:val="center"/>
            <w:hideMark/>
          </w:tcPr>
          <w:p w14:paraId="45638276"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1590CD33"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6F1CD951"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40C9F6AE" w14:textId="77777777" w:rsidR="00A15990" w:rsidRDefault="00686A62">
            <w:pPr>
              <w:pStyle w:val="P68B1DB1-Normal8"/>
              <w:spacing w:after="0" w:line="240" w:lineRule="auto"/>
              <w:jc w:val="center"/>
              <w:rPr>
                <w:rFonts w:eastAsia="Times New Roman" w:cs="Calibri"/>
                <w:noProof/>
              </w:rPr>
            </w:pPr>
            <w:r>
              <w:rPr>
                <w:noProof/>
              </w:rPr>
              <w:t>TRIMESTRUL 4</w:t>
            </w:r>
          </w:p>
        </w:tc>
        <w:tc>
          <w:tcPr>
            <w:tcW w:w="614" w:type="dxa"/>
            <w:shd w:val="clear" w:color="auto" w:fill="C4EFCE"/>
            <w:noWrap/>
            <w:vAlign w:val="center"/>
            <w:hideMark/>
          </w:tcPr>
          <w:p w14:paraId="1F094D9A" w14:textId="77777777" w:rsidR="00A15990" w:rsidRDefault="00686A62">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16BB7A9B" w14:textId="77777777" w:rsidR="00A15990" w:rsidRDefault="00686A62">
            <w:pPr>
              <w:pStyle w:val="P68B1DB1-Normal8"/>
              <w:spacing w:after="0" w:line="240" w:lineRule="auto"/>
              <w:jc w:val="both"/>
              <w:rPr>
                <w:rFonts w:eastAsia="Times New Roman" w:cs="Calibri"/>
                <w:noProof/>
              </w:rPr>
            </w:pPr>
            <w:r>
              <w:rPr>
                <w:noProof/>
              </w:rPr>
              <w:t xml:space="preserve">Punerea în aplicare a noului plan tehnologic pentru echipamente și infrastructuri de justiție, cu intrarea în funcțiune a următoarelor componente: </w:t>
            </w:r>
          </w:p>
          <w:p w14:paraId="2DCE4A09" w14:textId="77777777" w:rsidR="00A15990" w:rsidRDefault="00686A62">
            <w:pPr>
              <w:pStyle w:val="P68B1DB1-Normal8"/>
              <w:spacing w:after="0" w:line="240" w:lineRule="auto"/>
              <w:jc w:val="both"/>
              <w:rPr>
                <w:rFonts w:eastAsia="Times New Roman" w:cs="Calibri"/>
                <w:noProof/>
              </w:rPr>
            </w:pPr>
            <w:r>
              <w:rPr>
                <w:noProof/>
              </w:rPr>
              <w:t xml:space="preserve">(a) Un nou centru de date; </w:t>
            </w:r>
          </w:p>
          <w:p w14:paraId="5AABD6C8" w14:textId="77777777" w:rsidR="00A15990" w:rsidRDefault="00686A62">
            <w:pPr>
              <w:pStyle w:val="P68B1DB1-Normal8"/>
              <w:spacing w:after="0" w:line="240" w:lineRule="auto"/>
              <w:jc w:val="both"/>
              <w:rPr>
                <w:rFonts w:eastAsia="Times New Roman" w:cs="Calibri"/>
                <w:noProof/>
              </w:rPr>
            </w:pPr>
            <w:r>
              <w:rPr>
                <w:noProof/>
              </w:rPr>
              <w:t xml:space="preserve">(b) Platforma de date deschise pentru justiție; </w:t>
            </w:r>
          </w:p>
          <w:p w14:paraId="598F4A88" w14:textId="77777777" w:rsidR="00A15990" w:rsidRDefault="00686A62">
            <w:pPr>
              <w:pStyle w:val="P68B1DB1-Normal8"/>
              <w:spacing w:after="0" w:line="240" w:lineRule="auto"/>
              <w:jc w:val="both"/>
              <w:rPr>
                <w:rFonts w:eastAsia="Times New Roman" w:cs="Calibri"/>
                <w:noProof/>
              </w:rPr>
            </w:pPr>
            <w:r>
              <w:rPr>
                <w:noProof/>
              </w:rPr>
              <w:t xml:space="preserve">(c) Un sistem de gestionare a informațiilor pentru toate entitățile din domeniul justiției; </w:t>
            </w:r>
          </w:p>
          <w:p w14:paraId="458BE826" w14:textId="1D3A1DA0" w:rsidR="00A15990" w:rsidRDefault="00686A62">
            <w:pPr>
              <w:pStyle w:val="P68B1DB1-Normal8"/>
              <w:spacing w:after="0" w:line="240" w:lineRule="auto"/>
              <w:jc w:val="both"/>
              <w:rPr>
                <w:rFonts w:eastAsia="Times New Roman" w:cs="Calibri"/>
                <w:noProof/>
              </w:rPr>
            </w:pPr>
            <w:r>
              <w:rPr>
                <w:noProof/>
              </w:rPr>
              <w:t>(d) Gestionarea identității digitale și</w:t>
            </w:r>
          </w:p>
          <w:p w14:paraId="42F2BEFF" w14:textId="12D6CA51" w:rsidR="00A15990" w:rsidRDefault="00686A62">
            <w:pPr>
              <w:pStyle w:val="P68B1DB1-Normal8"/>
              <w:spacing w:after="0" w:line="240" w:lineRule="auto"/>
              <w:jc w:val="both"/>
              <w:rPr>
                <w:rFonts w:eastAsia="Times New Roman" w:cs="Calibri"/>
                <w:noProof/>
              </w:rPr>
            </w:pPr>
            <w:r>
              <w:rPr>
                <w:noProof/>
              </w:rPr>
              <w:t>(e) Un sistem de recuperare și gestionare a activelor sechestrate în cadrul procedurilor judiciare</w:t>
            </w:r>
          </w:p>
        </w:tc>
      </w:tr>
      <w:tr w:rsidR="00A15990" w14:paraId="652E8888" w14:textId="77777777">
        <w:trPr>
          <w:trHeight w:val="290"/>
        </w:trPr>
        <w:tc>
          <w:tcPr>
            <w:tcW w:w="1277" w:type="dxa"/>
            <w:shd w:val="clear" w:color="auto" w:fill="C4EFCE"/>
            <w:vAlign w:val="center"/>
          </w:tcPr>
          <w:p w14:paraId="7B60AA28" w14:textId="77777777" w:rsidR="00A15990" w:rsidRDefault="00686A62">
            <w:pPr>
              <w:pStyle w:val="P68B1DB1-Normal7"/>
              <w:spacing w:after="0" w:line="240" w:lineRule="auto"/>
              <w:jc w:val="center"/>
              <w:rPr>
                <w:rFonts w:eastAsia="Times New Roman" w:cs="Calibri"/>
                <w:noProof/>
              </w:rPr>
            </w:pPr>
            <w:r>
              <w:rPr>
                <w:noProof/>
              </w:rPr>
              <w:t>18.9</w:t>
            </w:r>
          </w:p>
        </w:tc>
        <w:tc>
          <w:tcPr>
            <w:tcW w:w="1275" w:type="dxa"/>
            <w:shd w:val="clear" w:color="auto" w:fill="C4EFCE"/>
            <w:noWrap/>
            <w:vAlign w:val="center"/>
            <w:hideMark/>
          </w:tcPr>
          <w:p w14:paraId="466CB9EA" w14:textId="77777777" w:rsidR="00A15990" w:rsidRDefault="00686A62">
            <w:pPr>
              <w:pStyle w:val="P68B1DB1-Normal8"/>
              <w:spacing w:after="0" w:line="240" w:lineRule="auto"/>
              <w:jc w:val="center"/>
              <w:rPr>
                <w:rFonts w:eastAsia="Times New Roman" w:cs="Calibri"/>
                <w:noProof/>
              </w:rPr>
            </w:pPr>
            <w:r>
              <w:rPr>
                <w:noProof/>
              </w:rPr>
              <w:t>TD-C18-i01</w:t>
            </w:r>
          </w:p>
        </w:tc>
        <w:tc>
          <w:tcPr>
            <w:tcW w:w="993" w:type="dxa"/>
            <w:shd w:val="clear" w:color="auto" w:fill="C4EFCE"/>
            <w:noWrap/>
            <w:vAlign w:val="center"/>
            <w:hideMark/>
          </w:tcPr>
          <w:p w14:paraId="542529BD" w14:textId="77777777" w:rsidR="00A15990" w:rsidRDefault="00686A62">
            <w:pPr>
              <w:pStyle w:val="P68B1DB1-Normal8"/>
              <w:spacing w:after="0" w:line="240" w:lineRule="auto"/>
              <w:jc w:val="center"/>
              <w:rPr>
                <w:rFonts w:eastAsia="Times New Roman" w:cs="Calibri"/>
                <w:noProof/>
              </w:rPr>
            </w:pPr>
            <w:r>
              <w:rPr>
                <w:noProof/>
              </w:rPr>
              <w:t>M</w:t>
            </w:r>
          </w:p>
        </w:tc>
        <w:tc>
          <w:tcPr>
            <w:tcW w:w="1527" w:type="dxa"/>
            <w:gridSpan w:val="2"/>
            <w:shd w:val="clear" w:color="auto" w:fill="C4EFCE"/>
            <w:noWrap/>
            <w:vAlign w:val="center"/>
            <w:hideMark/>
          </w:tcPr>
          <w:p w14:paraId="30BF086F" w14:textId="77777777" w:rsidR="00A15990" w:rsidRDefault="00686A62">
            <w:pPr>
              <w:pStyle w:val="P68B1DB1-Normal8"/>
              <w:spacing w:after="0" w:line="240" w:lineRule="auto"/>
              <w:jc w:val="center"/>
              <w:rPr>
                <w:rFonts w:eastAsia="Times New Roman" w:cs="Calibri"/>
                <w:noProof/>
              </w:rPr>
            </w:pPr>
            <w:r>
              <w:rPr>
                <w:noProof/>
              </w:rPr>
              <w:t xml:space="preserve">Platforme de gestionare a cunoștințelor în justiție </w:t>
            </w:r>
          </w:p>
        </w:tc>
        <w:tc>
          <w:tcPr>
            <w:tcW w:w="1633" w:type="dxa"/>
            <w:shd w:val="clear" w:color="auto" w:fill="C4EFCE"/>
            <w:noWrap/>
            <w:vAlign w:val="center"/>
            <w:hideMark/>
          </w:tcPr>
          <w:p w14:paraId="2BB35CD2" w14:textId="77777777" w:rsidR="00A15990" w:rsidRDefault="00686A62">
            <w:pPr>
              <w:pStyle w:val="P68B1DB1-Normal8"/>
              <w:spacing w:after="0" w:line="240" w:lineRule="auto"/>
              <w:jc w:val="center"/>
              <w:rPr>
                <w:rFonts w:eastAsia="Times New Roman" w:cs="Calibri"/>
                <w:noProof/>
              </w:rPr>
            </w:pPr>
            <w:r>
              <w:rPr>
                <w:noProof/>
              </w:rPr>
              <w:t>Platforme de gestionare a cunoștințelor în domeniul justiției în funcțiune</w:t>
            </w:r>
          </w:p>
        </w:tc>
        <w:tc>
          <w:tcPr>
            <w:tcW w:w="1659" w:type="dxa"/>
            <w:shd w:val="clear" w:color="auto" w:fill="C4EFCE"/>
            <w:noWrap/>
            <w:vAlign w:val="center"/>
            <w:hideMark/>
          </w:tcPr>
          <w:p w14:paraId="1AFCBD9B"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D02AA90" w14:textId="77777777" w:rsidR="00A15990" w:rsidRDefault="00686A62">
            <w:pPr>
              <w:pStyle w:val="P68B1DB1-Normal8"/>
              <w:spacing w:after="0" w:line="240" w:lineRule="auto"/>
              <w:jc w:val="center"/>
              <w:rPr>
                <w:rFonts w:eastAsia="Times New Roman" w:cs="Calibri"/>
                <w:noProof/>
              </w:rPr>
            </w:pPr>
            <w:r>
              <w:rPr>
                <w:noProof/>
              </w:rPr>
              <w:t> </w:t>
            </w:r>
          </w:p>
        </w:tc>
        <w:tc>
          <w:tcPr>
            <w:tcW w:w="777" w:type="dxa"/>
            <w:shd w:val="clear" w:color="auto" w:fill="C4EFCE"/>
            <w:noWrap/>
            <w:vAlign w:val="center"/>
            <w:hideMark/>
          </w:tcPr>
          <w:p w14:paraId="1A564C8D" w14:textId="77777777" w:rsidR="00A15990" w:rsidRDefault="00686A62">
            <w:pPr>
              <w:pStyle w:val="P68B1DB1-Normal8"/>
              <w:spacing w:after="0" w:line="240" w:lineRule="auto"/>
              <w:jc w:val="center"/>
              <w:rPr>
                <w:rFonts w:eastAsia="Times New Roman" w:cs="Calibri"/>
                <w:noProof/>
              </w:rPr>
            </w:pPr>
            <w:r>
              <w:rPr>
                <w:noProof/>
              </w:rPr>
              <w:t> </w:t>
            </w:r>
          </w:p>
        </w:tc>
        <w:tc>
          <w:tcPr>
            <w:tcW w:w="533" w:type="dxa"/>
            <w:shd w:val="clear" w:color="auto" w:fill="C4EFCE"/>
            <w:noWrap/>
            <w:vAlign w:val="center"/>
            <w:hideMark/>
          </w:tcPr>
          <w:p w14:paraId="7BC388F9" w14:textId="77777777" w:rsidR="00A15990" w:rsidRDefault="00686A62">
            <w:pPr>
              <w:pStyle w:val="P68B1DB1-Normal8"/>
              <w:spacing w:after="0" w:line="240" w:lineRule="auto"/>
              <w:jc w:val="center"/>
              <w:rPr>
                <w:rFonts w:eastAsia="Times New Roman" w:cs="Calibri"/>
                <w:noProof/>
              </w:rPr>
            </w:pPr>
            <w:r>
              <w:rPr>
                <w:noProof/>
              </w:rPr>
              <w:t>TRIMESTRUL 4</w:t>
            </w:r>
          </w:p>
        </w:tc>
        <w:tc>
          <w:tcPr>
            <w:tcW w:w="614" w:type="dxa"/>
            <w:shd w:val="clear" w:color="auto" w:fill="C4EFCE"/>
            <w:noWrap/>
            <w:vAlign w:val="center"/>
            <w:hideMark/>
          </w:tcPr>
          <w:p w14:paraId="176AAACD" w14:textId="77777777" w:rsidR="00A15990" w:rsidRDefault="00686A62">
            <w:pPr>
              <w:pStyle w:val="P68B1DB1-Normal8"/>
              <w:spacing w:after="0" w:line="240" w:lineRule="auto"/>
              <w:jc w:val="center"/>
              <w:rPr>
                <w:rFonts w:eastAsia="Times New Roman" w:cs="Calibri"/>
                <w:noProof/>
              </w:rPr>
            </w:pPr>
            <w:r>
              <w:rPr>
                <w:noProof/>
              </w:rPr>
              <w:t>2025</w:t>
            </w:r>
          </w:p>
        </w:tc>
        <w:tc>
          <w:tcPr>
            <w:tcW w:w="4880" w:type="dxa"/>
            <w:shd w:val="clear" w:color="auto" w:fill="C4EFCE"/>
            <w:vAlign w:val="center"/>
            <w:hideMark/>
          </w:tcPr>
          <w:p w14:paraId="0610679A" w14:textId="77777777" w:rsidR="00A15990" w:rsidRDefault="00686A62">
            <w:pPr>
              <w:pStyle w:val="P68B1DB1-Normal8"/>
              <w:spacing w:after="0" w:line="240" w:lineRule="auto"/>
              <w:jc w:val="both"/>
              <w:rPr>
                <w:rFonts w:eastAsia="Times New Roman" w:cs="Calibri"/>
                <w:noProof/>
              </w:rPr>
            </w:pPr>
            <w:r>
              <w:rPr>
                <w:noProof/>
              </w:rPr>
              <w:t xml:space="preserve">Punerea în funcțiune a următoarelor platforme de gestionare a cunoștințelor: </w:t>
            </w:r>
          </w:p>
          <w:p w14:paraId="496127DF" w14:textId="77777777" w:rsidR="00A15990" w:rsidRDefault="00686A62">
            <w:pPr>
              <w:pStyle w:val="P68B1DB1-Normal8"/>
              <w:spacing w:after="0" w:line="240" w:lineRule="auto"/>
              <w:jc w:val="both"/>
              <w:rPr>
                <w:rFonts w:eastAsia="Times New Roman" w:cs="Calibri"/>
                <w:noProof/>
              </w:rPr>
            </w:pPr>
            <w:r>
              <w:rPr>
                <w:noProof/>
              </w:rPr>
              <w:t>(a) Servicii comune de asistență</w:t>
            </w:r>
          </w:p>
          <w:p w14:paraId="7691DD03" w14:textId="77777777" w:rsidR="00A15990" w:rsidRDefault="00686A62">
            <w:pPr>
              <w:pStyle w:val="P68B1DB1-Normal8"/>
              <w:spacing w:after="0" w:line="240" w:lineRule="auto"/>
              <w:jc w:val="both"/>
              <w:rPr>
                <w:rFonts w:eastAsia="Times New Roman" w:cs="Calibri"/>
                <w:noProof/>
              </w:rPr>
            </w:pPr>
            <w:r>
              <w:rPr>
                <w:noProof/>
              </w:rPr>
              <w:t>(b) Statistici și indicatori</w:t>
            </w:r>
          </w:p>
          <w:p w14:paraId="72273524" w14:textId="66EFA231" w:rsidR="00A15990" w:rsidRDefault="00686A62">
            <w:pPr>
              <w:pStyle w:val="P68B1DB1-Normal8"/>
              <w:spacing w:after="0" w:line="240" w:lineRule="auto"/>
              <w:jc w:val="both"/>
              <w:rPr>
                <w:rFonts w:eastAsia="Times New Roman" w:cs="Calibri"/>
                <w:noProof/>
              </w:rPr>
            </w:pPr>
            <w:r>
              <w:rPr>
                <w:noProof/>
              </w:rPr>
              <w:t>(c) Platforma de gestionare a informațiilor (sistemul de gestionare a documentelor)</w:t>
            </w:r>
          </w:p>
        </w:tc>
      </w:tr>
    </w:tbl>
    <w:p w14:paraId="1FA4212A"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4578922"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336"/>
          <w:headerReference w:type="default" r:id="rId337"/>
          <w:footerReference w:type="even" r:id="rId338"/>
          <w:footerReference w:type="default" r:id="rId339"/>
          <w:headerReference w:type="first" r:id="rId340"/>
          <w:footerReference w:type="first" r:id="rId341"/>
          <w:pgSz w:w="16839" w:h="11907" w:orient="landscape"/>
          <w:pgMar w:top="1134" w:right="1134" w:bottom="1134" w:left="1134" w:header="567" w:footer="567" w:gutter="0"/>
          <w:cols w:space="720"/>
          <w:docGrid w:linePitch="360"/>
        </w:sectPr>
      </w:pPr>
    </w:p>
    <w:p w14:paraId="2D348F08"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COMPONENTA S. COMPONENTA 19: Administrație publică digitală</w:t>
      </w:r>
    </w:p>
    <w:p w14:paraId="545FE9CA" w14:textId="77777777" w:rsidR="00A15990" w:rsidRDefault="00686A62">
      <w:pPr>
        <w:pStyle w:val="P68B1DB1-Normal4"/>
        <w:keepNext/>
        <w:spacing w:before="40" w:after="0" w:line="259" w:lineRule="auto"/>
        <w:jc w:val="both"/>
        <w:rPr>
          <w:rFonts w:eastAsiaTheme="minorEastAsia" w:cs="Times New Roman"/>
          <w:noProof/>
        </w:rPr>
      </w:pPr>
      <w:r>
        <w:rPr>
          <w:noProof/>
        </w:rPr>
        <w:t>Această componentă a planului portughez de redresare și reziliență abordează provocarea reprezentată de necesitatea de a furniza servicii publice mai bune, mai simple și mai digitale. Deși Portugalia este bine plasată în ceea ce privește furnizarea de servicii digitale, fragmentarea și duplicarea cerințelor rămân obstacole esențiale în calea unei administrații publice eficiente și orientate către clienți. Această componentă vizează abordarea acestor provocări.</w:t>
      </w:r>
    </w:p>
    <w:p w14:paraId="7E98D9F3"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Componenta vizează un serviciu public mai bun, prin încurajarea utilizării soluțiilor tehnologice și prin consolidarea proximității pentru un acces mai simplu, sigur, eficace și eficient pentru cetățeni și întreprinderi, reducând costurile de context. În plus, acesta vizează promovarea eficienței, a modernizării, a inovării și a capacitării administrației publice, consolidarea rezilienței acesteia, îmbunătățirea competențelor funcționarilor publici și sporirea contribuției statului și a administrației publice la creșterea și dezvoltarea economică și socială. </w:t>
      </w:r>
    </w:p>
    <w:p w14:paraId="48EE2AE0"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 Această componentă se axează pe punerea în aplicare a paradigmei „digital prin definiție” și a principiului „o singură dată” în administrația publică portugheză, investind în același timp în perfecționarea forței de muncă. </w:t>
      </w:r>
    </w:p>
    <w:p w14:paraId="73EFA6EB"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componentă contribuie la abordarea recomandărilor specifice fiecărei țări privind: </w:t>
      </w:r>
    </w:p>
    <w:p w14:paraId="4BE37384" w14:textId="77777777" w:rsidR="00A15990" w:rsidRDefault="00686A62">
      <w:pPr>
        <w:pStyle w:val="P68B1DB1-Normal4"/>
        <w:keepNext/>
        <w:numPr>
          <w:ilvl w:val="0"/>
          <w:numId w:val="35"/>
        </w:numPr>
        <w:spacing w:before="40" w:after="0" w:line="259" w:lineRule="auto"/>
        <w:jc w:val="both"/>
        <w:rPr>
          <w:rFonts w:eastAsiaTheme="minorEastAsia" w:cs="Times New Roman"/>
          <w:noProof/>
        </w:rPr>
      </w:pPr>
      <w:r>
        <w:rPr>
          <w:noProof/>
        </w:rPr>
        <w:t xml:space="preserve">acordarea de prioritate cheltuielilor favorabile creșterii (recomandările specifice fiecărei țări 1 2019 și 2020), prin valorificarea câștigurilor de eficiență generate de digitalizare; </w:t>
      </w:r>
    </w:p>
    <w:p w14:paraId="6FD36964" w14:textId="77777777" w:rsidR="00A15990" w:rsidRDefault="00686A62">
      <w:pPr>
        <w:pStyle w:val="P68B1DB1-Normal4"/>
        <w:keepNext/>
        <w:numPr>
          <w:ilvl w:val="0"/>
          <w:numId w:val="35"/>
        </w:numPr>
        <w:spacing w:before="40" w:after="0" w:line="259" w:lineRule="auto"/>
        <w:jc w:val="both"/>
        <w:rPr>
          <w:rFonts w:eastAsiaTheme="minorEastAsia" w:cs="Times New Roman"/>
          <w:noProof/>
        </w:rPr>
      </w:pPr>
      <w:r>
        <w:rPr>
          <w:noProof/>
        </w:rPr>
        <w:t>îmbunătățirea nivelului de competențe al populației (recomandarea specifică fiecărei țări 2 2019) în ceea ce privește funcția publică;</w:t>
      </w:r>
    </w:p>
    <w:p w14:paraId="1C7F0463" w14:textId="77777777" w:rsidR="00A15990" w:rsidRDefault="00686A62">
      <w:pPr>
        <w:pStyle w:val="P68B1DB1-Normal4"/>
        <w:keepNext/>
        <w:numPr>
          <w:ilvl w:val="0"/>
          <w:numId w:val="35"/>
        </w:numPr>
        <w:spacing w:before="40" w:after="0" w:line="259" w:lineRule="auto"/>
        <w:jc w:val="both"/>
        <w:rPr>
          <w:rFonts w:eastAsiaTheme="minorEastAsia" w:cs="Times New Roman"/>
          <w:noProof/>
        </w:rPr>
      </w:pPr>
      <w:r>
        <w:rPr>
          <w:noProof/>
        </w:rPr>
        <w:t xml:space="preserve">concentrarea investițiilor asupra tranziției digitale (recomandarea specifică fiecărei țări 3 2020), prin investiții în sisteme transversale și sectoriale de administrație publică; și </w:t>
      </w:r>
    </w:p>
    <w:p w14:paraId="4FD80289" w14:textId="77777777" w:rsidR="00A15990" w:rsidRDefault="00686A62">
      <w:pPr>
        <w:pStyle w:val="P68B1DB1-Normal4"/>
        <w:keepNext/>
        <w:numPr>
          <w:ilvl w:val="0"/>
          <w:numId w:val="35"/>
        </w:numPr>
        <w:spacing w:before="40" w:after="0" w:line="259" w:lineRule="auto"/>
        <w:jc w:val="both"/>
        <w:rPr>
          <w:rFonts w:eastAsiaTheme="minorEastAsia" w:cs="Times New Roman"/>
          <w:noProof/>
        </w:rPr>
      </w:pPr>
      <w:r>
        <w:rPr>
          <w:noProof/>
        </w:rPr>
        <w:t xml:space="preserve">reducerea sarcinii administrative și de reglementare asupra întreprinderilor (recomandarea specifică fiecărei țări 4 2019) prin simplificarea și eficientizarea relațiilor dintre întreprinderi și autoritățile publice, în special prin punerea în aplicare a principiului „o singură dată”. </w:t>
      </w:r>
    </w:p>
    <w:p w14:paraId="2CE620EE" w14:textId="77777777" w:rsidR="00A15990" w:rsidRDefault="00686A62">
      <w:pPr>
        <w:pStyle w:val="P68B1DB1-Normal4"/>
        <w:keepNext/>
        <w:spacing w:before="40" w:after="120" w:line="259" w:lineRule="auto"/>
        <w:ind w:left="720"/>
        <w:jc w:val="both"/>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138A182A" w14:textId="77777777" w:rsidR="00A15990" w:rsidRDefault="00686A62">
      <w:pPr>
        <w:pStyle w:val="P68B1DB1-Normal3"/>
        <w:keepNext/>
        <w:spacing w:before="40" w:after="120" w:line="259" w:lineRule="auto"/>
        <w:ind w:left="130" w:firstLine="720"/>
        <w:jc w:val="both"/>
        <w:outlineLvl w:val="1"/>
        <w:rPr>
          <w:rFonts w:eastAsiaTheme="minorEastAsia" w:cs="Times New Roman"/>
          <w:noProof/>
        </w:rPr>
      </w:pPr>
      <w:r>
        <w:rPr>
          <w:noProof/>
        </w:rPr>
        <w:t xml:space="preserve">S.1. </w:t>
      </w:r>
      <w:r>
        <w:rPr>
          <w:noProof/>
        </w:rPr>
        <w:tab/>
        <w:t>Descrierea reformelor și a investițiilor pentru sprijinul financiar nerambursabil</w:t>
      </w:r>
    </w:p>
    <w:p w14:paraId="33CDC499"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Reforma TD-r34: Servicii publice digitale, simple, favorabile incluziunii și sigure pentru cetățeni și întreprinderi </w:t>
      </w:r>
    </w:p>
    <w:p w14:paraId="77FBE40A"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reformei este de a pune în aplicare paradigma „digitală prin definiție” în serviciile publice, de a o orienta mai mult către utilizatori, de a spori accesibilitatea și de a reduce sarcina administrativă pentru cetățeni și întreprinderi, inclusiv prin utilizarea serviciilor de cloud. </w:t>
      </w:r>
    </w:p>
    <w:p w14:paraId="15685842"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Reforma constă în punerea în aplicare a unor măsuri menite să asigure existența cadrului juridic necesar pentru tranziția digitală, în special pentru punerea în aplicare a portalului digital unic și a principiului „o singură dată”, printr-un proces coordonat între entitățile publice ancorate într-o strategie și într-un plan de acțiune pentru transformarea digitală în administrația publică pentru perioada 2021-2024 și 2026-2023, punând în aplicare, în același timp, garanțiile necesare în materie de securitate a informațiilor, inclusiv cele specifice securității cibernetice. </w:t>
      </w:r>
    </w:p>
    <w:p w14:paraId="5F0EA2EF" w14:textId="12627A6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30 septembrie 2021.</w:t>
      </w:r>
    </w:p>
    <w:p w14:paraId="66FE78DD"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4F8D8530"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TD-r35: Reforma funcțională și organizațională a administrației publice</w:t>
      </w:r>
    </w:p>
    <w:p w14:paraId="033B5E87"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reforme este de a restructura și de a raționaliza serviciile publice pentru a promova o administrație publică modernă și mai eficientă, beneficiind, de asemenea, de sinergiile rezultate din punerea în aplicare a reformei TD-r34. În prezent, există o dispersie și redundanță în cadrul departamentelor administrației centrale, ceea ce duce la repetarea serviciilor în cadrul ministerelor, precum și un nivel ridicat de rigiditate a modelelor de furnizare a muncii în sectorul public, care se bazează pe lanțuri stricte de comandă și care conduce la abordări birocratice nejustificate. </w:t>
      </w:r>
    </w:p>
    <w:p w14:paraId="17A61D9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reformă va revizui modelul de funcționare a statului și a administrației publice în general, pentru a consolida sinergiile și a valorifica oportunitățile create de tehnologie. Aceasta include centralizarea serviciilor comune și partajate, abordarea dispersiei și redundanței în cadrul departamentelor administrației centrale, specializarea adecvată a entităților sectoriale directe și indirecte ale administrației publice în funcție de domeniile de expertiză, specializarea funcțiilor critice de sprijin pentru activitatea administrației publice și concentrarea birourilor guvernamentale într-un spațiu fizic unic și promovarea auditului intern și a criteriilor de referință, vizând eficiența proceselor, îmbunătățirea continuă și diseminarea practicilor de conducere de nivel superior în rândul entităților administrației publice. Această reformă se realizează prin crearea unei structuri a misiunii (grup operativ) pentru diagnosticarea și definirea unui plan de reorganizare a serviciilor centrale ale statului, care urmează să fie finanțat în cadrul TD-C19-i07. </w:t>
      </w:r>
    </w:p>
    <w:p w14:paraId="5AC9D457"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reformei se finalizează până la 31 decembrie 2023. </w:t>
      </w:r>
    </w:p>
    <w:p w14:paraId="0BE3FE14"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TD-r36: Administrație publică împuternicită să creeze valoare publică</w:t>
      </w:r>
    </w:p>
    <w:p w14:paraId="4496EB08" w14:textId="77777777" w:rsidR="00A15990" w:rsidRDefault="00686A62">
      <w:pPr>
        <w:pStyle w:val="P68B1DB1-Normal4"/>
        <w:keepNext/>
        <w:spacing w:before="40" w:after="0" w:line="259" w:lineRule="auto"/>
        <w:jc w:val="both"/>
        <w:rPr>
          <w:rFonts w:eastAsiaTheme="minorEastAsia" w:cs="Times New Roman"/>
          <w:noProof/>
        </w:rPr>
      </w:pPr>
      <w:r>
        <w:rPr>
          <w:noProof/>
        </w:rPr>
        <w:t>Această reformă vizează perfecționarea funcționarilor publici, inclusiv în ceea ce privește competențele lor digitale, și pune în aplicare noi modele de lucru (și anume munca la distanță). Această reformă este în conformitate cu măsurile prevăzute în componenta 6.</w:t>
      </w:r>
    </w:p>
    <w:p w14:paraId="6CC35A5C"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reformă, reflectată în Strategia pentru inovare și modernizare a administrației de stat și a administrației publice din iulie 2020, va consolida structura de gestionare și formare pentru funcționarii publici și conducere, prin crearea structurii de coordonare a activităților de formare ( </w:t>
      </w:r>
      <w:r>
        <w:rPr>
          <w:i/>
          <w:noProof/>
        </w:rPr>
        <w:t>Instituto Nacional de Administração</w:t>
      </w:r>
      <w:r>
        <w:rPr>
          <w:noProof/>
        </w:rPr>
        <w:t xml:space="preserve">), care va gestiona promovarea atât a formării avansate, cum ar fi competențele de management, știința datelor, cursurile de specializare, cât și prin aprofundarea programului </w:t>
      </w:r>
      <w:r>
        <w:rPr>
          <w:i/>
          <w:noProof/>
        </w:rPr>
        <w:t>Qualifica AP</w:t>
      </w:r>
      <w:r>
        <w:rPr>
          <w:noProof/>
        </w:rPr>
        <w:t xml:space="preserve"> în vederea îmbunătățirii nivelului de calificare al funcționarilor publici, pe termen scurt/mediu. În paralel, această reformă vizează valorificarea potențialului muncii la distanță în administrația publică.</w:t>
      </w:r>
    </w:p>
    <w:p w14:paraId="1D6E6E11" w14:textId="77777777" w:rsidR="00A15990" w:rsidRDefault="00686A62">
      <w:pPr>
        <w:pStyle w:val="P68B1DB1-Normal4"/>
        <w:keepNext/>
        <w:spacing w:before="40" w:after="0" w:line="259" w:lineRule="auto"/>
        <w:jc w:val="both"/>
        <w:rPr>
          <w:rFonts w:eastAsiaTheme="minorEastAsia" w:cs="Times New Roman"/>
          <w:noProof/>
        </w:rPr>
      </w:pPr>
      <w:r>
        <w:rPr>
          <w:noProof/>
        </w:rPr>
        <w:t>Aceasta este intrinsec legată de investițiile TD-C19-i07 – Capacitarea administrației publice, care prevede programe de capacitare digitală, programe de stagii profesionale, formare profesională în domeniul managementului superior și avansat și stimularea competențelor funcționarilor publici în general.</w:t>
      </w:r>
    </w:p>
    <w:p w14:paraId="3081325B"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Punerea în aplicare a reformei se finalizează până la 30 iunie 2021. </w:t>
      </w:r>
    </w:p>
    <w:p w14:paraId="67759F07"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Investiția TD-C19-i01: Reproiectarea serviciilor publice și consulare </w:t>
      </w:r>
    </w:p>
    <w:p w14:paraId="2662C4CF"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investiții este de a pune în aplicare paradigma digitală prin definiție în interacțiunea dintre părțile interesate și administrația publică portugheză, vizând creșterea eficienței și reducerea birocrației. Aceasta vizează, de asemenea, creșterea eficienței serviciilor consulare și asigurarea tranziției digitale a entităților aflate sub controlul Ministerului Afacerilor Externe.</w:t>
      </w:r>
    </w:p>
    <w:p w14:paraId="522C313A"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Această măsură va restructura serviciile publice și consulare prin instituirea unei capacități de răspuns omnichannel (portal digital unic, servicii de tip centru de apel și servicii cu prezență fizică), împreună cu un sistem de guvernanță transversală, profitând de cloud computing și de utilizarea rețelelor 5G, pentru a inova, a îmbunătăți calitatea și a reduce asimetriile în furnizarea serviciilor publice. </w:t>
      </w:r>
    </w:p>
    <w:p w14:paraId="3624F6F1" w14:textId="47138042" w:rsidR="00A15990" w:rsidRDefault="00686A62">
      <w:pPr>
        <w:pStyle w:val="P68B1DB1-Normal4"/>
        <w:keepNext/>
        <w:spacing w:before="40" w:after="0" w:line="259" w:lineRule="auto"/>
        <w:jc w:val="both"/>
        <w:rPr>
          <w:rFonts w:eastAsiaTheme="minorEastAsia" w:cs="Times New Roman"/>
          <w:noProof/>
        </w:rPr>
      </w:pPr>
      <w:r>
        <w:rPr>
          <w:noProof/>
        </w:rPr>
        <w:t xml:space="preserve">Această investiție include, de asemenea, înființarea de noi </w:t>
      </w:r>
      <w:r>
        <w:rPr>
          <w:i/>
          <w:noProof/>
        </w:rPr>
        <w:t>Espaços cidadão</w:t>
      </w:r>
      <w:r>
        <w:rPr>
          <w:noProof/>
        </w:rPr>
        <w:t xml:space="preserve"> și </w:t>
      </w:r>
      <w:r>
        <w:rPr>
          <w:i/>
          <w:noProof/>
        </w:rPr>
        <w:t>Lojas do Cidadão</w:t>
      </w:r>
      <w:r>
        <w:rPr>
          <w:noProof/>
        </w:rPr>
        <w:t xml:space="preserve"> în noi spații eficiente din punct de vedere energetic. </w:t>
      </w:r>
    </w:p>
    <w:p w14:paraId="432248CD" w14:textId="4667BC5C"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2026.</w:t>
      </w:r>
    </w:p>
    <w:p w14:paraId="154FC4BB"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TD-C19-i02: Servicii electronice durabile</w:t>
      </w:r>
      <w:r>
        <w:rPr>
          <w:i/>
          <w:noProof/>
        </w:rPr>
        <w:t xml:space="preserve"> </w:t>
      </w:r>
    </w:p>
    <w:p w14:paraId="303AEEC2"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Obiectivul acestei investiții este de a oferi sprijinul administrativ necesar investițiilor anterioare și vizează consolidarea valorificării și exploatării datelor de către serviciile publice, consolidarea interoperabilității și a schimbului de date, precum și interoperabilitatea cu entitățile externe și la nivel transfrontalier (legătura cu portalul unic european de date). </w:t>
      </w:r>
    </w:p>
    <w:p w14:paraId="5FE6647D" w14:textId="4C63475B" w:rsidR="00A15990" w:rsidRDefault="00686A62">
      <w:pPr>
        <w:pStyle w:val="P68B1DB1-Normal4"/>
        <w:keepNext/>
        <w:spacing w:before="40" w:after="0" w:line="259" w:lineRule="auto"/>
        <w:jc w:val="both"/>
        <w:rPr>
          <w:rFonts w:eastAsiaTheme="minorEastAsia" w:cs="Times New Roman"/>
          <w:noProof/>
        </w:rPr>
      </w:pPr>
      <w:r>
        <w:rPr>
          <w:noProof/>
        </w:rPr>
        <w:t>Această investiție se bazează pe reforma TD-r34 în ceea ce privește instituirea unei gestionări coordonate a ecosistemului de date ale administrației publice, încorporând soluții de identificare sigure, mecanisme de control al accesului la date și informații statistice. Aceasta promovează reutilizarea datelor colectate de autoritățile publice, punând în aplicare principiul „o singură dată”, bazându-se pe interoperabilitatea și integrarea sistemelor informatice, și extinzând utilizarea soluțiilor de identificare electronică. În plus, aceasta promovează datele deschise și disponibilitatea datelor în scopuri de cercetare, promovând în același timp competențele în domeniul științei datelor.</w:t>
      </w:r>
    </w:p>
    <w:p w14:paraId="24A9EB59"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martie 2026.</w:t>
      </w:r>
    </w:p>
    <w:p w14:paraId="25B68A4D"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TD-C19-i03: Consolidarea cadrului general de securitate cibernetică </w:t>
      </w:r>
    </w:p>
    <w:p w14:paraId="66E4850F"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investiții este de a îmbunătăți standardele și procedurile de securitate a informațiilor pentru datele online. Investiția este legată de investițiile TD-C19-i01 și TD-C19-i02.</w:t>
      </w:r>
    </w:p>
    <w:p w14:paraId="67D18F87" w14:textId="77777777" w:rsidR="00A15990" w:rsidRDefault="00686A62">
      <w:pPr>
        <w:pStyle w:val="P68B1DB1-Normal4"/>
        <w:keepNext/>
        <w:spacing w:before="40" w:after="0" w:line="259" w:lineRule="auto"/>
        <w:jc w:val="both"/>
        <w:rPr>
          <w:rFonts w:eastAsiaTheme="minorEastAsia" w:cs="Times New Roman"/>
          <w:noProof/>
        </w:rPr>
      </w:pPr>
      <w:r>
        <w:rPr>
          <w:noProof/>
        </w:rPr>
        <w:t>Această măsură vizează consolidarea capacitării naționale în domeniul securității cibernetice și al securității informațiilor și crearea condițiilor fizice și tehnologice pentru punerea în aplicare și operaționalizarea unui nou model de coordonare a securității cibernetice și a informațiilor. Aceasta include patru măsuri:</w:t>
      </w:r>
    </w:p>
    <w:p w14:paraId="6D7C0A47"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 xml:space="preserve">Să intensifice consolidarea capacităților în materie de securitate cibernetică și de securitate a informațiilor, prin crearea de centre de competență pentru dezvoltarea de soluții de securitate cibernetică pentru IMM-uri și administrația publică; </w:t>
      </w:r>
    </w:p>
    <w:p w14:paraId="4AA336A2"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Să sporească securitatea în gestionarea ciclului de viață al informațiilor prin dezvoltarea capacității criptografice naționale și a controlului asupra informațiilor clasificate;</w:t>
      </w:r>
    </w:p>
    <w:p w14:paraId="7273D3F8" w14:textId="0A1AA4AB"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Punerea în aplicare a cadrului național de referință în materie de securitate cibernetică (conform reformei TD-r34), inclusiv acreditarea organismelor (în conformitate cu măsurile incluse în componenta 16 și mobilizarea acestora); și</w:t>
      </w:r>
    </w:p>
    <w:p w14:paraId="6097B93E" w14:textId="77777777" w:rsidR="00A15990" w:rsidRDefault="00686A62">
      <w:pPr>
        <w:pStyle w:val="P68B1DB1-Normal4"/>
        <w:keepNext/>
        <w:numPr>
          <w:ilvl w:val="0"/>
          <w:numId w:val="35"/>
        </w:numPr>
        <w:spacing w:before="40" w:after="160" w:line="259" w:lineRule="auto"/>
        <w:contextualSpacing/>
        <w:jc w:val="both"/>
        <w:rPr>
          <w:rFonts w:eastAsiaTheme="minorEastAsia" w:cs="Times New Roman"/>
          <w:noProof/>
        </w:rPr>
      </w:pPr>
      <w:r>
        <w:rPr>
          <w:noProof/>
        </w:rPr>
        <w:t>Crearea condițiilor fizice și tehnologice pentru operaționalizarea noului model de coordonare a securității cibernetice și a informațiilor (noile autorități relevante fiind pe deplin împuternicite).</w:t>
      </w:r>
    </w:p>
    <w:p w14:paraId="37AA6BF2"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martie 2026.</w:t>
      </w:r>
    </w:p>
    <w:p w14:paraId="1FFBF663"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TD-C19-i04: O infrastructură digitală critică eficientă, sigură și partajată </w:t>
      </w:r>
    </w:p>
    <w:p w14:paraId="2027F4C8"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investiții este de a spori reziliența infrastructurilor digitale critice, și anume a rețelelor de comunicații de urgență și de securitate, precum și a rețelei informatice guvernamentale (RING).</w:t>
      </w:r>
    </w:p>
    <w:p w14:paraId="37E654B4" w14:textId="77777777" w:rsidR="00A15990" w:rsidRDefault="00686A62">
      <w:pPr>
        <w:pStyle w:val="P68B1DB1-Normal4"/>
        <w:keepNext/>
        <w:spacing w:before="40" w:after="0" w:line="259" w:lineRule="auto"/>
        <w:jc w:val="both"/>
        <w:rPr>
          <w:rFonts w:eastAsiaTheme="minorEastAsia" w:cs="Times New Roman"/>
          <w:noProof/>
        </w:rPr>
      </w:pPr>
      <w:r>
        <w:rPr>
          <w:noProof/>
        </w:rPr>
        <w:t>Această investiție vizează rețeaua informatică a guvernului, îmbunătățește acoperirea și capacitatea rețelei de comunicații de urgență a statului și a rețelei naționale de securitate internă și revizuiește arhitectura sistemelor și proceselor informatice ale forțelor de securitate. Acestea cuprind:</w:t>
      </w:r>
    </w:p>
    <w:p w14:paraId="1A4C5223" w14:textId="77777777" w:rsidR="00A15990" w:rsidRDefault="00686A62">
      <w:pPr>
        <w:pStyle w:val="P68B1DB1-Normal4"/>
        <w:keepNext/>
        <w:numPr>
          <w:ilvl w:val="0"/>
          <w:numId w:val="53"/>
        </w:numPr>
        <w:spacing w:before="40" w:after="160" w:line="259" w:lineRule="auto"/>
        <w:contextualSpacing/>
        <w:jc w:val="both"/>
        <w:rPr>
          <w:rFonts w:eastAsiaTheme="minorEastAsia" w:cs="Times New Roman"/>
          <w:noProof/>
        </w:rPr>
      </w:pPr>
      <w:r>
        <w:rPr>
          <w:noProof/>
        </w:rPr>
        <w:t xml:space="preserve">Reînnoirea sistemelor tehnologice pentru gestionarea și controlul frontierelor, cooperarea polițienească și judiciară; </w:t>
      </w:r>
    </w:p>
    <w:p w14:paraId="7CF7CCE5" w14:textId="77777777" w:rsidR="00A15990" w:rsidRDefault="00686A62">
      <w:pPr>
        <w:pStyle w:val="P68B1DB1-Normal4"/>
        <w:keepNext/>
        <w:numPr>
          <w:ilvl w:val="0"/>
          <w:numId w:val="53"/>
        </w:numPr>
        <w:spacing w:before="40" w:after="160" w:line="259" w:lineRule="auto"/>
        <w:contextualSpacing/>
        <w:jc w:val="both"/>
        <w:rPr>
          <w:rFonts w:eastAsiaTheme="minorEastAsia" w:cs="Times New Roman"/>
          <w:noProof/>
        </w:rPr>
      </w:pPr>
      <w:r>
        <w:rPr>
          <w:noProof/>
        </w:rPr>
        <w:t>Proiectul centrelor operaționale 112 – actualizare pentru a răspunde noilor standarde (noua generație 112);</w:t>
      </w:r>
    </w:p>
    <w:p w14:paraId="497C78A2" w14:textId="77777777" w:rsidR="00A15990" w:rsidRDefault="00686A62">
      <w:pPr>
        <w:pStyle w:val="P68B1DB1-Normal4"/>
        <w:keepNext/>
        <w:numPr>
          <w:ilvl w:val="0"/>
          <w:numId w:val="53"/>
        </w:numPr>
        <w:spacing w:before="40" w:after="160" w:line="259" w:lineRule="auto"/>
        <w:contextualSpacing/>
        <w:jc w:val="both"/>
        <w:rPr>
          <w:rFonts w:eastAsiaTheme="minorEastAsia" w:cs="Times New Roman"/>
          <w:noProof/>
        </w:rPr>
      </w:pPr>
      <w:r>
        <w:rPr>
          <w:noProof/>
        </w:rPr>
        <w:t>Proiectul privind rețeaua națională de securitate internă – caracterul adecvat al sistemelor de arhitectură informatică și al instrumentelor tehnologice, precum și construirea și operaționalizarea unui nou centru de date;</w:t>
      </w:r>
    </w:p>
    <w:p w14:paraId="472CBA0A" w14:textId="77777777" w:rsidR="00A15990" w:rsidRDefault="00686A62">
      <w:pPr>
        <w:pStyle w:val="P68B1DB1-Normal4"/>
        <w:keepNext/>
        <w:numPr>
          <w:ilvl w:val="0"/>
          <w:numId w:val="53"/>
        </w:numPr>
        <w:spacing w:before="40" w:after="160" w:line="259" w:lineRule="auto"/>
        <w:contextualSpacing/>
        <w:jc w:val="both"/>
        <w:rPr>
          <w:rFonts w:eastAsiaTheme="minorEastAsia" w:cs="Times New Roman"/>
          <w:noProof/>
        </w:rPr>
      </w:pPr>
      <w:r>
        <w:rPr>
          <w:noProof/>
        </w:rPr>
        <w:t>Proiectul Rețelei de comunicații de stat în caz de urgență (SIRESP) – investiția va include promovarea schimbării tehnologice a infrastructurii terestre SIRESP (coloana vertebrală), de la E1 la IP (Internet Protocol), crearea unui centru de recuperare în caz de dezastru pentru sistemele de informații asociate SIRESP, precum și implementarea fasciculelor hertziene în anumite situri de rețea, prin înlocuirea conexiunilor cu cupru și fibră optică, pentru a asigura un sistem de redundanță;</w:t>
      </w:r>
    </w:p>
    <w:p w14:paraId="19E9EDA6" w14:textId="77777777" w:rsidR="00A15990" w:rsidRDefault="00686A62">
      <w:pPr>
        <w:pStyle w:val="P68B1DB1-Normal4"/>
        <w:keepNext/>
        <w:numPr>
          <w:ilvl w:val="0"/>
          <w:numId w:val="53"/>
        </w:numPr>
        <w:spacing w:before="40" w:after="160" w:line="259" w:lineRule="auto"/>
        <w:contextualSpacing/>
        <w:jc w:val="both"/>
        <w:rPr>
          <w:rFonts w:eastAsiaTheme="minorEastAsia" w:cs="Times New Roman"/>
          <w:noProof/>
        </w:rPr>
      </w:pPr>
      <w:r>
        <w:rPr>
          <w:noProof/>
        </w:rPr>
        <w:t>Punerea în aplicare a unor servicii comune în cadrul forțelor și serviciilor de securitate, eliminarea redundanțelor din procesele tehnice, crearea de sisteme comune și reducerea costurilor operaționale; și</w:t>
      </w:r>
    </w:p>
    <w:p w14:paraId="3E4EAEE1" w14:textId="77777777" w:rsidR="00A15990" w:rsidRDefault="00686A62">
      <w:pPr>
        <w:pStyle w:val="P68B1DB1-Normal4"/>
        <w:keepNext/>
        <w:numPr>
          <w:ilvl w:val="0"/>
          <w:numId w:val="53"/>
        </w:numPr>
        <w:spacing w:before="40" w:after="160" w:line="259" w:lineRule="auto"/>
        <w:contextualSpacing/>
        <w:jc w:val="both"/>
        <w:rPr>
          <w:rFonts w:eastAsiaTheme="minorEastAsia" w:cs="Times New Roman"/>
          <w:noProof/>
        </w:rPr>
      </w:pPr>
      <w:r>
        <w:rPr>
          <w:noProof/>
        </w:rPr>
        <w:t>Ring – Extinderea și evoluția infrastructurii tehnologice și a sistemelor informatice ale Centrului guvernamental de gestionare a rețelelor informatice, formarea angajaților, furnizarea unui sistem multimedia integrat și sisteme de comunicare securizate și guvernanță.</w:t>
      </w:r>
    </w:p>
    <w:p w14:paraId="6B97C2B4"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martie 2026.</w:t>
      </w:r>
    </w:p>
    <w:p w14:paraId="381572D8" w14:textId="1EFC180A"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TD-C19-i05-RAM: Tranziția digitală a administrației publice din Madeira </w:t>
      </w:r>
    </w:p>
    <w:p w14:paraId="29E3A143" w14:textId="77777777" w:rsidR="00A15990" w:rsidRDefault="00686A62">
      <w:pPr>
        <w:pStyle w:val="P68B1DB1-Normal4"/>
        <w:keepNext/>
        <w:spacing w:before="40" w:after="0" w:line="22" w:lineRule="atLeast"/>
        <w:jc w:val="both"/>
        <w:rPr>
          <w:rFonts w:eastAsiaTheme="minorEastAsia" w:cs="Times New Roman"/>
          <w:noProof/>
        </w:rPr>
      </w:pPr>
      <w:r>
        <w:rPr>
          <w:noProof/>
        </w:rPr>
        <w:t xml:space="preserve">Obiectivul acestei investiții este de a avea o administrație publică mai rezilientă, punând la dispoziție tehnologii digitale pentru furnizarea de servicii publice. </w:t>
      </w:r>
    </w:p>
    <w:p w14:paraId="62BFA60F" w14:textId="00FFE6EC" w:rsidR="00A15990" w:rsidRDefault="00686A62">
      <w:pPr>
        <w:pStyle w:val="P68B1DB1-Normal4"/>
        <w:keepNext/>
        <w:spacing w:after="160" w:line="22" w:lineRule="atLeast"/>
        <w:jc w:val="both"/>
        <w:rPr>
          <w:rFonts w:eastAsia="Times New Roman" w:cs="Times New Roman"/>
          <w:noProof/>
        </w:rPr>
      </w:pPr>
      <w:r>
        <w:rPr>
          <w:noProof/>
        </w:rPr>
        <w:t>Aceste investiții urmează abordarea adoptată în investițiile TD-C19-i01-i03, care vizează modernizarea infrastructurii critice și a arhitecturii informatice, punerea la dispoziție a instrumentelor digitale în funcție de nevoile administrației publice și ale cetățenilor, perfecționarea resurselor umane (în special în domeniul competențelor digitale), disponibilitatea serviciilor publice omnicanale și interoperabilitatea și conectivitatea. Această măsură oferă administrației publice din regiune infrastructura, instrumentele, interoperabilitatea serviciilor și know-how-ul pentru a asigura furnizarea de servicii publice digitale. Măsura dezvoltă, de asemenea, o soluție centralizată de gestionare a datelor.</w:t>
      </w:r>
    </w:p>
    <w:p w14:paraId="647A856E"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30 iunie 2025.</w:t>
      </w:r>
    </w:p>
    <w:p w14:paraId="4B5DBC4E" w14:textId="722653DB"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TD-C19-i06-RAA: Tranziția digitală a administrației publice din Azore </w:t>
      </w:r>
    </w:p>
    <w:p w14:paraId="660DD307"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investiții este de a sprijini tranziția digitală a sectorului public și de a reduce sarcina administrativă pentru a furniza un serviciu public mai bun cetățenilor și întreprinderilor.</w:t>
      </w:r>
    </w:p>
    <w:p w14:paraId="3B659374" w14:textId="744A928B" w:rsidR="00A15990" w:rsidRDefault="00686A62">
      <w:pPr>
        <w:pStyle w:val="P68B1DB1-Normal4"/>
        <w:keepNext/>
        <w:spacing w:before="40" w:after="0" w:line="259" w:lineRule="auto"/>
        <w:jc w:val="both"/>
        <w:rPr>
          <w:rFonts w:eastAsiaTheme="minorEastAsia" w:cs="Times New Roman"/>
          <w:noProof/>
        </w:rPr>
      </w:pPr>
      <w:r>
        <w:rPr>
          <w:noProof/>
        </w:rPr>
        <w:t>Această măsură sprijină tranziția digitală a serviciului public, inclusiv în cadrul abordării „omnicannel”, bazându-se pe servicii digitale interoperabile în cazul în care serviciile tranzacționale sunt disponibile online. Acesta reproiectează serviciul public pentru a permite servicii mai simple și mai flexibile și sporește condițiile tehnologice pentru dematerializarea locurilor de muncă din administrația publică, prin asigurarea unui mediu de lucru virtual și prin formarea personalului (cum ar fi competențele digitale, gestionarea și munca în colaborare). Pentru a asigura securitatea datelor, se înființează un centru operațional de securitate cibernetică.</w:t>
      </w:r>
    </w:p>
    <w:p w14:paraId="42D68FCC"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3C5769F7"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TD-C19-i07: Administrație publică împuternicită să creeze valoare publică</w:t>
      </w:r>
    </w:p>
    <w:p w14:paraId="0088EEF1" w14:textId="77777777" w:rsidR="00A15990" w:rsidRDefault="00686A62">
      <w:pPr>
        <w:pStyle w:val="P68B1DB1-Normal4"/>
        <w:keepNext/>
        <w:spacing w:before="40" w:after="0" w:line="259" w:lineRule="auto"/>
        <w:jc w:val="both"/>
        <w:rPr>
          <w:rFonts w:eastAsiaTheme="minorEastAsia" w:cs="Times New Roman"/>
          <w:noProof/>
        </w:rPr>
      </w:pPr>
      <w:r>
        <w:rPr>
          <w:noProof/>
        </w:rPr>
        <w:t>Obiectivul acestei investiții este de a garanta că funcția publică dispune de know-how-ul necesar, în special în ceea ce privește competențele manageriale și tehnologia, pentru a furniza publicului un serviciu de înaltă calitate.</w:t>
      </w:r>
    </w:p>
    <w:p w14:paraId="20434E99" w14:textId="6144F8EC" w:rsidR="00A15990" w:rsidRDefault="00686A62">
      <w:pPr>
        <w:pStyle w:val="P68B1DB1-Normal4"/>
        <w:keepNext/>
        <w:spacing w:before="40" w:after="0" w:line="259" w:lineRule="auto"/>
        <w:jc w:val="both"/>
        <w:rPr>
          <w:rFonts w:eastAsiaTheme="minorEastAsia" w:cs="Times New Roman"/>
          <w:noProof/>
        </w:rPr>
      </w:pPr>
      <w:r>
        <w:rPr>
          <w:noProof/>
        </w:rPr>
        <w:t>Această investiție vizează dezvoltarea ofertei de formare pentru lucrătorii și managerii din administrația publică, promovarea atragerii talentelor prin oferirea de programe de stagii și promovarea telemuncii. În special, aceasta cuprinde programe de facilitare digitală, formare avansată și superioară în domeniul managementului, precum și formarea generală și perfecționarea funcționarilor publici.</w:t>
      </w:r>
    </w:p>
    <w:p w14:paraId="512AFC27" w14:textId="77777777" w:rsidR="00A15990" w:rsidRDefault="00686A62">
      <w:pPr>
        <w:pStyle w:val="P68B1DB1-Normal4"/>
        <w:keepNext/>
        <w:spacing w:before="40" w:after="0" w:line="259" w:lineRule="auto"/>
        <w:jc w:val="both"/>
        <w:rPr>
          <w:rFonts w:eastAsiaTheme="minorEastAsia" w:cs="Times New Roman"/>
          <w:noProof/>
        </w:rPr>
      </w:pPr>
      <w:r>
        <w:rPr>
          <w:noProof/>
        </w:rPr>
        <w:t>Această măsură include, de asemenea, crearea Centrului de competențe pentru planificare, politici și prospectivă în administrația publică, relevant pentru consolidarea capacităților de sprijinire a definirii și punerii în aplicare a politicilor publice, a evaluării politicilor și a previziunii.</w:t>
      </w:r>
    </w:p>
    <w:p w14:paraId="79184ED3" w14:textId="77777777" w:rsidR="00A15990" w:rsidRDefault="00686A62">
      <w:pPr>
        <w:pStyle w:val="P68B1DB1-Normal4"/>
        <w:keepNext/>
        <w:spacing w:before="40" w:after="0" w:line="259" w:lineRule="auto"/>
        <w:jc w:val="both"/>
        <w:rPr>
          <w:rFonts w:eastAsiaTheme="minorEastAsia" w:cs="Times New Roman"/>
          <w:noProof/>
        </w:rPr>
      </w:pPr>
      <w:r>
        <w:rPr>
          <w:noProof/>
        </w:rPr>
        <w:t>În plus, astfel cum se menționează în reforma TD-r35, în cadrul acestei investiții se instituie o structură de misiune pentru a sprijini reorganizarea serviciilor publice.</w:t>
      </w:r>
    </w:p>
    <w:p w14:paraId="3494F754"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martie 2026.</w:t>
      </w:r>
    </w:p>
    <w:p w14:paraId="33A26B41" w14:textId="0518C380"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Reforma TD-C19-r41: Accesul la serviciile publice: armonizarea și consolidarea accesului fizic și online </w:t>
      </w:r>
    </w:p>
    <w:p w14:paraId="78F96C8F" w14:textId="085A25C0" w:rsidR="00A15990" w:rsidRDefault="00686A62">
      <w:pPr>
        <w:pStyle w:val="P68B1DB1-Normal4"/>
        <w:spacing w:before="40" w:after="0" w:line="259" w:lineRule="auto"/>
        <w:jc w:val="both"/>
        <w:rPr>
          <w:rFonts w:cs="Times New Roman"/>
          <w:noProof/>
        </w:rPr>
      </w:pPr>
      <w:r>
        <w:rPr>
          <w:noProof/>
        </w:rPr>
        <w:t xml:space="preserve">Scopul acestei reforme este de a aprofunda tranziția digitală a administrației publice și de a profita de noile tehnologii pentru a transforma modelul actual de serviciu public. </w:t>
      </w:r>
    </w:p>
    <w:p w14:paraId="13C6A2E3" w14:textId="0566F40C" w:rsidR="00A15990" w:rsidRDefault="00686A62">
      <w:pPr>
        <w:pStyle w:val="P68B1DB1-Normal4"/>
        <w:spacing w:before="40" w:after="0" w:line="259" w:lineRule="auto"/>
        <w:jc w:val="both"/>
        <w:rPr>
          <w:rFonts w:eastAsia="@MS Mincho" w:cs="Times New Roman"/>
          <w:noProof/>
        </w:rPr>
      </w:pPr>
      <w:r>
        <w:rPr>
          <w:noProof/>
        </w:rPr>
        <w:t>Reforma constă în intrarea în vigoare a unui act legislativ care armonizează și consolidează normele privind accesul la serviciile publice în persoană și de la distanță (online, prin intermediul unei aplicații, prin telefon). Prezentul act normativ extinde, de asemenea, numărul de servicii publice disponibile pe portalul unic al serviciilor publice.</w:t>
      </w:r>
    </w:p>
    <w:p w14:paraId="46639889" w14:textId="77777777" w:rsidR="00A15990" w:rsidRDefault="00686A62">
      <w:pPr>
        <w:pStyle w:val="P68B1DB1-Normal4"/>
        <w:spacing w:before="40" w:after="0" w:line="259" w:lineRule="auto"/>
        <w:jc w:val="both"/>
        <w:rPr>
          <w:rFonts w:cs="Times New Roman"/>
          <w:noProof/>
        </w:rPr>
      </w:pPr>
      <w:r>
        <w:rPr>
          <w:noProof/>
        </w:rPr>
        <w:t>Punerea în aplicare a reformei se finalizează până la 30 septembrie 2025.</w:t>
      </w:r>
    </w:p>
    <w:p w14:paraId="7DE1A9CA" w14:textId="2210B9E1" w:rsidR="00A15990" w:rsidRDefault="00686A62">
      <w:pPr>
        <w:pStyle w:val="P68B1DB1-Heading214"/>
        <w:spacing w:before="240"/>
        <w:rPr>
          <w:noProof/>
        </w:rPr>
      </w:pPr>
      <w:r>
        <w:rPr>
          <w:noProof/>
        </w:rPr>
        <w:t>Reforma TD-C19-r42: Un nou sistem de evaluare pentru capacitarea și revitalizarea forței de muncă din administrația publică</w:t>
      </w:r>
    </w:p>
    <w:p w14:paraId="553B9ED2" w14:textId="1CFBDB39" w:rsidR="00A15990" w:rsidRDefault="00686A62">
      <w:pPr>
        <w:pStyle w:val="P68B1DB1-Normal4"/>
        <w:spacing w:beforeLines="40" w:before="96" w:after="0" w:line="22" w:lineRule="atLeast"/>
        <w:jc w:val="both"/>
        <w:rPr>
          <w:rFonts w:cs="Times New Roman"/>
          <w:noProof/>
        </w:rPr>
      </w:pPr>
      <w:r>
        <w:rPr>
          <w:noProof/>
        </w:rPr>
        <w:t xml:space="preserve">Principalul obiectiv al acestei reforme este de a aborda una dintre principalele provocări cu care se confruntă administrația publică portugheză: capacitatea sa de a-și reîntini forța de muncă și de a atrage și păstra talentele. </w:t>
      </w:r>
    </w:p>
    <w:p w14:paraId="6B48C29E" w14:textId="77777777" w:rsidR="00A15990" w:rsidRDefault="00686A62">
      <w:pPr>
        <w:pStyle w:val="P68B1DB1-Normal4"/>
        <w:spacing w:beforeLines="40" w:before="96" w:after="0" w:line="22" w:lineRule="atLeast"/>
        <w:jc w:val="both"/>
        <w:rPr>
          <w:rFonts w:cs="Times New Roman"/>
          <w:noProof/>
        </w:rPr>
      </w:pPr>
      <w:r>
        <w:rPr>
          <w:noProof/>
        </w:rPr>
        <w:t>Această reformă constă în revizuirea sistemului de evaluare a performanței din administrația publică (Sistemul integrat de gestionare și evaluare a performanței administrației publice – SIADAP) prin modificarea cadrului juridic. SIADAP revizuit:</w:t>
      </w:r>
    </w:p>
    <w:p w14:paraId="615F098E" w14:textId="77777777" w:rsidR="00A15990" w:rsidRDefault="00686A62">
      <w:pPr>
        <w:pStyle w:val="ListParagraph"/>
        <w:keepNext w:val="0"/>
        <w:numPr>
          <w:ilvl w:val="0"/>
          <w:numId w:val="82"/>
        </w:numPr>
        <w:spacing w:beforeLines="40" w:before="96" w:after="0" w:line="22" w:lineRule="atLeast"/>
        <w:rPr>
          <w:noProof/>
        </w:rPr>
      </w:pPr>
      <w:r>
        <w:rPr>
          <w:noProof/>
        </w:rPr>
        <w:t xml:space="preserve">Să modifice frecvența exercițiului de evaluare (de la o dată la doi ani la o dată pe an); </w:t>
      </w:r>
    </w:p>
    <w:p w14:paraId="15FE64A1" w14:textId="77777777" w:rsidR="00A15990" w:rsidRDefault="00686A62">
      <w:pPr>
        <w:pStyle w:val="ListParagraph"/>
        <w:keepNext w:val="0"/>
        <w:numPr>
          <w:ilvl w:val="0"/>
          <w:numId w:val="82"/>
        </w:numPr>
        <w:spacing w:beforeLines="40" w:before="96" w:after="0" w:line="22" w:lineRule="atLeast"/>
        <w:rPr>
          <w:noProof/>
        </w:rPr>
      </w:pPr>
      <w:r>
        <w:rPr>
          <w:noProof/>
        </w:rPr>
        <w:t xml:space="preserve">Să crească procentul de lucrători care pot primi primele două ratinguri de performanță și punctele respective pentru fiecare ciclu de evaluare; </w:t>
      </w:r>
    </w:p>
    <w:p w14:paraId="5B67385F" w14:textId="77777777" w:rsidR="00A15990" w:rsidRDefault="00686A62">
      <w:pPr>
        <w:pStyle w:val="ListParagraph"/>
        <w:keepNext w:val="0"/>
        <w:numPr>
          <w:ilvl w:val="0"/>
          <w:numId w:val="82"/>
        </w:numPr>
        <w:spacing w:beforeLines="40" w:before="96" w:after="0" w:line="22" w:lineRule="atLeast"/>
        <w:rPr>
          <w:noProof/>
        </w:rPr>
      </w:pPr>
      <w:r>
        <w:rPr>
          <w:noProof/>
        </w:rPr>
        <w:t xml:space="preserve">Introducerea unei clase de performanță suplimentare; </w:t>
      </w:r>
    </w:p>
    <w:p w14:paraId="3CD9DEDD" w14:textId="2385DC1D" w:rsidR="00A15990" w:rsidRDefault="00686A62">
      <w:pPr>
        <w:pStyle w:val="ListParagraph"/>
        <w:keepNext w:val="0"/>
        <w:numPr>
          <w:ilvl w:val="0"/>
          <w:numId w:val="82"/>
        </w:numPr>
        <w:spacing w:beforeLines="40" w:before="96" w:after="0" w:line="22" w:lineRule="atLeast"/>
        <w:rPr>
          <w:noProof/>
        </w:rPr>
      </w:pPr>
      <w:r>
        <w:rPr>
          <w:noProof/>
        </w:rPr>
        <w:t xml:space="preserve">Să stabilească lista competențelor care urmează să fie evaluate în cadrul profilului de competențe în domeniul administrației publice;  </w:t>
      </w:r>
    </w:p>
    <w:p w14:paraId="0D4797D5" w14:textId="615A1814" w:rsidR="00A15990" w:rsidRDefault="00686A62">
      <w:pPr>
        <w:pStyle w:val="ListParagraph"/>
        <w:keepNext w:val="0"/>
        <w:numPr>
          <w:ilvl w:val="0"/>
          <w:numId w:val="82"/>
        </w:numPr>
        <w:spacing w:beforeLines="40" w:before="96" w:after="0" w:line="22" w:lineRule="atLeast"/>
        <w:rPr>
          <w:noProof/>
        </w:rPr>
      </w:pPr>
      <w:r>
        <w:rPr>
          <w:noProof/>
        </w:rPr>
        <w:t>Identificarea nevoilor de dezvoltare în continuare a competențelor și a formării respective.</w:t>
      </w:r>
    </w:p>
    <w:p w14:paraId="0E988E2A" w14:textId="585AA569" w:rsidR="00A15990" w:rsidRDefault="00686A62">
      <w:pPr>
        <w:pStyle w:val="P68B1DB1-Normal4"/>
        <w:spacing w:beforeLines="40" w:before="96" w:after="0" w:line="22" w:lineRule="atLeast"/>
        <w:jc w:val="both"/>
        <w:rPr>
          <w:rFonts w:cs="Times New Roman"/>
          <w:noProof/>
        </w:rPr>
      </w:pPr>
      <w:r>
        <w:rPr>
          <w:noProof/>
        </w:rPr>
        <w:t xml:space="preserve">În plus, împreună cu revizuirea modelului SIADAP, reforma include, de asemenea, revizuirea profilului de competențe în administrația publică, care include competențele care urmează să fie evaluate în procesul de recrutare și selecție, în sistemul de evaluare a performanței și care urmează să fie incluse în cursurile de formare profesională. </w:t>
      </w:r>
    </w:p>
    <w:p w14:paraId="0D929530" w14:textId="5F2DFF63" w:rsidR="00A15990" w:rsidRDefault="00686A62">
      <w:pPr>
        <w:pStyle w:val="P68B1DB1-Normal4"/>
        <w:spacing w:beforeLines="40" w:before="96" w:after="0" w:line="22" w:lineRule="atLeast"/>
        <w:jc w:val="both"/>
        <w:rPr>
          <w:rFonts w:cs="Times New Roman"/>
          <w:noProof/>
        </w:rPr>
      </w:pPr>
      <w:r>
        <w:rPr>
          <w:noProof/>
        </w:rPr>
        <w:t xml:space="preserve">Reforma include, de asemenea, dezvoltarea unei platforme informatice pe care funcționează SIADAP. Se asigură o formare specifică pentru a învăța cum să utilizeze platforma. </w:t>
      </w:r>
    </w:p>
    <w:p w14:paraId="6FA49BD3" w14:textId="291EABB7" w:rsidR="00A15990" w:rsidRDefault="00686A62">
      <w:pPr>
        <w:pStyle w:val="P68B1DB1-Normal4"/>
        <w:spacing w:beforeLines="40" w:before="96" w:after="0" w:line="22" w:lineRule="atLeast"/>
        <w:jc w:val="both"/>
        <w:rPr>
          <w:rFonts w:cs="Times New Roman"/>
          <w:noProof/>
        </w:rPr>
      </w:pPr>
      <w:r>
        <w:rPr>
          <w:noProof/>
        </w:rPr>
        <w:t>Punerea în aplicare a reformei se finalizează până la 31 martie 2025.</w:t>
      </w:r>
    </w:p>
    <w:p w14:paraId="61D9A60B" w14:textId="76B79EF0" w:rsidR="00A15990" w:rsidRDefault="00686A62">
      <w:pPr>
        <w:pStyle w:val="P68B1DB1-Heading214"/>
        <w:spacing w:before="240"/>
        <w:rPr>
          <w:noProof/>
        </w:rPr>
      </w:pPr>
      <w:r>
        <w:rPr>
          <w:noProof/>
        </w:rPr>
        <w:t>Investiții TD-C19-i08 Teritoriile inteligente</w:t>
      </w:r>
    </w:p>
    <w:p w14:paraId="75C3ED74" w14:textId="77777777" w:rsidR="00A15990" w:rsidRDefault="00686A62">
      <w:pPr>
        <w:pStyle w:val="P68B1DB1-Normal4"/>
        <w:spacing w:beforeLines="40" w:before="96" w:after="0" w:line="22" w:lineRule="atLeast"/>
        <w:jc w:val="both"/>
        <w:rPr>
          <w:rFonts w:cs="Times New Roman"/>
          <w:noProof/>
        </w:rPr>
      </w:pPr>
      <w:r>
        <w:rPr>
          <w:noProof/>
        </w:rPr>
        <w:t xml:space="preserve">Această investiție vizează crearea unei noi paradigme pentru planificarea și gestionarea orașelor și teritoriilor pe baza unor politici publice bazate pe date. </w:t>
      </w:r>
    </w:p>
    <w:p w14:paraId="787965D6" w14:textId="77777777" w:rsidR="00A15990" w:rsidRDefault="00686A62">
      <w:pPr>
        <w:pStyle w:val="P68B1DB1-Normal4"/>
        <w:spacing w:beforeLines="40" w:before="96" w:after="0" w:line="22" w:lineRule="atLeast"/>
        <w:jc w:val="both"/>
        <w:rPr>
          <w:rFonts w:cs="Times New Roman"/>
          <w:noProof/>
        </w:rPr>
      </w:pPr>
      <w:r>
        <w:rPr>
          <w:noProof/>
        </w:rPr>
        <w:t>Investiția include:</w:t>
      </w:r>
    </w:p>
    <w:p w14:paraId="22DF1388" w14:textId="148F8DD1" w:rsidR="00A15990" w:rsidRDefault="00686A62">
      <w:pPr>
        <w:pStyle w:val="ListParagraph"/>
        <w:keepNext w:val="0"/>
        <w:numPr>
          <w:ilvl w:val="0"/>
          <w:numId w:val="84"/>
        </w:numPr>
        <w:spacing w:beforeLines="40" w:before="96" w:after="0" w:line="22" w:lineRule="atLeast"/>
        <w:rPr>
          <w:noProof/>
        </w:rPr>
      </w:pPr>
      <w:r>
        <w:rPr>
          <w:noProof/>
        </w:rPr>
        <w:t>Dezvoltarea și lansarea portalului pentru teritorii inteligente. Acest portal dispune de un registru online de informații relevante la nivel local, regional și național, cum ar fi bunele practici, orientările, informațiile privind standardele, actele cu putere de lege și normele administrative, precum și informații privind sursele de finanțare a proiectelor.</w:t>
      </w:r>
    </w:p>
    <w:p w14:paraId="12D7477F" w14:textId="6BE4E225" w:rsidR="00A15990" w:rsidRDefault="00686A62">
      <w:pPr>
        <w:pStyle w:val="ListParagraph"/>
        <w:keepNext w:val="0"/>
        <w:numPr>
          <w:ilvl w:val="0"/>
          <w:numId w:val="84"/>
        </w:numPr>
        <w:spacing w:beforeLines="40" w:before="96" w:after="0" w:line="22" w:lineRule="atLeast"/>
        <w:rPr>
          <w:noProof/>
        </w:rPr>
      </w:pPr>
      <w:r>
        <w:rPr>
          <w:noProof/>
        </w:rPr>
        <w:t xml:space="preserve">Dezvoltarea, lansarea sau modernizarea platformelor de management urban (UMP) în 75 municipalități și Comunidades Intermunicipais/Areas Metropolitanas, inclusiv digitalizarea procedurilor privind locuințele și amenajarea teritoriului. </w:t>
      </w:r>
    </w:p>
    <w:p w14:paraId="61C1C578" w14:textId="29C677AC" w:rsidR="00A15990" w:rsidRDefault="00686A62">
      <w:pPr>
        <w:pStyle w:val="ListParagraph"/>
        <w:keepNext w:val="0"/>
        <w:numPr>
          <w:ilvl w:val="0"/>
          <w:numId w:val="84"/>
        </w:numPr>
        <w:spacing w:beforeLines="40" w:before="96" w:after="0" w:line="22" w:lineRule="atLeast"/>
        <w:rPr>
          <w:noProof/>
        </w:rPr>
      </w:pPr>
      <w:r>
        <w:rPr>
          <w:noProof/>
        </w:rPr>
        <w:t xml:space="preserve">Dezvoltarea gemenilor digitali (reprezentarea digitală a unui produs fizic, sistem sau proces intenționat sau real din lumea reală, în scopuri practice) în domenii naționale prioritare, cum ar fi apa și agricultura, reziliența la schimbările climatice, mobilitatea și decarbonizarea, sănătatea, energia, turismul, protecția civilă. </w:t>
      </w:r>
    </w:p>
    <w:p w14:paraId="61C1750B" w14:textId="479FE5E9" w:rsidR="00A15990" w:rsidRDefault="00686A62">
      <w:pPr>
        <w:pStyle w:val="ListParagraph"/>
        <w:keepNext w:val="0"/>
        <w:numPr>
          <w:ilvl w:val="0"/>
          <w:numId w:val="84"/>
        </w:numPr>
        <w:spacing w:beforeLines="40" w:before="96" w:after="0" w:line="22" w:lineRule="atLeast"/>
        <w:rPr>
          <w:noProof/>
        </w:rPr>
      </w:pPr>
      <w:r>
        <w:rPr>
          <w:noProof/>
        </w:rPr>
        <w:t xml:space="preserve">Elaborarea și lansarea unui tablou de bord al politicilor publice pentru a sprijini procesul decizional politic al actorilor publici de la diferite niveluri ierarhice, cu informații sistematice și actualizate. </w:t>
      </w:r>
    </w:p>
    <w:p w14:paraId="55B408C7" w14:textId="24E1FBE6" w:rsidR="00A15990" w:rsidRDefault="00686A62">
      <w:pPr>
        <w:pStyle w:val="ListParagraph"/>
        <w:keepNext w:val="0"/>
        <w:numPr>
          <w:ilvl w:val="0"/>
          <w:numId w:val="84"/>
        </w:numPr>
        <w:spacing w:beforeLines="40" w:before="96" w:after="0" w:line="22" w:lineRule="atLeast"/>
        <w:rPr>
          <w:noProof/>
        </w:rPr>
      </w:pPr>
      <w:r>
        <w:rPr>
          <w:noProof/>
        </w:rPr>
        <w:t>Dezvoltarea conținutului și furnizarea de formare privind colectarea și gestionarea datelor, standardele, standardele deschise, interfețele de programare a aplicațiilor și alte conținuturi legate de orașele și clădirile inteligente, precum și durabilitatea.</w:t>
      </w:r>
    </w:p>
    <w:p w14:paraId="7B990B4E" w14:textId="66208460" w:rsidR="00A15990" w:rsidRDefault="00686A62">
      <w:pPr>
        <w:pStyle w:val="P68B1DB1-Normal4"/>
        <w:spacing w:beforeLines="40" w:before="96" w:after="0" w:line="22" w:lineRule="atLeast"/>
        <w:jc w:val="both"/>
        <w:rPr>
          <w:rFonts w:cs="Times New Roman"/>
          <w:noProof/>
        </w:rPr>
      </w:pPr>
      <w:r>
        <w:rPr>
          <w:noProof/>
        </w:rPr>
        <w:t>Punerea în aplicare a investiției se va finaliza până la 30 iunie 2026.</w:t>
      </w:r>
    </w:p>
    <w:p w14:paraId="681015AA"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77CC8938" w14:textId="77777777" w:rsidR="00A15990" w:rsidRDefault="00A15990">
      <w:pPr>
        <w:keepNext/>
        <w:spacing w:before="40" w:after="0" w:line="259" w:lineRule="auto"/>
        <w:rPr>
          <w:rFonts w:ascii="Times New Roman" w:eastAsiaTheme="minorEastAsia" w:hAnsi="Times New Roman" w:cs="Times New Roman"/>
          <w:noProof/>
          <w:sz w:val="24"/>
        </w:rPr>
        <w:sectPr w:rsidR="00A15990" w:rsidSect="00E00EDD">
          <w:headerReference w:type="even" r:id="rId342"/>
          <w:headerReference w:type="default" r:id="rId343"/>
          <w:footerReference w:type="even" r:id="rId344"/>
          <w:footerReference w:type="default" r:id="rId345"/>
          <w:headerReference w:type="first" r:id="rId346"/>
          <w:footerReference w:type="first" r:id="rId347"/>
          <w:pgSz w:w="11907" w:h="16839"/>
          <w:pgMar w:top="1134" w:right="1134" w:bottom="1134" w:left="1134" w:header="567" w:footer="567" w:gutter="0"/>
          <w:cols w:space="720"/>
          <w:docGrid w:linePitch="360"/>
        </w:sectPr>
      </w:pPr>
    </w:p>
    <w:p w14:paraId="7CB91F94"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 xml:space="preserve">S.2. </w:t>
      </w:r>
      <w:r>
        <w:rPr>
          <w:noProof/>
        </w:rPr>
        <w:tab/>
        <w:t>Obiective de etapă, ținte, indicatori și calendar pentru monitorizarea și punerea în aplicare a sprijinului financiar nerambursabil</w:t>
      </w:r>
    </w:p>
    <w:p w14:paraId="64FD62E1"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186"/>
        <w:gridCol w:w="1058"/>
        <w:gridCol w:w="1573"/>
        <w:gridCol w:w="1314"/>
        <w:gridCol w:w="1110"/>
        <w:gridCol w:w="928"/>
        <w:gridCol w:w="670"/>
        <w:gridCol w:w="542"/>
        <w:gridCol w:w="670"/>
        <w:gridCol w:w="4347"/>
      </w:tblGrid>
      <w:tr w:rsidR="00A15990" w14:paraId="088C7A32" w14:textId="77777777">
        <w:trPr>
          <w:trHeight w:val="910"/>
          <w:tblHeader/>
        </w:trPr>
        <w:tc>
          <w:tcPr>
            <w:tcW w:w="1082" w:type="dxa"/>
            <w:vMerge w:val="restart"/>
            <w:shd w:val="clear" w:color="auto" w:fill="BDD6EE"/>
            <w:vAlign w:val="center"/>
            <w:hideMark/>
          </w:tcPr>
          <w:p w14:paraId="67C74427"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11" w:type="dxa"/>
            <w:vMerge w:val="restart"/>
            <w:shd w:val="clear" w:color="auto" w:fill="BDD6EE"/>
            <w:vAlign w:val="center"/>
            <w:hideMark/>
          </w:tcPr>
          <w:p w14:paraId="628E7404"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080" w:type="dxa"/>
            <w:vMerge w:val="restart"/>
            <w:shd w:val="clear" w:color="auto" w:fill="BDD6EE"/>
            <w:vAlign w:val="center"/>
            <w:hideMark/>
          </w:tcPr>
          <w:p w14:paraId="0E05B438" w14:textId="01A812B8"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br/>
              <w:t>Țintă</w:t>
            </w:r>
          </w:p>
        </w:tc>
        <w:tc>
          <w:tcPr>
            <w:tcW w:w="1609" w:type="dxa"/>
            <w:vMerge w:val="restart"/>
            <w:shd w:val="clear" w:color="auto" w:fill="BDD6EE"/>
            <w:vAlign w:val="center"/>
            <w:hideMark/>
          </w:tcPr>
          <w:p w14:paraId="0BDF7800" w14:textId="77777777" w:rsidR="00A15990" w:rsidRDefault="00686A62">
            <w:pPr>
              <w:pStyle w:val="P68B1DB1-Normal6"/>
              <w:spacing w:after="0" w:line="240" w:lineRule="auto"/>
              <w:jc w:val="center"/>
              <w:rPr>
                <w:rFonts w:eastAsia="Times New Roman" w:cs="Times New Roman"/>
                <w:noProof/>
              </w:rPr>
            </w:pPr>
            <w:r>
              <w:rPr>
                <w:noProof/>
              </w:rPr>
              <w:t>Nume</w:t>
            </w:r>
          </w:p>
        </w:tc>
        <w:tc>
          <w:tcPr>
            <w:tcW w:w="1343" w:type="dxa"/>
            <w:vMerge w:val="restart"/>
            <w:shd w:val="clear" w:color="auto" w:fill="BDD6EE"/>
            <w:vAlign w:val="center"/>
            <w:hideMark/>
          </w:tcPr>
          <w:p w14:paraId="170B5F8F"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444" w:type="dxa"/>
            <w:gridSpan w:val="3"/>
            <w:shd w:val="clear" w:color="auto" w:fill="BDD6EE"/>
            <w:vAlign w:val="center"/>
            <w:hideMark/>
          </w:tcPr>
          <w:p w14:paraId="2A5DB656"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32" w:type="dxa"/>
            <w:gridSpan w:val="2"/>
            <w:shd w:val="clear" w:color="auto" w:fill="BDD6EE"/>
            <w:vAlign w:val="center"/>
            <w:hideMark/>
          </w:tcPr>
          <w:p w14:paraId="6828BC5C"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4458" w:type="dxa"/>
            <w:vMerge w:val="restart"/>
            <w:shd w:val="clear" w:color="auto" w:fill="BDD6EE"/>
            <w:vAlign w:val="center"/>
            <w:hideMark/>
          </w:tcPr>
          <w:p w14:paraId="7DCEFB52"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4548F8B7" w14:textId="77777777">
        <w:trPr>
          <w:trHeight w:val="470"/>
          <w:tblHeader/>
        </w:trPr>
        <w:tc>
          <w:tcPr>
            <w:tcW w:w="1082" w:type="dxa"/>
            <w:vMerge/>
            <w:vAlign w:val="center"/>
            <w:hideMark/>
          </w:tcPr>
          <w:p w14:paraId="103877F4" w14:textId="77777777" w:rsidR="00A15990" w:rsidRDefault="00A15990">
            <w:pPr>
              <w:spacing w:after="0" w:line="240" w:lineRule="auto"/>
              <w:rPr>
                <w:rFonts w:ascii="Times New Roman" w:eastAsia="Times New Roman" w:hAnsi="Times New Roman" w:cs="Times New Roman"/>
                <w:b/>
                <w:noProof/>
                <w:sz w:val="18"/>
              </w:rPr>
            </w:pPr>
          </w:p>
        </w:tc>
        <w:tc>
          <w:tcPr>
            <w:tcW w:w="1211" w:type="dxa"/>
            <w:vMerge/>
            <w:vAlign w:val="center"/>
            <w:hideMark/>
          </w:tcPr>
          <w:p w14:paraId="615E906C" w14:textId="77777777" w:rsidR="00A15990" w:rsidRDefault="00A15990">
            <w:pPr>
              <w:spacing w:after="0" w:line="240" w:lineRule="auto"/>
              <w:rPr>
                <w:rFonts w:ascii="Times New Roman" w:eastAsia="Times New Roman" w:hAnsi="Times New Roman" w:cs="Times New Roman"/>
                <w:b/>
                <w:noProof/>
                <w:sz w:val="18"/>
              </w:rPr>
            </w:pPr>
          </w:p>
        </w:tc>
        <w:tc>
          <w:tcPr>
            <w:tcW w:w="1080" w:type="dxa"/>
            <w:vMerge/>
            <w:vAlign w:val="center"/>
            <w:hideMark/>
          </w:tcPr>
          <w:p w14:paraId="03D775B3" w14:textId="2BE8587E" w:rsidR="00A15990" w:rsidRDefault="00A15990">
            <w:pPr>
              <w:spacing w:after="0" w:line="240" w:lineRule="auto"/>
              <w:jc w:val="center"/>
              <w:rPr>
                <w:rFonts w:ascii="Times New Roman" w:eastAsia="Times New Roman" w:hAnsi="Times New Roman" w:cs="Times New Roman"/>
                <w:b/>
                <w:noProof/>
                <w:sz w:val="18"/>
              </w:rPr>
            </w:pPr>
          </w:p>
        </w:tc>
        <w:tc>
          <w:tcPr>
            <w:tcW w:w="1609" w:type="dxa"/>
            <w:vMerge/>
            <w:vAlign w:val="center"/>
            <w:hideMark/>
          </w:tcPr>
          <w:p w14:paraId="7BCB0E2B" w14:textId="77777777" w:rsidR="00A15990" w:rsidRDefault="00A15990">
            <w:pPr>
              <w:spacing w:after="0" w:line="240" w:lineRule="auto"/>
              <w:rPr>
                <w:rFonts w:ascii="Times New Roman" w:eastAsia="Times New Roman" w:hAnsi="Times New Roman" w:cs="Times New Roman"/>
                <w:b/>
                <w:noProof/>
                <w:sz w:val="18"/>
              </w:rPr>
            </w:pPr>
          </w:p>
        </w:tc>
        <w:tc>
          <w:tcPr>
            <w:tcW w:w="1343" w:type="dxa"/>
            <w:vMerge/>
            <w:vAlign w:val="center"/>
            <w:hideMark/>
          </w:tcPr>
          <w:p w14:paraId="37EB8607" w14:textId="77777777" w:rsidR="00A15990" w:rsidRDefault="00A15990">
            <w:pPr>
              <w:spacing w:after="0" w:line="240" w:lineRule="auto"/>
              <w:rPr>
                <w:rFonts w:ascii="Times New Roman" w:eastAsia="Times New Roman" w:hAnsi="Times New Roman" w:cs="Times New Roman"/>
                <w:b/>
                <w:noProof/>
                <w:sz w:val="18"/>
              </w:rPr>
            </w:pPr>
          </w:p>
        </w:tc>
        <w:tc>
          <w:tcPr>
            <w:tcW w:w="1134" w:type="dxa"/>
            <w:shd w:val="clear" w:color="auto" w:fill="BDD6EE"/>
            <w:vAlign w:val="center"/>
            <w:hideMark/>
          </w:tcPr>
          <w:p w14:paraId="61817E80"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47" w:type="dxa"/>
            <w:shd w:val="clear" w:color="auto" w:fill="BDD6EE"/>
            <w:vAlign w:val="center"/>
            <w:hideMark/>
          </w:tcPr>
          <w:p w14:paraId="3FDEEB09"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682" w:type="dxa"/>
            <w:shd w:val="clear" w:color="auto" w:fill="BDD6EE"/>
            <w:vAlign w:val="center"/>
            <w:hideMark/>
          </w:tcPr>
          <w:p w14:paraId="65EB9FBE"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50" w:type="dxa"/>
            <w:shd w:val="clear" w:color="auto" w:fill="BDD6EE"/>
            <w:vAlign w:val="center"/>
            <w:hideMark/>
          </w:tcPr>
          <w:p w14:paraId="1B5C364F" w14:textId="77777777" w:rsidR="00A15990" w:rsidRDefault="00686A62">
            <w:pPr>
              <w:pStyle w:val="P68B1DB1-Normal6"/>
              <w:spacing w:after="0" w:line="240" w:lineRule="auto"/>
              <w:jc w:val="center"/>
              <w:rPr>
                <w:rFonts w:eastAsia="Times New Roman" w:cs="Times New Roman"/>
                <w:noProof/>
              </w:rPr>
            </w:pPr>
            <w:r>
              <w:rPr>
                <w:noProof/>
              </w:rPr>
              <w:t>Q</w:t>
            </w:r>
          </w:p>
        </w:tc>
        <w:tc>
          <w:tcPr>
            <w:tcW w:w="682" w:type="dxa"/>
            <w:shd w:val="clear" w:color="auto" w:fill="BDD6EE"/>
            <w:vAlign w:val="center"/>
            <w:hideMark/>
          </w:tcPr>
          <w:p w14:paraId="3B9C38F6" w14:textId="77777777" w:rsidR="00A15990" w:rsidRDefault="00686A62">
            <w:pPr>
              <w:pStyle w:val="P68B1DB1-Normal6"/>
              <w:spacing w:after="0" w:line="240" w:lineRule="auto"/>
              <w:jc w:val="center"/>
              <w:rPr>
                <w:rFonts w:eastAsia="Times New Roman" w:cs="Times New Roman"/>
                <w:noProof/>
              </w:rPr>
            </w:pPr>
            <w:r>
              <w:rPr>
                <w:noProof/>
              </w:rPr>
              <w:t>Anul</w:t>
            </w:r>
          </w:p>
        </w:tc>
        <w:tc>
          <w:tcPr>
            <w:tcW w:w="4458" w:type="dxa"/>
            <w:vMerge/>
            <w:vAlign w:val="center"/>
            <w:hideMark/>
          </w:tcPr>
          <w:p w14:paraId="7341FB0C" w14:textId="77777777" w:rsidR="00A15990" w:rsidRDefault="00A15990">
            <w:pPr>
              <w:spacing w:after="0" w:line="240" w:lineRule="auto"/>
              <w:rPr>
                <w:rFonts w:ascii="Times New Roman" w:eastAsia="Times New Roman" w:hAnsi="Times New Roman" w:cs="Times New Roman"/>
                <w:b/>
                <w:noProof/>
                <w:sz w:val="18"/>
              </w:rPr>
            </w:pPr>
          </w:p>
        </w:tc>
      </w:tr>
      <w:tr w:rsidR="00A15990" w14:paraId="1E167ECE" w14:textId="77777777">
        <w:trPr>
          <w:trHeight w:val="420"/>
        </w:trPr>
        <w:tc>
          <w:tcPr>
            <w:tcW w:w="1082" w:type="dxa"/>
            <w:shd w:val="clear" w:color="auto" w:fill="C4EFCE"/>
            <w:vAlign w:val="center"/>
            <w:hideMark/>
          </w:tcPr>
          <w:p w14:paraId="1B7A59FA" w14:textId="77777777" w:rsidR="00A15990" w:rsidRDefault="00686A62">
            <w:pPr>
              <w:pStyle w:val="P68B1DB1-Normal7"/>
              <w:spacing w:after="0" w:line="240" w:lineRule="auto"/>
              <w:jc w:val="center"/>
              <w:rPr>
                <w:rFonts w:eastAsia="Times New Roman" w:cs="Calibri"/>
                <w:noProof/>
              </w:rPr>
            </w:pPr>
            <w:r>
              <w:rPr>
                <w:noProof/>
              </w:rPr>
              <w:t>19.1</w:t>
            </w:r>
          </w:p>
        </w:tc>
        <w:tc>
          <w:tcPr>
            <w:tcW w:w="1211" w:type="dxa"/>
            <w:shd w:val="clear" w:color="auto" w:fill="C4EFCE"/>
            <w:noWrap/>
            <w:vAlign w:val="center"/>
            <w:hideMark/>
          </w:tcPr>
          <w:p w14:paraId="3FDA88F6" w14:textId="77777777" w:rsidR="00A15990" w:rsidRDefault="00686A62">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3DC52799"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F8CF771" w14:textId="77777777" w:rsidR="00A15990" w:rsidRDefault="00686A62">
            <w:pPr>
              <w:pStyle w:val="P68B1DB1-Normal8"/>
              <w:spacing w:after="0" w:line="240" w:lineRule="auto"/>
              <w:jc w:val="center"/>
              <w:rPr>
                <w:rFonts w:eastAsia="Times New Roman" w:cs="Calibri"/>
                <w:noProof/>
              </w:rPr>
            </w:pPr>
            <w:r>
              <w:rPr>
                <w:noProof/>
              </w:rPr>
              <w:t>Servicii publice disponibile în mod simplificat și coerent prin diferite canale</w:t>
            </w:r>
          </w:p>
        </w:tc>
        <w:tc>
          <w:tcPr>
            <w:tcW w:w="1343" w:type="dxa"/>
            <w:shd w:val="clear" w:color="auto" w:fill="C4EFCE"/>
            <w:noWrap/>
            <w:vAlign w:val="center"/>
            <w:hideMark/>
          </w:tcPr>
          <w:p w14:paraId="6DFD823D"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317A5659"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3D4F554C"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7880A98" w14:textId="77777777" w:rsidR="00A15990" w:rsidRDefault="00686A62">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290B35B9" w14:textId="77777777"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hideMark/>
          </w:tcPr>
          <w:p w14:paraId="2E18BF24" w14:textId="77777777" w:rsidR="00A15990" w:rsidRDefault="00686A62">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2F2A0419" w14:textId="77777777" w:rsidR="00A15990" w:rsidRDefault="00686A62">
            <w:pPr>
              <w:pStyle w:val="P68B1DB1-Normal8"/>
              <w:spacing w:after="0" w:line="240" w:lineRule="auto"/>
              <w:jc w:val="both"/>
              <w:rPr>
                <w:rFonts w:eastAsia="Times New Roman" w:cs="Calibri"/>
                <w:noProof/>
              </w:rPr>
            </w:pPr>
            <w:r>
              <w:rPr>
                <w:noProof/>
              </w:rPr>
              <w:t xml:space="preserve">Numărul de servicii care sunt înregistrate în Catalogul consolidat al entităților și al serviciilor și care sunt disponibile prin intermediul mai multor canale: portalul unic al serviciilor digitale, centrul de contact, </w:t>
            </w:r>
            <w:r>
              <w:rPr>
                <w:i/>
                <w:noProof/>
              </w:rPr>
              <w:t>Lojas do Cidadão</w:t>
            </w:r>
            <w:r>
              <w:rPr>
                <w:noProof/>
              </w:rPr>
              <w:t xml:space="preserve"> / </w:t>
            </w:r>
            <w:r>
              <w:rPr>
                <w:i/>
                <w:noProof/>
              </w:rPr>
              <w:t>Espaços Cidadão</w:t>
            </w:r>
            <w:r>
              <w:rPr>
                <w:noProof/>
              </w:rPr>
              <w:t xml:space="preserve">. </w:t>
            </w:r>
          </w:p>
          <w:p w14:paraId="0669A61E" w14:textId="66964D8D" w:rsidR="00A15990" w:rsidRDefault="00686A62">
            <w:pPr>
              <w:pStyle w:val="P68B1DB1-Normal8"/>
              <w:spacing w:after="0" w:line="240" w:lineRule="auto"/>
              <w:jc w:val="both"/>
              <w:rPr>
                <w:rFonts w:eastAsia="Times New Roman" w:cs="Calibri"/>
                <w:noProof/>
              </w:rPr>
            </w:pPr>
            <w:r>
              <w:rPr>
                <w:noProof/>
              </w:rPr>
              <w:t>Acest indicator implică reproiectarea acestor servicii în conformitate cu principiul „o singură dată” și punerea lor la dispoziție în cadrul unei abordări omnicanice.</w:t>
            </w:r>
          </w:p>
        </w:tc>
      </w:tr>
      <w:tr w:rsidR="00A15990" w14:paraId="5047912C" w14:textId="77777777">
        <w:trPr>
          <w:trHeight w:val="420"/>
        </w:trPr>
        <w:tc>
          <w:tcPr>
            <w:tcW w:w="1082" w:type="dxa"/>
            <w:shd w:val="clear" w:color="auto" w:fill="C4EFCE"/>
            <w:vAlign w:val="center"/>
            <w:hideMark/>
          </w:tcPr>
          <w:p w14:paraId="313C63A5" w14:textId="77777777" w:rsidR="00A15990" w:rsidRDefault="00686A62">
            <w:pPr>
              <w:pStyle w:val="P68B1DB1-Normal7"/>
              <w:spacing w:after="0" w:line="240" w:lineRule="auto"/>
              <w:jc w:val="center"/>
              <w:rPr>
                <w:rFonts w:eastAsia="Times New Roman" w:cs="Calibri"/>
                <w:noProof/>
              </w:rPr>
            </w:pPr>
            <w:r>
              <w:rPr>
                <w:noProof/>
              </w:rPr>
              <w:t>19.2</w:t>
            </w:r>
          </w:p>
        </w:tc>
        <w:tc>
          <w:tcPr>
            <w:tcW w:w="1211" w:type="dxa"/>
            <w:shd w:val="clear" w:color="auto" w:fill="C4EFCE"/>
            <w:noWrap/>
            <w:vAlign w:val="center"/>
            <w:hideMark/>
          </w:tcPr>
          <w:p w14:paraId="74C76E9B" w14:textId="77777777" w:rsidR="00A15990" w:rsidRDefault="00686A62">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21EB2875"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557BE133" w14:textId="77777777" w:rsidR="00A15990" w:rsidRDefault="00686A62">
            <w:pPr>
              <w:pStyle w:val="P68B1DB1-Normal8"/>
              <w:spacing w:after="0" w:line="240" w:lineRule="auto"/>
              <w:jc w:val="center"/>
              <w:rPr>
                <w:rFonts w:eastAsia="Times New Roman" w:cs="Calibri"/>
                <w:noProof/>
              </w:rPr>
            </w:pPr>
            <w:r>
              <w:rPr>
                <w:noProof/>
              </w:rPr>
              <w:t>Servicii publice disponibile în mod simplificat și coerent prin diferite canale</w:t>
            </w:r>
          </w:p>
        </w:tc>
        <w:tc>
          <w:tcPr>
            <w:tcW w:w="1343" w:type="dxa"/>
            <w:shd w:val="clear" w:color="auto" w:fill="C4EFCE"/>
            <w:noWrap/>
            <w:vAlign w:val="center"/>
            <w:hideMark/>
          </w:tcPr>
          <w:p w14:paraId="0C7B536C"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23C0D4E"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04D75696" w14:textId="77777777" w:rsidR="00A15990" w:rsidRDefault="00686A62">
            <w:pPr>
              <w:pStyle w:val="P68B1DB1-Normal8"/>
              <w:spacing w:after="0" w:line="240" w:lineRule="auto"/>
              <w:jc w:val="center"/>
              <w:rPr>
                <w:rFonts w:eastAsia="Times New Roman" w:cs="Calibri"/>
                <w:noProof/>
              </w:rPr>
            </w:pPr>
            <w:r>
              <w:rPr>
                <w:noProof/>
              </w:rPr>
              <w:t>5</w:t>
            </w:r>
          </w:p>
        </w:tc>
        <w:tc>
          <w:tcPr>
            <w:tcW w:w="682" w:type="dxa"/>
            <w:shd w:val="clear" w:color="auto" w:fill="C4EFCE"/>
            <w:noWrap/>
            <w:vAlign w:val="center"/>
            <w:hideMark/>
          </w:tcPr>
          <w:p w14:paraId="542165AC" w14:textId="77777777" w:rsidR="00A15990" w:rsidRDefault="00686A62">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204665A2"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47B5ABC7"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6A62EF75" w14:textId="77777777" w:rsidR="00A15990" w:rsidRDefault="00686A62">
            <w:pPr>
              <w:pStyle w:val="P68B1DB1-Normal8"/>
              <w:spacing w:after="0" w:line="240" w:lineRule="auto"/>
              <w:jc w:val="both"/>
              <w:rPr>
                <w:rFonts w:eastAsia="Times New Roman" w:cs="Calibri"/>
                <w:noProof/>
              </w:rPr>
            </w:pPr>
            <w:r>
              <w:rPr>
                <w:noProof/>
              </w:rPr>
              <w:t xml:space="preserve">Numărul de servicii care sunt înregistrate în Catalogul consolidat al entităților și al serviciilor și care sunt disponibile prin intermediul mai multor canale: portalul unic al serviciilor digitale, centrul de contact, </w:t>
            </w:r>
            <w:r>
              <w:rPr>
                <w:i/>
                <w:noProof/>
              </w:rPr>
              <w:t>Lojas do Cidadão</w:t>
            </w:r>
            <w:r>
              <w:rPr>
                <w:noProof/>
              </w:rPr>
              <w:t xml:space="preserve"> / </w:t>
            </w:r>
            <w:r>
              <w:rPr>
                <w:i/>
                <w:noProof/>
              </w:rPr>
              <w:t>Espaços Cidadão</w:t>
            </w:r>
            <w:r>
              <w:rPr>
                <w:noProof/>
              </w:rPr>
              <w:t xml:space="preserve">. </w:t>
            </w:r>
          </w:p>
          <w:p w14:paraId="1F8BC66A" w14:textId="3E0F41FA" w:rsidR="00A15990" w:rsidRDefault="00686A62">
            <w:pPr>
              <w:pStyle w:val="P68B1DB1-Normal8"/>
              <w:spacing w:after="0" w:line="240" w:lineRule="auto"/>
              <w:jc w:val="both"/>
              <w:rPr>
                <w:rFonts w:eastAsia="Times New Roman" w:cs="Calibri"/>
                <w:noProof/>
              </w:rPr>
            </w:pPr>
            <w:r>
              <w:rPr>
                <w:noProof/>
              </w:rPr>
              <w:t>Acest indicator implică reproiectarea acestor servicii în conformitate cu principiul „o singură dată” și punerea lor la dispoziție în cadrul unei abordări omnicanice.</w:t>
            </w:r>
          </w:p>
        </w:tc>
      </w:tr>
      <w:tr w:rsidR="00A15990" w14:paraId="27972876" w14:textId="77777777">
        <w:trPr>
          <w:trHeight w:val="290"/>
        </w:trPr>
        <w:tc>
          <w:tcPr>
            <w:tcW w:w="1082" w:type="dxa"/>
            <w:shd w:val="clear" w:color="auto" w:fill="C4EFCE"/>
            <w:vAlign w:val="center"/>
            <w:hideMark/>
          </w:tcPr>
          <w:p w14:paraId="0B0D05C4" w14:textId="77777777" w:rsidR="00A15990" w:rsidRDefault="00686A62">
            <w:pPr>
              <w:pStyle w:val="P68B1DB1-Normal7"/>
              <w:spacing w:after="0" w:line="240" w:lineRule="auto"/>
              <w:jc w:val="center"/>
              <w:rPr>
                <w:rFonts w:eastAsia="Times New Roman" w:cs="Calibri"/>
                <w:noProof/>
              </w:rPr>
            </w:pPr>
            <w:r>
              <w:rPr>
                <w:noProof/>
              </w:rPr>
              <w:t>19.3</w:t>
            </w:r>
          </w:p>
        </w:tc>
        <w:tc>
          <w:tcPr>
            <w:tcW w:w="1211" w:type="dxa"/>
            <w:shd w:val="clear" w:color="auto" w:fill="C4EFCE"/>
            <w:noWrap/>
            <w:vAlign w:val="center"/>
            <w:hideMark/>
          </w:tcPr>
          <w:p w14:paraId="0DA2F717" w14:textId="77777777" w:rsidR="00A15990" w:rsidRDefault="00686A62">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hideMark/>
          </w:tcPr>
          <w:p w14:paraId="3FEDE5E4"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24992453" w14:textId="77777777" w:rsidR="00A15990" w:rsidRDefault="00686A62">
            <w:pPr>
              <w:pStyle w:val="P68B1DB1-Normal8"/>
              <w:spacing w:after="0" w:line="240" w:lineRule="auto"/>
              <w:jc w:val="center"/>
              <w:rPr>
                <w:rFonts w:eastAsia="Times New Roman" w:cs="Calibri"/>
                <w:noProof/>
              </w:rPr>
            </w:pPr>
            <w:r>
              <w:rPr>
                <w:noProof/>
              </w:rPr>
              <w:t>Instituirea unui nou model de gestionare consulară</w:t>
            </w:r>
          </w:p>
        </w:tc>
        <w:tc>
          <w:tcPr>
            <w:tcW w:w="1343" w:type="dxa"/>
            <w:shd w:val="clear" w:color="auto" w:fill="C4EFCE"/>
            <w:noWrap/>
            <w:vAlign w:val="center"/>
            <w:hideMark/>
          </w:tcPr>
          <w:p w14:paraId="221340B2" w14:textId="77777777" w:rsidR="00A15990" w:rsidRDefault="00686A62">
            <w:pPr>
              <w:pStyle w:val="P68B1DB1-Normal8"/>
              <w:spacing w:after="0" w:line="240" w:lineRule="auto"/>
              <w:jc w:val="center"/>
              <w:rPr>
                <w:rFonts w:eastAsia="Times New Roman" w:cs="Calibri"/>
                <w:noProof/>
              </w:rPr>
            </w:pPr>
            <w:r>
              <w:rPr>
                <w:noProof/>
              </w:rPr>
              <w:t>Instituirea unui nou model de gestionare consulară</w:t>
            </w:r>
          </w:p>
        </w:tc>
        <w:tc>
          <w:tcPr>
            <w:tcW w:w="1134" w:type="dxa"/>
            <w:shd w:val="clear" w:color="auto" w:fill="C4EFCE"/>
            <w:noWrap/>
            <w:vAlign w:val="center"/>
            <w:hideMark/>
          </w:tcPr>
          <w:p w14:paraId="57A5BD83" w14:textId="77777777" w:rsidR="00A15990" w:rsidRDefault="00686A62">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0C64240F" w14:textId="77777777" w:rsidR="00A15990" w:rsidRDefault="00686A62">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78C80247" w14:textId="77777777" w:rsidR="00A15990" w:rsidRDefault="00686A62">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2C0C4BCA"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6EC450BB"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6DC3E91" w14:textId="77777777" w:rsidR="00A15990" w:rsidRDefault="00686A62">
            <w:pPr>
              <w:pStyle w:val="P68B1DB1-Normal8"/>
              <w:spacing w:after="0" w:line="240" w:lineRule="auto"/>
              <w:jc w:val="both"/>
              <w:rPr>
                <w:rFonts w:eastAsia="Calibri" w:cs="Calibri"/>
                <w:noProof/>
              </w:rPr>
            </w:pPr>
            <w:r>
              <w:rPr>
                <w:noProof/>
              </w:rPr>
              <w:t xml:space="preserve">Punerea în aplicare integrală a noului model de gestionare consulară: </w:t>
            </w:r>
          </w:p>
          <w:p w14:paraId="1B8817E6" w14:textId="77777777" w:rsidR="00A15990" w:rsidRDefault="00686A62">
            <w:pPr>
              <w:pStyle w:val="P68B1DB1-Normal8"/>
              <w:spacing w:after="0" w:line="240" w:lineRule="auto"/>
              <w:jc w:val="both"/>
              <w:rPr>
                <w:rFonts w:eastAsia="Calibri" w:cs="Calibri"/>
                <w:noProof/>
              </w:rPr>
            </w:pPr>
            <w:r>
              <w:rPr>
                <w:noProof/>
              </w:rPr>
              <w:t xml:space="preserve">servicii consulare solicitate puse la dispoziția resortisanților/cetățenilor străini din străinătate, 80 % din serviciile furnizate de Ministerul Afacerilor Externe fiind digitalizate; </w:t>
            </w:r>
          </w:p>
          <w:p w14:paraId="7C5A19A7" w14:textId="49C1668D" w:rsidR="00A15990" w:rsidRDefault="00686A62">
            <w:pPr>
              <w:pStyle w:val="P68B1DB1-Normal8"/>
              <w:spacing w:after="0" w:line="240" w:lineRule="auto"/>
              <w:jc w:val="both"/>
              <w:rPr>
                <w:rFonts w:eastAsia="Times New Roman" w:cs="Calibri"/>
                <w:noProof/>
              </w:rPr>
            </w:pPr>
            <w:r>
              <w:rPr>
                <w:noProof/>
              </w:rPr>
              <w:t xml:space="preserve">(II) Funcționarea </w:t>
            </w:r>
            <w:r>
              <w:rPr>
                <w:i/>
                <w:noProof/>
              </w:rPr>
              <w:t>consulară a Centro de Atendimento</w:t>
            </w:r>
            <w:r>
              <w:rPr>
                <w:noProof/>
              </w:rPr>
              <w:t xml:space="preserve"> și disponibilă în cel puțin 15 țări.</w:t>
            </w:r>
          </w:p>
        </w:tc>
      </w:tr>
      <w:tr w:rsidR="00A15990" w14:paraId="42D2A359" w14:textId="77777777">
        <w:trPr>
          <w:trHeight w:val="290"/>
        </w:trPr>
        <w:tc>
          <w:tcPr>
            <w:tcW w:w="1082" w:type="dxa"/>
            <w:shd w:val="clear" w:color="auto" w:fill="C4EFCE"/>
            <w:vAlign w:val="center"/>
          </w:tcPr>
          <w:p w14:paraId="4C161EC7" w14:textId="4D567DD7" w:rsidR="00A15990" w:rsidRDefault="00686A62">
            <w:pPr>
              <w:pStyle w:val="P68B1DB1-Normal7"/>
              <w:spacing w:after="0" w:line="240" w:lineRule="auto"/>
              <w:jc w:val="center"/>
              <w:rPr>
                <w:rFonts w:eastAsia="Times New Roman" w:cs="Calibri"/>
                <w:noProof/>
              </w:rPr>
            </w:pPr>
            <w:r>
              <w:rPr>
                <w:noProof/>
              </w:rPr>
              <w:t>19.25</w:t>
            </w:r>
          </w:p>
        </w:tc>
        <w:tc>
          <w:tcPr>
            <w:tcW w:w="1211" w:type="dxa"/>
            <w:shd w:val="clear" w:color="auto" w:fill="C4EFCE"/>
            <w:noWrap/>
            <w:vAlign w:val="center"/>
          </w:tcPr>
          <w:p w14:paraId="07A7A65E" w14:textId="3F4583C4" w:rsidR="00A15990" w:rsidRDefault="00686A62">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45A6111B" w14:textId="49684DBC"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0EEB120D" w14:textId="7DE3216A" w:rsidR="00A15990" w:rsidRDefault="00686A62">
            <w:pPr>
              <w:pStyle w:val="P68B1DB1-Normal8"/>
              <w:spacing w:after="0" w:line="240" w:lineRule="auto"/>
              <w:jc w:val="center"/>
              <w:rPr>
                <w:rFonts w:eastAsia="Times New Roman" w:cs="Calibri"/>
                <w:noProof/>
              </w:rPr>
            </w:pPr>
            <w:r>
              <w:rPr>
                <w:noProof/>
              </w:rPr>
              <w:t>Semnarea protocoalelor pentru înființarea de noi magazine și spații pentru cetățeni</w:t>
            </w:r>
          </w:p>
        </w:tc>
        <w:tc>
          <w:tcPr>
            <w:tcW w:w="1343" w:type="dxa"/>
            <w:shd w:val="clear" w:color="auto" w:fill="C4EFCE"/>
            <w:noWrap/>
            <w:vAlign w:val="center"/>
          </w:tcPr>
          <w:p w14:paraId="6B203D02" w14:textId="3253C7C6" w:rsidR="00A15990" w:rsidRDefault="00686A62">
            <w:pPr>
              <w:pStyle w:val="P68B1DB1-Normal8"/>
              <w:spacing w:after="0" w:line="240" w:lineRule="auto"/>
              <w:jc w:val="center"/>
              <w:rPr>
                <w:rFonts w:eastAsia="Times New Roman" w:cs="Calibri"/>
                <w:noProof/>
              </w:rPr>
            </w:pPr>
            <w:r>
              <w:rPr>
                <w:noProof/>
              </w:rPr>
              <w:t>Protocoale semnate</w:t>
            </w:r>
          </w:p>
        </w:tc>
        <w:tc>
          <w:tcPr>
            <w:tcW w:w="1134" w:type="dxa"/>
            <w:shd w:val="clear" w:color="auto" w:fill="C4EFCE"/>
            <w:noWrap/>
            <w:vAlign w:val="center"/>
          </w:tcPr>
          <w:p w14:paraId="4ED17015" w14:textId="57284CD9" w:rsidR="00A15990" w:rsidRDefault="00A15990">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53C5C74B" w14:textId="638C6428" w:rsidR="00A15990" w:rsidRDefault="00A15990">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657B7723" w14:textId="6009BCC2" w:rsidR="00A15990" w:rsidRDefault="00A15990">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4C967353" w14:textId="5DB71238" w:rsidR="00A15990" w:rsidRDefault="00686A62">
            <w:pPr>
              <w:pStyle w:val="P68B1DB1-Normal8"/>
              <w:spacing w:after="0" w:line="240" w:lineRule="auto"/>
              <w:jc w:val="center"/>
              <w:rPr>
                <w:rFonts w:eastAsia="Times New Roman" w:cs="Calibri"/>
                <w:noProof/>
              </w:rPr>
            </w:pPr>
            <w:r>
              <w:rPr>
                <w:noProof/>
              </w:rPr>
              <w:t>TRIMESTRUL 3</w:t>
            </w:r>
          </w:p>
        </w:tc>
        <w:tc>
          <w:tcPr>
            <w:tcW w:w="682" w:type="dxa"/>
            <w:shd w:val="clear" w:color="auto" w:fill="C4EFCE"/>
            <w:noWrap/>
            <w:vAlign w:val="center"/>
          </w:tcPr>
          <w:p w14:paraId="42D3096C" w14:textId="45ACD52F" w:rsidR="00A15990" w:rsidRDefault="00686A62">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tcPr>
          <w:p w14:paraId="351D5F02" w14:textId="653F6769" w:rsidR="00A15990" w:rsidRDefault="00686A62">
            <w:pPr>
              <w:pStyle w:val="P68B1DB1-Normal8"/>
              <w:spacing w:after="0" w:line="240" w:lineRule="auto"/>
              <w:jc w:val="both"/>
              <w:rPr>
                <w:rFonts w:eastAsia="Calibri" w:cs="Calibri"/>
                <w:noProof/>
              </w:rPr>
            </w:pPr>
            <w:r>
              <w:rPr>
                <w:noProof/>
              </w:rPr>
              <w:t>Semnarea protocoalelor pentru înființarea a 31 noi magazine pentru cetățeni (</w:t>
            </w:r>
            <w:r>
              <w:rPr>
                <w:i/>
                <w:noProof/>
              </w:rPr>
              <w:t>Lojas de Cidadão</w:t>
            </w:r>
            <w:r>
              <w:rPr>
                <w:noProof/>
              </w:rPr>
              <w:t>) și a 400 noi spații pentru cetățeni (</w:t>
            </w:r>
            <w:r>
              <w:rPr>
                <w:i/>
                <w:noProof/>
              </w:rPr>
              <w:t>Espaços Cidadão</w:t>
            </w:r>
            <w:r>
              <w:rPr>
                <w:noProof/>
              </w:rPr>
              <w:t>)</w:t>
            </w:r>
          </w:p>
        </w:tc>
      </w:tr>
      <w:tr w:rsidR="00A15990" w14:paraId="408CD92E" w14:textId="77777777">
        <w:trPr>
          <w:trHeight w:val="290"/>
        </w:trPr>
        <w:tc>
          <w:tcPr>
            <w:tcW w:w="1082" w:type="dxa"/>
            <w:shd w:val="clear" w:color="auto" w:fill="C4EFCE"/>
            <w:vAlign w:val="center"/>
          </w:tcPr>
          <w:p w14:paraId="641766AF" w14:textId="4D443BCF" w:rsidR="00A15990" w:rsidRDefault="00686A62">
            <w:pPr>
              <w:pStyle w:val="P68B1DB1-Normal7"/>
              <w:spacing w:after="0" w:line="240" w:lineRule="auto"/>
              <w:jc w:val="center"/>
              <w:rPr>
                <w:rFonts w:eastAsia="Times New Roman" w:cs="Calibri"/>
                <w:noProof/>
              </w:rPr>
            </w:pPr>
            <w:r>
              <w:rPr>
                <w:noProof/>
              </w:rPr>
              <w:t>19.26</w:t>
            </w:r>
          </w:p>
        </w:tc>
        <w:tc>
          <w:tcPr>
            <w:tcW w:w="1211" w:type="dxa"/>
            <w:shd w:val="clear" w:color="auto" w:fill="C4EFCE"/>
            <w:noWrap/>
            <w:vAlign w:val="center"/>
          </w:tcPr>
          <w:p w14:paraId="70CB2BFA" w14:textId="4DB762B8" w:rsidR="00A15990" w:rsidRDefault="00686A62">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3D62FEF2" w14:textId="0F53039D"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19DB5DC3" w14:textId="2D88108E" w:rsidR="00A15990" w:rsidRDefault="00686A62">
            <w:pPr>
              <w:pStyle w:val="P68B1DB1-Normal8"/>
              <w:spacing w:after="0" w:line="240" w:lineRule="auto"/>
              <w:jc w:val="center"/>
              <w:rPr>
                <w:rFonts w:eastAsia="Times New Roman" w:cs="Calibri"/>
                <w:noProof/>
              </w:rPr>
            </w:pPr>
            <w:r>
              <w:rPr>
                <w:noProof/>
              </w:rPr>
              <w:t xml:space="preserve">Noi magazine și spații pentru cetățeni sunt operaționale. </w:t>
            </w:r>
          </w:p>
        </w:tc>
        <w:tc>
          <w:tcPr>
            <w:tcW w:w="1343" w:type="dxa"/>
            <w:shd w:val="clear" w:color="auto" w:fill="C4EFCE"/>
            <w:noWrap/>
            <w:vAlign w:val="center"/>
          </w:tcPr>
          <w:p w14:paraId="0FA8BF22" w14:textId="77777777" w:rsidR="00A15990" w:rsidRDefault="00A15990">
            <w:pPr>
              <w:spacing w:after="0" w:line="240" w:lineRule="auto"/>
              <w:jc w:val="center"/>
              <w:rPr>
                <w:rFonts w:ascii="Calibri" w:eastAsia="Times New Roman" w:hAnsi="Calibri" w:cs="Calibri"/>
                <w:noProof/>
                <w:sz w:val="16"/>
              </w:rPr>
            </w:pPr>
          </w:p>
        </w:tc>
        <w:tc>
          <w:tcPr>
            <w:tcW w:w="1134" w:type="dxa"/>
            <w:shd w:val="clear" w:color="auto" w:fill="C4EFCE"/>
            <w:noWrap/>
            <w:vAlign w:val="center"/>
          </w:tcPr>
          <w:p w14:paraId="57B94528" w14:textId="683E09C2"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tcPr>
          <w:p w14:paraId="799EE625" w14:textId="2F093CB5"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tcPr>
          <w:p w14:paraId="5FF018BE" w14:textId="106AAE71" w:rsidR="00A15990" w:rsidRDefault="00686A62">
            <w:pPr>
              <w:pStyle w:val="P68B1DB1-Normal8"/>
              <w:spacing w:after="0" w:line="240" w:lineRule="auto"/>
              <w:jc w:val="center"/>
              <w:rPr>
                <w:rFonts w:eastAsia="Times New Roman" w:cs="Calibri"/>
                <w:noProof/>
              </w:rPr>
            </w:pPr>
            <w:r>
              <w:rPr>
                <w:noProof/>
              </w:rPr>
              <w:t>431</w:t>
            </w:r>
          </w:p>
        </w:tc>
        <w:tc>
          <w:tcPr>
            <w:tcW w:w="550" w:type="dxa"/>
            <w:shd w:val="clear" w:color="auto" w:fill="C4EFCE"/>
            <w:noWrap/>
            <w:vAlign w:val="center"/>
          </w:tcPr>
          <w:p w14:paraId="18F2223E" w14:textId="67B2F1DA" w:rsidR="00A15990" w:rsidRDefault="00686A62">
            <w:pPr>
              <w:pStyle w:val="P68B1DB1-Normal8"/>
              <w:spacing w:after="0" w:line="240" w:lineRule="auto"/>
              <w:jc w:val="center"/>
              <w:rPr>
                <w:rFonts w:eastAsia="Times New Roman" w:cs="Calibri"/>
                <w:noProof/>
              </w:rPr>
            </w:pPr>
            <w:r>
              <w:rPr>
                <w:noProof/>
              </w:rPr>
              <w:t>TRIMESTRUL 2</w:t>
            </w:r>
          </w:p>
        </w:tc>
        <w:tc>
          <w:tcPr>
            <w:tcW w:w="682" w:type="dxa"/>
            <w:shd w:val="clear" w:color="auto" w:fill="C4EFCE"/>
            <w:noWrap/>
            <w:vAlign w:val="center"/>
          </w:tcPr>
          <w:p w14:paraId="1C18699C" w14:textId="56F51900"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tcPr>
          <w:p w14:paraId="6849E419" w14:textId="44B1A1B2" w:rsidR="00A15990" w:rsidRDefault="00686A62">
            <w:pPr>
              <w:pStyle w:val="P68B1DB1-Normal8"/>
              <w:spacing w:line="240" w:lineRule="auto"/>
              <w:rPr>
                <w:rFonts w:eastAsia="Times New Roman" w:cs="Calibri"/>
                <w:noProof/>
              </w:rPr>
            </w:pPr>
            <w:r>
              <w:rPr>
                <w:noProof/>
              </w:rPr>
              <w:t>Funcționează 31 de noi magazine pentru cetățeni</w:t>
            </w:r>
            <w:r>
              <w:rPr>
                <w:i/>
                <w:noProof/>
              </w:rPr>
              <w:t>(Lojas de Cidadão</w:t>
            </w:r>
            <w:r>
              <w:rPr>
                <w:noProof/>
              </w:rPr>
              <w:t>) și 400 noi spații pentru cetățeni (</w:t>
            </w:r>
            <w:r>
              <w:rPr>
                <w:i/>
                <w:noProof/>
              </w:rPr>
              <w:t>Espaços Cidadão</w:t>
            </w:r>
            <w:r>
              <w:rPr>
                <w:noProof/>
              </w:rPr>
              <w:t xml:space="preserve">).  </w:t>
            </w:r>
          </w:p>
          <w:p w14:paraId="6F984B47" w14:textId="3B47A9D3" w:rsidR="00A15990" w:rsidRDefault="00686A62">
            <w:pPr>
              <w:pStyle w:val="P68B1DB1-Normal8"/>
              <w:spacing w:line="240" w:lineRule="auto"/>
              <w:rPr>
                <w:rFonts w:eastAsia="Times New Roman" w:cs="Calibri"/>
                <w:noProof/>
              </w:rPr>
            </w:pPr>
            <w:r>
              <w:rPr>
                <w:noProof/>
              </w:rPr>
              <w:t>Clădirile noi trebuie să aibă un necesar de energie primară cu cel puțin 20 % mai mic decât standardul privind clădirile al căror consum de energie este aproape egal cu zero.</w:t>
            </w:r>
          </w:p>
        </w:tc>
      </w:tr>
      <w:tr w:rsidR="00A15990" w14:paraId="20304CE4" w14:textId="77777777">
        <w:trPr>
          <w:trHeight w:val="290"/>
        </w:trPr>
        <w:tc>
          <w:tcPr>
            <w:tcW w:w="1082" w:type="dxa"/>
            <w:shd w:val="clear" w:color="auto" w:fill="C4EFCE"/>
            <w:vAlign w:val="center"/>
          </w:tcPr>
          <w:p w14:paraId="3F6EF73B" w14:textId="54A6CD7F" w:rsidR="00A15990" w:rsidRDefault="00686A62">
            <w:pPr>
              <w:pStyle w:val="P68B1DB1-Normal7"/>
              <w:spacing w:after="0" w:line="240" w:lineRule="auto"/>
              <w:jc w:val="center"/>
              <w:rPr>
                <w:rFonts w:eastAsia="Times New Roman" w:cs="Calibri"/>
                <w:noProof/>
              </w:rPr>
            </w:pPr>
            <w:r>
              <w:rPr>
                <w:noProof/>
              </w:rPr>
              <w:t>19.27</w:t>
            </w:r>
          </w:p>
        </w:tc>
        <w:tc>
          <w:tcPr>
            <w:tcW w:w="1211" w:type="dxa"/>
            <w:shd w:val="clear" w:color="auto" w:fill="C4EFCE"/>
            <w:noWrap/>
            <w:vAlign w:val="center"/>
          </w:tcPr>
          <w:p w14:paraId="1F0F77AA" w14:textId="41ECE9F0" w:rsidR="00A15990" w:rsidRDefault="00686A62">
            <w:pPr>
              <w:pStyle w:val="P68B1DB1-Normal8"/>
              <w:spacing w:after="0" w:line="240" w:lineRule="auto"/>
              <w:jc w:val="center"/>
              <w:rPr>
                <w:rFonts w:eastAsia="Times New Roman" w:cs="Calibri"/>
                <w:noProof/>
              </w:rPr>
            </w:pPr>
            <w:r>
              <w:rPr>
                <w:noProof/>
              </w:rPr>
              <w:t>TD-C19-i01</w:t>
            </w:r>
          </w:p>
        </w:tc>
        <w:tc>
          <w:tcPr>
            <w:tcW w:w="1080" w:type="dxa"/>
            <w:shd w:val="clear" w:color="auto" w:fill="C4EFCE"/>
            <w:noWrap/>
            <w:vAlign w:val="center"/>
          </w:tcPr>
          <w:p w14:paraId="2F6E7772" w14:textId="38D77F2B"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3BE91D37" w14:textId="3B8C1000" w:rsidR="00A15990" w:rsidRDefault="00686A62">
            <w:pPr>
              <w:pStyle w:val="P68B1DB1-Normal8"/>
              <w:spacing w:after="0" w:line="240" w:lineRule="auto"/>
              <w:jc w:val="center"/>
              <w:rPr>
                <w:rFonts w:ascii="Arial" w:eastAsia="Arial" w:hAnsi="Arial" w:cs="Arial"/>
                <w:noProof/>
                <w:sz w:val="15"/>
              </w:rPr>
            </w:pPr>
            <w:r>
              <w:rPr>
                <w:noProof/>
              </w:rPr>
              <w:t>Candidatura cetățenilor</w:t>
            </w:r>
          </w:p>
        </w:tc>
        <w:tc>
          <w:tcPr>
            <w:tcW w:w="1343" w:type="dxa"/>
            <w:shd w:val="clear" w:color="auto" w:fill="C4EFCE"/>
            <w:noWrap/>
            <w:vAlign w:val="center"/>
          </w:tcPr>
          <w:p w14:paraId="7912A7C9" w14:textId="336432D3" w:rsidR="00A15990" w:rsidRDefault="00686A62">
            <w:pPr>
              <w:pStyle w:val="P68B1DB1-Normal8"/>
              <w:spacing w:after="0" w:line="240" w:lineRule="auto"/>
              <w:jc w:val="center"/>
              <w:rPr>
                <w:rFonts w:eastAsia="Times New Roman" w:cs="Calibri"/>
                <w:noProof/>
              </w:rPr>
            </w:pPr>
            <w:r>
              <w:rPr>
                <w:noProof/>
              </w:rPr>
              <w:t>Lansarea unei candidaturi cetățenești</w:t>
            </w:r>
          </w:p>
        </w:tc>
        <w:tc>
          <w:tcPr>
            <w:tcW w:w="1134" w:type="dxa"/>
            <w:shd w:val="clear" w:color="auto" w:fill="C4EFCE"/>
            <w:noWrap/>
            <w:vAlign w:val="center"/>
          </w:tcPr>
          <w:p w14:paraId="5BBBBDEF" w14:textId="77777777" w:rsidR="00A15990" w:rsidRDefault="00A15990">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4C7253AA" w14:textId="77777777" w:rsidR="00A15990" w:rsidRDefault="00A15990">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5900726E" w14:textId="77777777" w:rsidR="00A15990" w:rsidRDefault="00A15990">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0132BF5B" w14:textId="226BA8E4"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tcPr>
          <w:p w14:paraId="12E3ADEC" w14:textId="0B99F5D6" w:rsidR="00A15990" w:rsidRDefault="00686A62">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4394027D" w14:textId="6D95096C" w:rsidR="00A15990" w:rsidRDefault="00686A62">
            <w:pPr>
              <w:pStyle w:val="P68B1DB1-Normal8"/>
              <w:spacing w:after="0" w:line="240" w:lineRule="auto"/>
              <w:rPr>
                <w:rFonts w:eastAsia="Times New Roman" w:cs="Calibri"/>
                <w:noProof/>
              </w:rPr>
            </w:pPr>
            <w:r>
              <w:rPr>
                <w:noProof/>
              </w:rPr>
              <w:t>Lansarea și funcționarea aplicației cetățenești. Aplicația le permite utilizatorilor să acceseze digital cele mai populare servicii publice și alte funcționalități (cum ar fi plata pentru servicii).</w:t>
            </w:r>
          </w:p>
        </w:tc>
      </w:tr>
      <w:tr w:rsidR="00A15990" w14:paraId="4C5FE56E" w14:textId="77777777">
        <w:trPr>
          <w:trHeight w:val="1460"/>
        </w:trPr>
        <w:tc>
          <w:tcPr>
            <w:tcW w:w="1082" w:type="dxa"/>
            <w:shd w:val="clear" w:color="auto" w:fill="C4EFCE"/>
            <w:vAlign w:val="center"/>
            <w:hideMark/>
          </w:tcPr>
          <w:p w14:paraId="056AA2D9" w14:textId="77777777" w:rsidR="00A15990" w:rsidRDefault="00686A62">
            <w:pPr>
              <w:pStyle w:val="P68B1DB1-Normal7"/>
              <w:spacing w:after="0" w:line="240" w:lineRule="auto"/>
              <w:jc w:val="center"/>
              <w:rPr>
                <w:rFonts w:eastAsia="Times New Roman" w:cs="Calibri"/>
                <w:noProof/>
              </w:rPr>
            </w:pPr>
            <w:r>
              <w:rPr>
                <w:noProof/>
              </w:rPr>
              <w:t>19.4</w:t>
            </w:r>
          </w:p>
        </w:tc>
        <w:tc>
          <w:tcPr>
            <w:tcW w:w="1211" w:type="dxa"/>
            <w:shd w:val="clear" w:color="auto" w:fill="C4EFCE"/>
            <w:noWrap/>
            <w:vAlign w:val="center"/>
            <w:hideMark/>
          </w:tcPr>
          <w:p w14:paraId="66F6086A" w14:textId="77777777" w:rsidR="00A15990" w:rsidRDefault="00686A62">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07ADC372"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302FA656" w14:textId="77777777" w:rsidR="00A15990" w:rsidRDefault="00686A62">
            <w:pPr>
              <w:pStyle w:val="P68B1DB1-Normal8"/>
              <w:spacing w:after="0" w:line="240" w:lineRule="auto"/>
              <w:jc w:val="center"/>
              <w:rPr>
                <w:rFonts w:eastAsia="Times New Roman" w:cs="Calibri"/>
                <w:noProof/>
              </w:rPr>
            </w:pPr>
            <w:r>
              <w:rPr>
                <w:noProof/>
              </w:rPr>
              <w:t>Servicii publice accesibile în condiții de siguranță prin intermediul identității electronice și cu respectarea principiului „o singură dată”</w:t>
            </w:r>
          </w:p>
        </w:tc>
        <w:tc>
          <w:tcPr>
            <w:tcW w:w="1343" w:type="dxa"/>
            <w:shd w:val="clear" w:color="auto" w:fill="C4EFCE"/>
            <w:noWrap/>
            <w:vAlign w:val="center"/>
            <w:hideMark/>
          </w:tcPr>
          <w:p w14:paraId="2F0CF461"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1F07FD7D"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10946C7F"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912ED93" w14:textId="77777777" w:rsidR="00A15990" w:rsidRDefault="00686A62">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5630E509" w14:textId="77777777" w:rsidR="00A15990" w:rsidRDefault="00686A62">
            <w:pPr>
              <w:pStyle w:val="P68B1DB1-Normal8"/>
              <w:spacing w:after="0" w:line="240" w:lineRule="auto"/>
              <w:jc w:val="center"/>
              <w:rPr>
                <w:rFonts w:eastAsia="Times New Roman" w:cs="Calibri"/>
                <w:noProof/>
              </w:rPr>
            </w:pPr>
            <w:r>
              <w:rPr>
                <w:noProof/>
              </w:rPr>
              <w:t>TRIMESTRUL 3</w:t>
            </w:r>
          </w:p>
        </w:tc>
        <w:tc>
          <w:tcPr>
            <w:tcW w:w="682" w:type="dxa"/>
            <w:shd w:val="clear" w:color="auto" w:fill="C4EFCE"/>
            <w:noWrap/>
            <w:vAlign w:val="center"/>
            <w:hideMark/>
          </w:tcPr>
          <w:p w14:paraId="2CCF72CC" w14:textId="77777777" w:rsidR="00A15990" w:rsidRDefault="00686A62">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2D73BE7F" w14:textId="77777777" w:rsidR="00A15990" w:rsidRDefault="00D97C3E">
            <w:pPr>
              <w:pStyle w:val="P68B1DB1-Normal8"/>
              <w:spacing w:after="0" w:line="240" w:lineRule="auto"/>
              <w:jc w:val="both"/>
              <w:rPr>
                <w:rFonts w:eastAsia="Times New Roman" w:cs="Calibri"/>
                <w:noProof/>
              </w:rPr>
            </w:pPr>
            <w:hyperlink r:id="rId348" w:history="1">
              <w:r w:rsidR="00686A62">
                <w:rPr>
                  <w:noProof/>
                </w:rPr>
                <w:t>Numărul de servicii publice digitale disponibile pentru cetățeni și întreprinderi care reutilizează datele disponibile în catalogul iAP (disponibil la iap.gov.pt), acoperite de identitatea electronică (la solicitarea serviciilor) și de Sistemul de control al datelor cu caracter personal în administrația publică și care publică date deschise pe www.dados.gov.pt.</w:t>
              </w:r>
            </w:hyperlink>
          </w:p>
        </w:tc>
      </w:tr>
      <w:tr w:rsidR="00A15990" w14:paraId="68FF8B70" w14:textId="77777777">
        <w:trPr>
          <w:trHeight w:val="1460"/>
        </w:trPr>
        <w:tc>
          <w:tcPr>
            <w:tcW w:w="1082" w:type="dxa"/>
            <w:shd w:val="clear" w:color="auto" w:fill="C4EFCE"/>
            <w:vAlign w:val="center"/>
            <w:hideMark/>
          </w:tcPr>
          <w:p w14:paraId="15F177E4" w14:textId="77777777" w:rsidR="00A15990" w:rsidRDefault="00686A62">
            <w:pPr>
              <w:pStyle w:val="P68B1DB1-Normal7"/>
              <w:spacing w:after="0" w:line="240" w:lineRule="auto"/>
              <w:jc w:val="center"/>
              <w:rPr>
                <w:rFonts w:eastAsia="Times New Roman" w:cs="Calibri"/>
                <w:noProof/>
              </w:rPr>
            </w:pPr>
            <w:r>
              <w:rPr>
                <w:noProof/>
              </w:rPr>
              <w:t>19.5</w:t>
            </w:r>
          </w:p>
        </w:tc>
        <w:tc>
          <w:tcPr>
            <w:tcW w:w="1211" w:type="dxa"/>
            <w:shd w:val="clear" w:color="auto" w:fill="C4EFCE"/>
            <w:noWrap/>
            <w:vAlign w:val="center"/>
            <w:hideMark/>
          </w:tcPr>
          <w:p w14:paraId="6B9131E1" w14:textId="77777777" w:rsidR="00A15990" w:rsidRDefault="00686A62">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3C336C97"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1BD9AD68" w14:textId="77777777" w:rsidR="00A15990" w:rsidRDefault="00686A62">
            <w:pPr>
              <w:pStyle w:val="P68B1DB1-Normal8"/>
              <w:spacing w:after="0" w:line="240" w:lineRule="auto"/>
              <w:jc w:val="center"/>
              <w:rPr>
                <w:rFonts w:eastAsia="Times New Roman" w:cs="Calibri"/>
                <w:noProof/>
              </w:rPr>
            </w:pPr>
            <w:r>
              <w:rPr>
                <w:noProof/>
              </w:rPr>
              <w:t>Servicii publice accesibile în condiții de siguranță prin intermediul identității electronice și cu respectarea principiului „o singură dată”</w:t>
            </w:r>
          </w:p>
        </w:tc>
        <w:tc>
          <w:tcPr>
            <w:tcW w:w="1343" w:type="dxa"/>
            <w:shd w:val="clear" w:color="auto" w:fill="C4EFCE"/>
            <w:noWrap/>
            <w:vAlign w:val="center"/>
            <w:hideMark/>
          </w:tcPr>
          <w:p w14:paraId="08DE2C60"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4E591E30"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4BE803EF" w14:textId="77777777" w:rsidR="00A15990" w:rsidRDefault="00686A62">
            <w:pPr>
              <w:pStyle w:val="P68B1DB1-Normal8"/>
              <w:spacing w:after="0" w:line="240" w:lineRule="auto"/>
              <w:jc w:val="center"/>
              <w:rPr>
                <w:rFonts w:eastAsia="Times New Roman" w:cs="Calibri"/>
                <w:noProof/>
              </w:rPr>
            </w:pPr>
            <w:r>
              <w:rPr>
                <w:noProof/>
              </w:rPr>
              <w:t>5</w:t>
            </w:r>
          </w:p>
        </w:tc>
        <w:tc>
          <w:tcPr>
            <w:tcW w:w="682" w:type="dxa"/>
            <w:shd w:val="clear" w:color="auto" w:fill="C4EFCE"/>
            <w:noWrap/>
            <w:vAlign w:val="center"/>
            <w:hideMark/>
          </w:tcPr>
          <w:p w14:paraId="1EEBC244" w14:textId="77777777" w:rsidR="00A15990" w:rsidRDefault="00686A62">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55886765"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6CF36C79"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5195558B" w14:textId="77777777" w:rsidR="00A15990" w:rsidRDefault="00D97C3E">
            <w:pPr>
              <w:pStyle w:val="P68B1DB1-Normal8"/>
              <w:spacing w:after="0" w:line="240" w:lineRule="auto"/>
              <w:jc w:val="both"/>
              <w:rPr>
                <w:rFonts w:eastAsia="Times New Roman" w:cs="Calibri"/>
                <w:noProof/>
                <w:u w:val="single"/>
              </w:rPr>
            </w:pPr>
            <w:hyperlink r:id="rId349" w:history="1">
              <w:r w:rsidR="00686A62">
                <w:rPr>
                  <w:noProof/>
                </w:rPr>
                <w:t>Numărul de servicii publice digitale disponibile pentru cetățeni și întreprinderi care reutilizează datele disponibile în catalogul iAP (disponibil la iap.gov.pt, acoperite de identitatea electronică (la solicitarea serviciilor) și de Sistemul de control al datelor cu caracter personal în administrația publică și care publică date deschise pe www.dados.gov.pt.</w:t>
              </w:r>
            </w:hyperlink>
          </w:p>
        </w:tc>
      </w:tr>
      <w:tr w:rsidR="00A15990" w14:paraId="05EB17B2" w14:textId="77777777">
        <w:trPr>
          <w:trHeight w:val="2864"/>
        </w:trPr>
        <w:tc>
          <w:tcPr>
            <w:tcW w:w="1082" w:type="dxa"/>
            <w:shd w:val="clear" w:color="auto" w:fill="C4EFCE"/>
            <w:vAlign w:val="center"/>
            <w:hideMark/>
          </w:tcPr>
          <w:p w14:paraId="2E952EA4" w14:textId="77777777" w:rsidR="00A15990" w:rsidRDefault="00686A62">
            <w:pPr>
              <w:pStyle w:val="P68B1DB1-Normal7"/>
              <w:spacing w:after="0" w:line="240" w:lineRule="auto"/>
              <w:jc w:val="center"/>
              <w:rPr>
                <w:rFonts w:eastAsia="Times New Roman" w:cs="Calibri"/>
                <w:noProof/>
              </w:rPr>
            </w:pPr>
            <w:r>
              <w:rPr>
                <w:noProof/>
              </w:rPr>
              <w:t>19.6</w:t>
            </w:r>
          </w:p>
        </w:tc>
        <w:tc>
          <w:tcPr>
            <w:tcW w:w="1211" w:type="dxa"/>
            <w:shd w:val="clear" w:color="auto" w:fill="C4EFCE"/>
            <w:noWrap/>
            <w:vAlign w:val="center"/>
            <w:hideMark/>
          </w:tcPr>
          <w:p w14:paraId="2C2B1316" w14:textId="77777777" w:rsidR="00A15990" w:rsidRDefault="00686A62">
            <w:pPr>
              <w:pStyle w:val="P68B1DB1-Normal8"/>
              <w:spacing w:after="0" w:line="240" w:lineRule="auto"/>
              <w:jc w:val="center"/>
              <w:rPr>
                <w:rFonts w:eastAsia="Times New Roman" w:cs="Calibri"/>
                <w:noProof/>
              </w:rPr>
            </w:pPr>
            <w:r>
              <w:rPr>
                <w:noProof/>
              </w:rPr>
              <w:t>TD-C19-i02</w:t>
            </w:r>
          </w:p>
        </w:tc>
        <w:tc>
          <w:tcPr>
            <w:tcW w:w="1080" w:type="dxa"/>
            <w:shd w:val="clear" w:color="auto" w:fill="C4EFCE"/>
            <w:noWrap/>
            <w:vAlign w:val="center"/>
            <w:hideMark/>
          </w:tcPr>
          <w:p w14:paraId="0B87EDBD"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78B82EB8" w14:textId="77777777" w:rsidR="00A15990" w:rsidRDefault="00686A62">
            <w:pPr>
              <w:pStyle w:val="P68B1DB1-Normal8"/>
              <w:spacing w:after="0" w:line="240" w:lineRule="auto"/>
              <w:jc w:val="center"/>
              <w:rPr>
                <w:rFonts w:eastAsia="Times New Roman" w:cs="Calibri"/>
                <w:noProof/>
              </w:rPr>
            </w:pPr>
            <w:r>
              <w:rPr>
                <w:noProof/>
              </w:rPr>
              <w:t>Infrastructura informațiilor teritoriale</w:t>
            </w:r>
          </w:p>
        </w:tc>
        <w:tc>
          <w:tcPr>
            <w:tcW w:w="1343" w:type="dxa"/>
            <w:shd w:val="clear" w:color="auto" w:fill="C4EFCE"/>
            <w:noWrap/>
            <w:vAlign w:val="center"/>
            <w:hideMark/>
          </w:tcPr>
          <w:p w14:paraId="4CE5387D" w14:textId="77777777" w:rsidR="00A15990" w:rsidRDefault="00686A62">
            <w:pPr>
              <w:pStyle w:val="P68B1DB1-Normal8"/>
              <w:spacing w:after="0" w:line="240" w:lineRule="auto"/>
              <w:rPr>
                <w:rFonts w:eastAsia="Times New Roman" w:cs="Calibri"/>
                <w:noProof/>
              </w:rPr>
            </w:pPr>
            <w:r>
              <w:rPr>
                <w:noProof/>
              </w:rPr>
              <w:t> </w:t>
            </w:r>
          </w:p>
        </w:tc>
        <w:tc>
          <w:tcPr>
            <w:tcW w:w="1134" w:type="dxa"/>
            <w:shd w:val="clear" w:color="auto" w:fill="C4EFCE"/>
            <w:noWrap/>
            <w:vAlign w:val="center"/>
            <w:hideMark/>
          </w:tcPr>
          <w:p w14:paraId="10B4DFC4" w14:textId="77777777" w:rsidR="00A15990" w:rsidRDefault="00686A62">
            <w:pPr>
              <w:pStyle w:val="P68B1DB1-Normal8"/>
              <w:spacing w:after="0" w:line="240" w:lineRule="auto"/>
              <w:jc w:val="center"/>
              <w:rPr>
                <w:rFonts w:eastAsia="Times New Roman" w:cs="Calibri"/>
                <w:noProof/>
              </w:rPr>
            </w:pPr>
            <w:r>
              <w:rPr>
                <w:noProof/>
              </w:rPr>
              <w:t> Numărul</w:t>
            </w:r>
          </w:p>
        </w:tc>
        <w:tc>
          <w:tcPr>
            <w:tcW w:w="947" w:type="dxa"/>
            <w:shd w:val="clear" w:color="auto" w:fill="C4EFCE"/>
            <w:noWrap/>
            <w:vAlign w:val="center"/>
            <w:hideMark/>
          </w:tcPr>
          <w:p w14:paraId="05F91934" w14:textId="77777777" w:rsidR="00A15990" w:rsidRDefault="00686A62">
            <w:pPr>
              <w:pStyle w:val="P68B1DB1-Normal8"/>
              <w:spacing w:after="0" w:line="240" w:lineRule="auto"/>
              <w:jc w:val="center"/>
              <w:rPr>
                <w:rFonts w:eastAsia="Times New Roman" w:cs="Calibri"/>
                <w:noProof/>
              </w:rPr>
            </w:pPr>
            <w:r>
              <w:rPr>
                <w:noProof/>
              </w:rPr>
              <w:t> 0</w:t>
            </w:r>
          </w:p>
        </w:tc>
        <w:tc>
          <w:tcPr>
            <w:tcW w:w="682" w:type="dxa"/>
            <w:shd w:val="clear" w:color="auto" w:fill="C4EFCE"/>
            <w:noWrap/>
            <w:vAlign w:val="center"/>
            <w:hideMark/>
          </w:tcPr>
          <w:p w14:paraId="40489FCE" w14:textId="77777777" w:rsidR="00A15990" w:rsidRDefault="00686A62">
            <w:pPr>
              <w:pStyle w:val="P68B1DB1-Normal8"/>
              <w:spacing w:after="0" w:line="240" w:lineRule="auto"/>
              <w:jc w:val="center"/>
              <w:rPr>
                <w:rFonts w:eastAsia="Times New Roman" w:cs="Calibri"/>
                <w:noProof/>
              </w:rPr>
            </w:pPr>
            <w:r>
              <w:rPr>
                <w:noProof/>
              </w:rPr>
              <w:t> 150</w:t>
            </w:r>
          </w:p>
        </w:tc>
        <w:tc>
          <w:tcPr>
            <w:tcW w:w="550" w:type="dxa"/>
            <w:shd w:val="clear" w:color="auto" w:fill="C4EFCE"/>
            <w:noWrap/>
            <w:vAlign w:val="center"/>
            <w:hideMark/>
          </w:tcPr>
          <w:p w14:paraId="3D27795A"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2E675188"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CAF8E18" w14:textId="77777777" w:rsidR="00A15990" w:rsidRDefault="00686A62">
            <w:pPr>
              <w:pStyle w:val="P68B1DB1-Normal8"/>
              <w:spacing w:after="0" w:line="240" w:lineRule="auto"/>
              <w:jc w:val="both"/>
              <w:rPr>
                <w:rFonts w:eastAsia="Times New Roman" w:cs="Calibri"/>
                <w:noProof/>
              </w:rPr>
            </w:pPr>
            <w:r>
              <w:rPr>
                <w:noProof/>
              </w:rPr>
              <w:t>Numărul de surse de date integrate în infrastructura de informații teritoriale care acoperă locuințele, informațiile demografice, sociale și economice. Sursele de date includ microdate administrative și de anchetă (de obicei la nivel individual sau la nivel de organizație/întreprindere) care sunt integrate progresiv în Statistics Portugal (prin intermediul infrastructurii sale naționale de date), variind de la securitatea socială, autoritatea fiscală și mai multe organisme ale administrației publice din domeniile guvernamentale ale educației, muncii, sănătății și justiției, printre altele, și extinzând anii vizați (informații anuale sau infra-anuale) în măsura posibilului. Fiecare sursă de date este stabilizată (transmitere), tratată și analizată pentru a fi pregătită pentru integrarea și producerea de informații statistice la nivelul cel mai detaliat, în special de-a lungul dimensiunii regionale.</w:t>
            </w:r>
          </w:p>
        </w:tc>
      </w:tr>
      <w:tr w:rsidR="00A15990" w14:paraId="021D13B4" w14:textId="77777777">
        <w:trPr>
          <w:trHeight w:val="1546"/>
        </w:trPr>
        <w:tc>
          <w:tcPr>
            <w:tcW w:w="1082" w:type="dxa"/>
            <w:shd w:val="clear" w:color="auto" w:fill="C4EFCE"/>
            <w:vAlign w:val="center"/>
            <w:hideMark/>
          </w:tcPr>
          <w:p w14:paraId="26F8CD80" w14:textId="77777777" w:rsidR="00A15990" w:rsidRDefault="00686A62">
            <w:pPr>
              <w:pStyle w:val="P68B1DB1-Normal7"/>
              <w:spacing w:after="0" w:line="240" w:lineRule="auto"/>
              <w:jc w:val="center"/>
              <w:rPr>
                <w:rFonts w:eastAsia="Times New Roman" w:cs="Calibri"/>
                <w:noProof/>
              </w:rPr>
            </w:pPr>
            <w:r>
              <w:rPr>
                <w:noProof/>
              </w:rPr>
              <w:t>19.7</w:t>
            </w:r>
          </w:p>
        </w:tc>
        <w:tc>
          <w:tcPr>
            <w:tcW w:w="1211" w:type="dxa"/>
            <w:shd w:val="clear" w:color="auto" w:fill="C4EFCE"/>
            <w:noWrap/>
            <w:vAlign w:val="center"/>
            <w:hideMark/>
          </w:tcPr>
          <w:p w14:paraId="31F06611" w14:textId="77777777" w:rsidR="00A15990" w:rsidRDefault="00686A62">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6E886759"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01F1C4FC" w14:textId="77777777" w:rsidR="00A15990" w:rsidRDefault="00686A62">
            <w:pPr>
              <w:pStyle w:val="P68B1DB1-Normal8"/>
              <w:spacing w:after="0" w:line="240" w:lineRule="auto"/>
              <w:jc w:val="center"/>
              <w:rPr>
                <w:rFonts w:eastAsia="Times New Roman" w:cs="Calibri"/>
                <w:noProof/>
              </w:rPr>
            </w:pPr>
            <w:r>
              <w:rPr>
                <w:noProof/>
              </w:rPr>
              <w:t>Formarea specialiștilor IT în vederea consolidării capacităților de securitate cibernetică și de securitate a informațiilor</w:t>
            </w:r>
          </w:p>
        </w:tc>
        <w:tc>
          <w:tcPr>
            <w:tcW w:w="1343" w:type="dxa"/>
            <w:shd w:val="clear" w:color="auto" w:fill="C4EFCE"/>
            <w:noWrap/>
            <w:vAlign w:val="center"/>
            <w:hideMark/>
          </w:tcPr>
          <w:p w14:paraId="331EB092"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3B688D49"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3500F57F"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00D6EA06" w14:textId="77777777" w:rsidR="00A15990" w:rsidRDefault="00686A62">
            <w:pPr>
              <w:pStyle w:val="P68B1DB1-Normal8"/>
              <w:spacing w:after="0" w:line="240" w:lineRule="auto"/>
              <w:jc w:val="center"/>
              <w:rPr>
                <w:rFonts w:eastAsia="Times New Roman" w:cs="Calibri"/>
                <w:noProof/>
              </w:rPr>
            </w:pPr>
            <w:r>
              <w:rPr>
                <w:noProof/>
              </w:rPr>
              <w:t>9 800</w:t>
            </w:r>
          </w:p>
        </w:tc>
        <w:tc>
          <w:tcPr>
            <w:tcW w:w="550" w:type="dxa"/>
            <w:shd w:val="clear" w:color="auto" w:fill="C4EFCE"/>
            <w:noWrap/>
            <w:vAlign w:val="center"/>
            <w:hideMark/>
          </w:tcPr>
          <w:p w14:paraId="4FDC9656"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5C8036E3"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DC67902" w14:textId="77777777" w:rsidR="00A15990" w:rsidRDefault="00686A62">
            <w:pPr>
              <w:pStyle w:val="P68B1DB1-Normal8"/>
              <w:spacing w:after="0" w:line="240" w:lineRule="auto"/>
              <w:jc w:val="both"/>
              <w:rPr>
                <w:rFonts w:eastAsia="Times New Roman" w:cs="Calibri"/>
                <w:noProof/>
              </w:rPr>
            </w:pPr>
            <w:r>
              <w:rPr>
                <w:noProof/>
              </w:rPr>
              <w:t>Numărul de specialiști IT formați în rețeaua a șapte centre de competență în materie de securitate cibernetică nou create. Centrele oferă competențe avansate în materie de securitate cibernetică și securitate a informațiilor prin programe de formare și stagii în cadrul Centrului Național de Securitate Cibernetică (CNCS) pentru angajații din domeniul TIC din administrația publică (formare față în față sau telematică)</w:t>
            </w:r>
          </w:p>
        </w:tc>
      </w:tr>
      <w:tr w:rsidR="00A15990" w14:paraId="6EAE2210" w14:textId="77777777">
        <w:trPr>
          <w:trHeight w:val="1690"/>
        </w:trPr>
        <w:tc>
          <w:tcPr>
            <w:tcW w:w="1082" w:type="dxa"/>
            <w:shd w:val="clear" w:color="auto" w:fill="C4EFCE"/>
            <w:vAlign w:val="center"/>
            <w:hideMark/>
          </w:tcPr>
          <w:p w14:paraId="308988EE" w14:textId="77777777" w:rsidR="00A15990" w:rsidRDefault="00686A62">
            <w:pPr>
              <w:pStyle w:val="P68B1DB1-Normal7"/>
              <w:spacing w:after="0" w:line="240" w:lineRule="auto"/>
              <w:jc w:val="center"/>
              <w:rPr>
                <w:rFonts w:eastAsia="Times New Roman" w:cs="Calibri"/>
                <w:noProof/>
              </w:rPr>
            </w:pPr>
            <w:r>
              <w:rPr>
                <w:noProof/>
              </w:rPr>
              <w:t>19.8</w:t>
            </w:r>
          </w:p>
        </w:tc>
        <w:tc>
          <w:tcPr>
            <w:tcW w:w="1211" w:type="dxa"/>
            <w:shd w:val="clear" w:color="auto" w:fill="C4EFCE"/>
            <w:noWrap/>
            <w:vAlign w:val="center"/>
            <w:hideMark/>
          </w:tcPr>
          <w:p w14:paraId="2756D035" w14:textId="77777777" w:rsidR="00A15990" w:rsidRDefault="00686A62">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487E3F25"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2E4949A1" w14:textId="77777777" w:rsidR="00A15990" w:rsidRDefault="00686A62">
            <w:pPr>
              <w:pStyle w:val="P68B1DB1-Normal8"/>
              <w:spacing w:after="0" w:line="240" w:lineRule="auto"/>
              <w:jc w:val="center"/>
              <w:rPr>
                <w:rFonts w:eastAsia="Times New Roman" w:cs="Calibri"/>
                <w:noProof/>
              </w:rPr>
            </w:pPr>
            <w:r>
              <w:rPr>
                <w:noProof/>
              </w:rPr>
              <w:t>Adoptarea soluției criptografice portugheze de către autoritățile publice</w:t>
            </w:r>
          </w:p>
        </w:tc>
        <w:tc>
          <w:tcPr>
            <w:tcW w:w="1343" w:type="dxa"/>
            <w:shd w:val="clear" w:color="auto" w:fill="C4EFCE"/>
            <w:noWrap/>
            <w:vAlign w:val="center"/>
            <w:hideMark/>
          </w:tcPr>
          <w:p w14:paraId="4C9A8180" w14:textId="77777777" w:rsidR="00A15990" w:rsidRDefault="00686A62">
            <w:pPr>
              <w:pStyle w:val="P68B1DB1-Normal8"/>
              <w:spacing w:after="0" w:line="240" w:lineRule="auto"/>
              <w:rPr>
                <w:rFonts w:eastAsia="Times New Roman" w:cs="Calibri"/>
                <w:noProof/>
              </w:rPr>
            </w:pPr>
            <w:r>
              <w:rPr>
                <w:noProof/>
              </w:rPr>
              <w:t> </w:t>
            </w:r>
          </w:p>
        </w:tc>
        <w:tc>
          <w:tcPr>
            <w:tcW w:w="1134" w:type="dxa"/>
            <w:shd w:val="clear" w:color="auto" w:fill="C4EFCE"/>
            <w:noWrap/>
            <w:vAlign w:val="center"/>
            <w:hideMark/>
          </w:tcPr>
          <w:p w14:paraId="5E66E76F"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2CC988A8"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A8C6E1F" w14:textId="77777777" w:rsidR="00A15990" w:rsidRDefault="00686A62">
            <w:pPr>
              <w:pStyle w:val="P68B1DB1-Normal8"/>
              <w:spacing w:after="0" w:line="240" w:lineRule="auto"/>
              <w:jc w:val="center"/>
              <w:rPr>
                <w:rFonts w:eastAsia="Times New Roman" w:cs="Calibri"/>
                <w:noProof/>
              </w:rPr>
            </w:pPr>
            <w:r>
              <w:rPr>
                <w:noProof/>
              </w:rPr>
              <w:t>150</w:t>
            </w:r>
          </w:p>
        </w:tc>
        <w:tc>
          <w:tcPr>
            <w:tcW w:w="550" w:type="dxa"/>
            <w:shd w:val="clear" w:color="auto" w:fill="C4EFCE"/>
            <w:noWrap/>
            <w:vAlign w:val="center"/>
            <w:hideMark/>
          </w:tcPr>
          <w:p w14:paraId="086973FB"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50931A0E"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65B7BEE" w14:textId="77777777" w:rsidR="00A15990" w:rsidRDefault="00686A62">
            <w:pPr>
              <w:pStyle w:val="P68B1DB1-Normal8"/>
              <w:spacing w:after="0" w:line="240" w:lineRule="auto"/>
              <w:jc w:val="both"/>
              <w:rPr>
                <w:rFonts w:eastAsia="Times New Roman" w:cs="Calibri"/>
                <w:noProof/>
              </w:rPr>
            </w:pPr>
            <w:r>
              <w:rPr>
                <w:noProof/>
              </w:rPr>
              <w:t>Numărul autorităților publice care sunt dotate cu echipamente criptografice conforme cu cerințele legale [</w:t>
            </w:r>
            <w:r>
              <w:rPr>
                <w:i/>
                <w:noProof/>
              </w:rPr>
              <w:t>Resolução do Conselho de Ministros, n.º 16/96, de 22 de março – Instruções para a Segurança Nacional, Segurança das Telecomunicações (SEGNAC 3), Capítulo 3</w:t>
            </w:r>
            <w:r>
              <w:rPr>
                <w:noProof/>
              </w:rPr>
              <w:t xml:space="preserve"> /Rezoluția Consiliului de Miniștri, nr. 16/96, 22 martie – Instrucțiuni pentru securitatea națională și securitatea telecomunicațiilor (SEGNAC 3), capitolul 3]. </w:t>
            </w:r>
          </w:p>
        </w:tc>
      </w:tr>
      <w:tr w:rsidR="00A15990" w14:paraId="4FEFFAA1" w14:textId="77777777">
        <w:trPr>
          <w:trHeight w:val="1969"/>
        </w:trPr>
        <w:tc>
          <w:tcPr>
            <w:tcW w:w="1082" w:type="dxa"/>
            <w:shd w:val="clear" w:color="auto" w:fill="C4EFCE"/>
            <w:vAlign w:val="center"/>
          </w:tcPr>
          <w:p w14:paraId="3A68F726" w14:textId="59EE31D4" w:rsidR="00A15990" w:rsidRDefault="00686A62">
            <w:pPr>
              <w:pStyle w:val="P68B1DB1-Normal7"/>
              <w:spacing w:after="0" w:line="240" w:lineRule="auto"/>
              <w:jc w:val="center"/>
              <w:rPr>
                <w:rFonts w:eastAsia="Times New Roman" w:cs="Calibri"/>
                <w:noProof/>
              </w:rPr>
            </w:pPr>
            <w:r>
              <w:rPr>
                <w:noProof/>
              </w:rPr>
              <w:t>19.9</w:t>
            </w:r>
          </w:p>
        </w:tc>
        <w:tc>
          <w:tcPr>
            <w:tcW w:w="1211" w:type="dxa"/>
            <w:shd w:val="clear" w:color="auto" w:fill="C4EFCE"/>
            <w:noWrap/>
            <w:vAlign w:val="center"/>
          </w:tcPr>
          <w:p w14:paraId="67DE3F13" w14:textId="744B2D80" w:rsidR="00A15990" w:rsidRDefault="00686A62">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tcPr>
          <w:p w14:paraId="5426B223" w14:textId="1A66F3E2"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tcPr>
          <w:p w14:paraId="6B8CDAAE" w14:textId="05621BA1" w:rsidR="00A15990" w:rsidRDefault="00686A62">
            <w:pPr>
              <w:pStyle w:val="P68B1DB1-Normal8"/>
              <w:spacing w:after="0" w:line="240" w:lineRule="auto"/>
              <w:jc w:val="center"/>
              <w:rPr>
                <w:rFonts w:eastAsia="Times New Roman" w:cs="Calibri"/>
                <w:noProof/>
              </w:rPr>
            </w:pPr>
            <w:r>
              <w:rPr>
                <w:noProof/>
              </w:rPr>
              <w:t>Punerea în aplicare a cadrului național de securitate cibernetică</w:t>
            </w:r>
          </w:p>
        </w:tc>
        <w:tc>
          <w:tcPr>
            <w:tcW w:w="1343" w:type="dxa"/>
            <w:shd w:val="clear" w:color="auto" w:fill="C4EFCE"/>
            <w:noWrap/>
            <w:vAlign w:val="center"/>
          </w:tcPr>
          <w:p w14:paraId="15AE299E" w14:textId="77777777" w:rsidR="00A15990" w:rsidRDefault="00A15990">
            <w:pPr>
              <w:spacing w:after="0" w:line="240" w:lineRule="auto"/>
              <w:rPr>
                <w:rFonts w:ascii="Calibri" w:eastAsia="Times New Roman" w:hAnsi="Calibri" w:cs="Calibri"/>
                <w:noProof/>
                <w:sz w:val="16"/>
              </w:rPr>
            </w:pPr>
          </w:p>
        </w:tc>
        <w:tc>
          <w:tcPr>
            <w:tcW w:w="1134" w:type="dxa"/>
            <w:shd w:val="clear" w:color="auto" w:fill="C4EFCE"/>
            <w:noWrap/>
            <w:vAlign w:val="center"/>
          </w:tcPr>
          <w:p w14:paraId="557F5529" w14:textId="47FFDC85"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tcPr>
          <w:p w14:paraId="10F2D9AB" w14:textId="31D9A02A"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tcPr>
          <w:p w14:paraId="4F952B72" w14:textId="3DF121B4" w:rsidR="00A15990" w:rsidRDefault="00686A62">
            <w:pPr>
              <w:pStyle w:val="P68B1DB1-Normal8"/>
              <w:spacing w:after="0" w:line="240" w:lineRule="auto"/>
              <w:jc w:val="center"/>
              <w:rPr>
                <w:rFonts w:eastAsia="Times New Roman" w:cs="Calibri"/>
                <w:noProof/>
              </w:rPr>
            </w:pPr>
            <w:r>
              <w:rPr>
                <w:noProof/>
              </w:rPr>
              <w:t>47</w:t>
            </w:r>
          </w:p>
        </w:tc>
        <w:tc>
          <w:tcPr>
            <w:tcW w:w="550" w:type="dxa"/>
            <w:shd w:val="clear" w:color="auto" w:fill="C4EFCE"/>
            <w:noWrap/>
            <w:vAlign w:val="center"/>
          </w:tcPr>
          <w:p w14:paraId="28B08257" w14:textId="1AD527DF"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tcPr>
          <w:p w14:paraId="168519DA" w14:textId="5F4A2B04"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tcPr>
          <w:p w14:paraId="0B3D764C" w14:textId="37515DD9" w:rsidR="00A15990" w:rsidRDefault="00686A62">
            <w:pPr>
              <w:pStyle w:val="P68B1DB1-Normal8"/>
              <w:spacing w:after="0" w:line="240" w:lineRule="auto"/>
              <w:jc w:val="both"/>
              <w:rPr>
                <w:rFonts w:eastAsia="Times New Roman" w:cs="Calibri"/>
                <w:noProof/>
              </w:rPr>
            </w:pPr>
            <w:r>
              <w:rPr>
                <w:noProof/>
              </w:rPr>
              <w:t>Numărul de noi entități din administrația publică care fac obiectul cadrului național de securitate cibernetică (a se vedea reforma TD-r34). Aceste entități au obligația de a elabora indicatori de securitate cibernetică, de a pune în aplicare cadrul național și al UE de reglementare în materie de securitate cibernetică, inclusiv prin intermediul organismelor de evaluare a conformității și al noilor auditori, precum și prin definirea și monitorizarea modelului de guvernanță bazat pe colaborare și schimbul de informații pentru securitatea cunoștințelor și a informațiilor.</w:t>
            </w:r>
          </w:p>
        </w:tc>
      </w:tr>
      <w:tr w:rsidR="00A15990" w14:paraId="2F6B4CDF" w14:textId="77777777">
        <w:trPr>
          <w:trHeight w:val="430"/>
        </w:trPr>
        <w:tc>
          <w:tcPr>
            <w:tcW w:w="1082" w:type="dxa"/>
            <w:shd w:val="clear" w:color="auto" w:fill="C4EFCE"/>
            <w:vAlign w:val="center"/>
            <w:hideMark/>
          </w:tcPr>
          <w:p w14:paraId="312AB79F" w14:textId="77777777" w:rsidR="00A15990" w:rsidRDefault="00686A62">
            <w:pPr>
              <w:pStyle w:val="P68B1DB1-Normal7"/>
              <w:spacing w:after="0" w:line="240" w:lineRule="auto"/>
              <w:jc w:val="center"/>
              <w:rPr>
                <w:rFonts w:eastAsia="Times New Roman" w:cs="Calibri"/>
                <w:noProof/>
              </w:rPr>
            </w:pPr>
            <w:r>
              <w:rPr>
                <w:noProof/>
              </w:rPr>
              <w:t>19.10</w:t>
            </w:r>
          </w:p>
        </w:tc>
        <w:tc>
          <w:tcPr>
            <w:tcW w:w="1211" w:type="dxa"/>
            <w:shd w:val="clear" w:color="auto" w:fill="C4EFCE"/>
            <w:noWrap/>
            <w:vAlign w:val="center"/>
            <w:hideMark/>
          </w:tcPr>
          <w:p w14:paraId="4ED32827" w14:textId="77777777" w:rsidR="00A15990" w:rsidRDefault="00686A62">
            <w:pPr>
              <w:pStyle w:val="P68B1DB1-Normal8"/>
              <w:spacing w:after="0" w:line="240" w:lineRule="auto"/>
              <w:jc w:val="center"/>
              <w:rPr>
                <w:rFonts w:eastAsia="Times New Roman" w:cs="Calibri"/>
                <w:noProof/>
              </w:rPr>
            </w:pPr>
            <w:r>
              <w:rPr>
                <w:noProof/>
              </w:rPr>
              <w:t>TD-C19-i03</w:t>
            </w:r>
          </w:p>
        </w:tc>
        <w:tc>
          <w:tcPr>
            <w:tcW w:w="1080" w:type="dxa"/>
            <w:shd w:val="clear" w:color="auto" w:fill="C4EFCE"/>
            <w:noWrap/>
            <w:vAlign w:val="center"/>
            <w:hideMark/>
          </w:tcPr>
          <w:p w14:paraId="15B82E65"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55D8A471" w14:textId="77777777" w:rsidR="00A15990" w:rsidRDefault="00686A62">
            <w:pPr>
              <w:pStyle w:val="P68B1DB1-Normal8"/>
              <w:spacing w:after="0" w:line="240" w:lineRule="auto"/>
              <w:jc w:val="center"/>
              <w:rPr>
                <w:rFonts w:eastAsia="Times New Roman" w:cs="Calibri"/>
                <w:noProof/>
              </w:rPr>
            </w:pPr>
            <w:r>
              <w:rPr>
                <w:noProof/>
              </w:rPr>
              <w:t>Finalizarea construcției autorităților din domeniul securității cibernetice și al securității informațiilor</w:t>
            </w:r>
          </w:p>
        </w:tc>
        <w:tc>
          <w:tcPr>
            <w:tcW w:w="1343" w:type="dxa"/>
            <w:shd w:val="clear" w:color="auto" w:fill="C4EFCE"/>
            <w:noWrap/>
            <w:vAlign w:val="center"/>
            <w:hideMark/>
          </w:tcPr>
          <w:p w14:paraId="73297563" w14:textId="77777777" w:rsidR="00A15990" w:rsidRDefault="00686A62">
            <w:pPr>
              <w:pStyle w:val="P68B1DB1-Normal8"/>
              <w:spacing w:after="0" w:line="240" w:lineRule="auto"/>
              <w:jc w:val="center"/>
              <w:rPr>
                <w:rFonts w:eastAsia="Times New Roman" w:cs="Calibri"/>
                <w:noProof/>
              </w:rPr>
            </w:pPr>
            <w:r>
              <w:rPr>
                <w:noProof/>
              </w:rPr>
              <w:t xml:space="preserve">Finalizarea construcției autorităților din domeniul securității cibernetice și al securității informațiilor </w:t>
            </w:r>
          </w:p>
        </w:tc>
        <w:tc>
          <w:tcPr>
            <w:tcW w:w="1134" w:type="dxa"/>
            <w:shd w:val="clear" w:color="auto" w:fill="C4EFCE"/>
            <w:noWrap/>
            <w:vAlign w:val="center"/>
            <w:hideMark/>
          </w:tcPr>
          <w:p w14:paraId="18895E37" w14:textId="77777777" w:rsidR="00A15990" w:rsidRDefault="00686A62">
            <w:pPr>
              <w:pStyle w:val="P68B1DB1-Normal8"/>
              <w:spacing w:after="0" w:line="240" w:lineRule="auto"/>
              <w:jc w:val="center"/>
              <w:rPr>
                <w:rFonts w:eastAsia="Times New Roman" w:cs="Calibri"/>
                <w:noProof/>
              </w:rPr>
            </w:pPr>
            <w:r>
              <w:rPr>
                <w:noProof/>
              </w:rPr>
              <w:t xml:space="preserve"> </w:t>
            </w:r>
          </w:p>
        </w:tc>
        <w:tc>
          <w:tcPr>
            <w:tcW w:w="947" w:type="dxa"/>
            <w:shd w:val="clear" w:color="auto" w:fill="C4EFCE"/>
            <w:noWrap/>
            <w:vAlign w:val="center"/>
            <w:hideMark/>
          </w:tcPr>
          <w:p w14:paraId="68F01236" w14:textId="77777777" w:rsidR="00A15990" w:rsidRDefault="00686A62">
            <w:pPr>
              <w:pStyle w:val="P68B1DB1-Normal8"/>
              <w:spacing w:after="0" w:line="240" w:lineRule="auto"/>
              <w:jc w:val="center"/>
              <w:rPr>
                <w:rFonts w:eastAsia="Times New Roman" w:cs="Calibri"/>
                <w:noProof/>
              </w:rPr>
            </w:pPr>
            <w:r>
              <w:rPr>
                <w:noProof/>
              </w:rPr>
              <w:t xml:space="preserve"> </w:t>
            </w:r>
          </w:p>
        </w:tc>
        <w:tc>
          <w:tcPr>
            <w:tcW w:w="682" w:type="dxa"/>
            <w:shd w:val="clear" w:color="auto" w:fill="C4EFCE"/>
            <w:noWrap/>
            <w:vAlign w:val="center"/>
            <w:hideMark/>
          </w:tcPr>
          <w:p w14:paraId="5CF77E3A" w14:textId="77777777" w:rsidR="00A15990" w:rsidRDefault="00686A62">
            <w:pPr>
              <w:pStyle w:val="P68B1DB1-Normal8"/>
              <w:spacing w:after="0" w:line="240" w:lineRule="auto"/>
              <w:jc w:val="center"/>
              <w:rPr>
                <w:rFonts w:eastAsia="Times New Roman" w:cs="Calibri"/>
                <w:noProof/>
              </w:rPr>
            </w:pPr>
            <w:r>
              <w:rPr>
                <w:noProof/>
              </w:rPr>
              <w:t xml:space="preserve"> </w:t>
            </w:r>
          </w:p>
        </w:tc>
        <w:tc>
          <w:tcPr>
            <w:tcW w:w="550" w:type="dxa"/>
            <w:shd w:val="clear" w:color="auto" w:fill="C4EFCE"/>
            <w:noWrap/>
            <w:vAlign w:val="center"/>
            <w:hideMark/>
          </w:tcPr>
          <w:p w14:paraId="1DB26465"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5FC22AB1"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36ECA463" w14:textId="77777777" w:rsidR="00A15990" w:rsidRDefault="00686A62">
            <w:pPr>
              <w:pStyle w:val="P68B1DB1-Normal8"/>
              <w:spacing w:after="0" w:line="240" w:lineRule="auto"/>
              <w:jc w:val="both"/>
              <w:rPr>
                <w:rFonts w:eastAsia="Times New Roman" w:cs="Calibri"/>
                <w:noProof/>
              </w:rPr>
            </w:pPr>
            <w:r>
              <w:rPr>
                <w:noProof/>
              </w:rPr>
              <w:t>Finalizarea lucrărilor de construcție și instalarea de echipamente cu condiții tehnologice și de securitate adecvate pentru construirea celor trei autorități pentru securitatea cibernetică și securitatea informațiilor.</w:t>
            </w:r>
          </w:p>
        </w:tc>
      </w:tr>
      <w:tr w:rsidR="00A15990" w14:paraId="3DC45753" w14:textId="77777777">
        <w:trPr>
          <w:trHeight w:val="430"/>
        </w:trPr>
        <w:tc>
          <w:tcPr>
            <w:tcW w:w="1082" w:type="dxa"/>
            <w:shd w:val="clear" w:color="auto" w:fill="C4EFCE"/>
            <w:vAlign w:val="center"/>
            <w:hideMark/>
          </w:tcPr>
          <w:p w14:paraId="4270D7DC" w14:textId="77777777" w:rsidR="00A15990" w:rsidRDefault="00686A62">
            <w:pPr>
              <w:pStyle w:val="P68B1DB1-Normal7"/>
              <w:spacing w:after="0" w:line="240" w:lineRule="auto"/>
              <w:jc w:val="center"/>
              <w:rPr>
                <w:rFonts w:eastAsia="Times New Roman" w:cs="Calibri"/>
                <w:noProof/>
              </w:rPr>
            </w:pPr>
            <w:r>
              <w:rPr>
                <w:noProof/>
              </w:rPr>
              <w:t>19.11</w:t>
            </w:r>
          </w:p>
        </w:tc>
        <w:tc>
          <w:tcPr>
            <w:tcW w:w="1211" w:type="dxa"/>
            <w:shd w:val="clear" w:color="auto" w:fill="C4EFCE"/>
            <w:noWrap/>
            <w:vAlign w:val="center"/>
            <w:hideMark/>
          </w:tcPr>
          <w:p w14:paraId="7E15EC62" w14:textId="77777777" w:rsidR="00A15990" w:rsidRDefault="00686A62">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2A1A6729"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51F4579A" w14:textId="77777777" w:rsidR="00A15990" w:rsidRDefault="00686A62">
            <w:pPr>
              <w:pStyle w:val="P68B1DB1-Normal8"/>
              <w:spacing w:after="0" w:line="240" w:lineRule="auto"/>
              <w:jc w:val="center"/>
              <w:rPr>
                <w:rFonts w:eastAsia="Times New Roman" w:cs="Calibri"/>
                <w:noProof/>
              </w:rPr>
            </w:pPr>
            <w:r>
              <w:rPr>
                <w:noProof/>
              </w:rPr>
              <w:t>Sistem securizat de comunicații mobile pentru angajații administrațiilor publice</w:t>
            </w:r>
          </w:p>
        </w:tc>
        <w:tc>
          <w:tcPr>
            <w:tcW w:w="1343" w:type="dxa"/>
            <w:shd w:val="clear" w:color="auto" w:fill="C4EFCE"/>
            <w:noWrap/>
            <w:vAlign w:val="center"/>
            <w:hideMark/>
          </w:tcPr>
          <w:p w14:paraId="25D18244"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17F43F1" w14:textId="77777777" w:rsidR="00A15990" w:rsidRDefault="00686A62">
            <w:pPr>
              <w:pStyle w:val="P68B1DB1-Normal8"/>
              <w:spacing w:after="0" w:line="240" w:lineRule="auto"/>
              <w:jc w:val="center"/>
              <w:rPr>
                <w:rFonts w:eastAsia="Times New Roman" w:cs="Calibri"/>
                <w:noProof/>
              </w:rPr>
            </w:pPr>
            <w:r>
              <w:rPr>
                <w:noProof/>
              </w:rPr>
              <w:t>%</w:t>
            </w:r>
          </w:p>
        </w:tc>
        <w:tc>
          <w:tcPr>
            <w:tcW w:w="947" w:type="dxa"/>
            <w:shd w:val="clear" w:color="auto" w:fill="C4EFCE"/>
            <w:noWrap/>
            <w:vAlign w:val="center"/>
            <w:hideMark/>
          </w:tcPr>
          <w:p w14:paraId="3A5E5B34"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50DDAE09" w14:textId="77777777" w:rsidR="00A15990" w:rsidRDefault="00686A62">
            <w:pPr>
              <w:pStyle w:val="P68B1DB1-Normal8"/>
              <w:spacing w:after="0" w:line="240" w:lineRule="auto"/>
              <w:jc w:val="center"/>
              <w:rPr>
                <w:rFonts w:eastAsia="Times New Roman" w:cs="Calibri"/>
                <w:noProof/>
              </w:rPr>
            </w:pPr>
            <w:r>
              <w:rPr>
                <w:noProof/>
              </w:rPr>
              <w:t>95</w:t>
            </w:r>
          </w:p>
        </w:tc>
        <w:tc>
          <w:tcPr>
            <w:tcW w:w="550" w:type="dxa"/>
            <w:shd w:val="clear" w:color="auto" w:fill="C4EFCE"/>
            <w:noWrap/>
            <w:vAlign w:val="center"/>
            <w:hideMark/>
          </w:tcPr>
          <w:p w14:paraId="636A686F" w14:textId="77777777" w:rsidR="00A15990" w:rsidRDefault="00686A62">
            <w:pPr>
              <w:pStyle w:val="P68B1DB1-Normal8"/>
              <w:spacing w:after="0" w:line="240" w:lineRule="auto"/>
              <w:jc w:val="center"/>
              <w:rPr>
                <w:rFonts w:eastAsia="Times New Roman" w:cs="Calibri"/>
                <w:noProof/>
              </w:rPr>
            </w:pPr>
            <w:r>
              <w:rPr>
                <w:noProof/>
              </w:rPr>
              <w:t>TRIMESTRUL 2</w:t>
            </w:r>
          </w:p>
        </w:tc>
        <w:tc>
          <w:tcPr>
            <w:tcW w:w="682" w:type="dxa"/>
            <w:shd w:val="clear" w:color="auto" w:fill="C4EFCE"/>
            <w:noWrap/>
            <w:vAlign w:val="center"/>
            <w:hideMark/>
          </w:tcPr>
          <w:p w14:paraId="04354A03" w14:textId="77777777" w:rsidR="00A15990" w:rsidRDefault="00686A62">
            <w:pPr>
              <w:pStyle w:val="P68B1DB1-Normal8"/>
              <w:spacing w:after="0" w:line="240" w:lineRule="auto"/>
              <w:jc w:val="center"/>
              <w:rPr>
                <w:rFonts w:eastAsia="Times New Roman" w:cs="Calibri"/>
                <w:noProof/>
              </w:rPr>
            </w:pPr>
            <w:r>
              <w:rPr>
                <w:noProof/>
              </w:rPr>
              <w:t>2022</w:t>
            </w:r>
          </w:p>
        </w:tc>
        <w:tc>
          <w:tcPr>
            <w:tcW w:w="4458" w:type="dxa"/>
            <w:shd w:val="clear" w:color="auto" w:fill="C4EFCE"/>
            <w:vAlign w:val="center"/>
            <w:hideMark/>
          </w:tcPr>
          <w:p w14:paraId="0B6506D9" w14:textId="77777777" w:rsidR="00A15990" w:rsidRDefault="00686A62">
            <w:pPr>
              <w:pStyle w:val="P68B1DB1-Normal8"/>
              <w:spacing w:after="0" w:line="240" w:lineRule="auto"/>
              <w:jc w:val="both"/>
              <w:rPr>
                <w:rFonts w:eastAsia="Times New Roman" w:cs="Calibri"/>
                <w:noProof/>
              </w:rPr>
            </w:pPr>
            <w:r>
              <w:rPr>
                <w:noProof/>
              </w:rPr>
              <w:t>Procentul de angajați din administrația publică care au acces la un sistem securizat de comunicații vocale, de mesagerie și video.</w:t>
            </w:r>
          </w:p>
        </w:tc>
      </w:tr>
      <w:tr w:rsidR="00A15990" w14:paraId="3CA6562D" w14:textId="77777777">
        <w:trPr>
          <w:trHeight w:val="290"/>
        </w:trPr>
        <w:tc>
          <w:tcPr>
            <w:tcW w:w="1082" w:type="dxa"/>
            <w:shd w:val="clear" w:color="auto" w:fill="C4EFCE"/>
            <w:vAlign w:val="center"/>
            <w:hideMark/>
          </w:tcPr>
          <w:p w14:paraId="3056D03D" w14:textId="77777777" w:rsidR="00A15990" w:rsidRDefault="00686A62">
            <w:pPr>
              <w:pStyle w:val="P68B1DB1-Normal7"/>
              <w:spacing w:after="0" w:line="240" w:lineRule="auto"/>
              <w:jc w:val="center"/>
              <w:rPr>
                <w:rFonts w:eastAsia="Times New Roman" w:cs="Calibri"/>
                <w:noProof/>
              </w:rPr>
            </w:pPr>
            <w:r>
              <w:rPr>
                <w:noProof/>
              </w:rPr>
              <w:t>19.12</w:t>
            </w:r>
          </w:p>
        </w:tc>
        <w:tc>
          <w:tcPr>
            <w:tcW w:w="1211" w:type="dxa"/>
            <w:shd w:val="clear" w:color="auto" w:fill="C4EFCE"/>
            <w:noWrap/>
            <w:vAlign w:val="center"/>
            <w:hideMark/>
          </w:tcPr>
          <w:p w14:paraId="0D7F79C6" w14:textId="77777777" w:rsidR="00A15990" w:rsidRDefault="00686A62">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6E6F4A96"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3E8D5C65" w14:textId="77777777" w:rsidR="00A15990" w:rsidRDefault="00686A62">
            <w:pPr>
              <w:pStyle w:val="P68B1DB1-Normal8"/>
              <w:spacing w:after="0" w:line="240" w:lineRule="auto"/>
              <w:jc w:val="center"/>
              <w:rPr>
                <w:rFonts w:eastAsia="Times New Roman" w:cs="Calibri"/>
                <w:noProof/>
              </w:rPr>
            </w:pPr>
            <w:r>
              <w:rPr>
                <w:noProof/>
              </w:rPr>
              <w:t xml:space="preserve">Finalizarea modernizării infrastructurilor digitale critice </w:t>
            </w:r>
          </w:p>
        </w:tc>
        <w:tc>
          <w:tcPr>
            <w:tcW w:w="1343" w:type="dxa"/>
            <w:shd w:val="clear" w:color="auto" w:fill="C4EFCE"/>
            <w:noWrap/>
            <w:vAlign w:val="center"/>
            <w:hideMark/>
          </w:tcPr>
          <w:p w14:paraId="501E6AED" w14:textId="77777777" w:rsidR="00A15990" w:rsidRDefault="00686A62">
            <w:pPr>
              <w:pStyle w:val="P68B1DB1-Normal8"/>
              <w:spacing w:after="0" w:line="240" w:lineRule="auto"/>
              <w:jc w:val="center"/>
              <w:rPr>
                <w:rFonts w:eastAsia="Times New Roman" w:cs="Calibri"/>
                <w:noProof/>
              </w:rPr>
            </w:pPr>
            <w:r>
              <w:rPr>
                <w:noProof/>
              </w:rPr>
              <w:t>Finalizarea modernizărilor rețelei naționale de securitate internă și ale rețelei de comunicații de stat pentru situații de urgență</w:t>
            </w:r>
          </w:p>
        </w:tc>
        <w:tc>
          <w:tcPr>
            <w:tcW w:w="1134" w:type="dxa"/>
            <w:shd w:val="clear" w:color="auto" w:fill="C4EFCE"/>
            <w:noWrap/>
            <w:vAlign w:val="center"/>
            <w:hideMark/>
          </w:tcPr>
          <w:p w14:paraId="39F8F6F1" w14:textId="77777777" w:rsidR="00A15990" w:rsidRDefault="00686A62">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1F264429" w14:textId="77777777" w:rsidR="00A15990" w:rsidRDefault="00686A62">
            <w:pPr>
              <w:pStyle w:val="P68B1DB1-Normal8"/>
              <w:spacing w:after="0" w:line="240" w:lineRule="auto"/>
              <w:rPr>
                <w:rFonts w:eastAsia="Times New Roman" w:cs="Calibri"/>
                <w:noProof/>
              </w:rPr>
            </w:pPr>
            <w:r>
              <w:rPr>
                <w:noProof/>
              </w:rPr>
              <w:t> </w:t>
            </w:r>
          </w:p>
        </w:tc>
        <w:tc>
          <w:tcPr>
            <w:tcW w:w="682" w:type="dxa"/>
            <w:shd w:val="clear" w:color="auto" w:fill="C4EFCE"/>
            <w:noWrap/>
            <w:vAlign w:val="center"/>
            <w:hideMark/>
          </w:tcPr>
          <w:p w14:paraId="1A118CBF" w14:textId="77777777" w:rsidR="00A15990" w:rsidRDefault="00686A62">
            <w:pPr>
              <w:pStyle w:val="P68B1DB1-Normal8"/>
              <w:spacing w:after="0" w:line="240" w:lineRule="auto"/>
              <w:rPr>
                <w:rFonts w:eastAsia="Times New Roman" w:cs="Calibri"/>
                <w:noProof/>
              </w:rPr>
            </w:pPr>
            <w:r>
              <w:rPr>
                <w:noProof/>
              </w:rPr>
              <w:t> </w:t>
            </w:r>
          </w:p>
        </w:tc>
        <w:tc>
          <w:tcPr>
            <w:tcW w:w="550" w:type="dxa"/>
            <w:shd w:val="clear" w:color="auto" w:fill="C4EFCE"/>
            <w:noWrap/>
            <w:vAlign w:val="center"/>
            <w:hideMark/>
          </w:tcPr>
          <w:p w14:paraId="2E51498A" w14:textId="09975352"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7F7EF7EA" w14:textId="0D64379A" w:rsidR="00A15990" w:rsidRDefault="00686A62">
            <w:pPr>
              <w:pStyle w:val="P68B1DB1-Normal8"/>
              <w:spacing w:after="0" w:line="240" w:lineRule="auto"/>
              <w:jc w:val="right"/>
              <w:rPr>
                <w:rFonts w:eastAsia="Times New Roman" w:cs="Calibri"/>
                <w:noProof/>
              </w:rPr>
            </w:pPr>
            <w:r>
              <w:rPr>
                <w:noProof/>
              </w:rPr>
              <w:t>2024</w:t>
            </w:r>
          </w:p>
        </w:tc>
        <w:tc>
          <w:tcPr>
            <w:tcW w:w="4458" w:type="dxa"/>
            <w:shd w:val="clear" w:color="auto" w:fill="C4EFCE"/>
            <w:hideMark/>
          </w:tcPr>
          <w:p w14:paraId="4312DD38" w14:textId="77777777" w:rsidR="00A15990" w:rsidRDefault="00686A62">
            <w:pPr>
              <w:pStyle w:val="P68B1DB1-Normal8"/>
              <w:spacing w:after="0" w:line="240" w:lineRule="auto"/>
              <w:jc w:val="both"/>
              <w:rPr>
                <w:rFonts w:eastAsia="Calibri" w:cs="Calibri"/>
                <w:noProof/>
              </w:rPr>
            </w:pPr>
            <w:r>
              <w:rPr>
                <w:noProof/>
              </w:rPr>
              <w:t xml:space="preserve">Finalizarea modernizării infrastructurilor digitale critice: (I) 60 % din implementarea capacității suplimentare în cadrul rețelei naționale de securitate internă, inclusiv o capacitate ridicată de prelucrare a datelor, reziliență și securitate: </w:t>
            </w:r>
          </w:p>
          <w:p w14:paraId="44F9C278" w14:textId="4B066DDA" w:rsidR="00A15990" w:rsidRDefault="00686A62">
            <w:pPr>
              <w:pStyle w:val="P68B1DB1-Normal8"/>
              <w:spacing w:after="0" w:line="240" w:lineRule="auto"/>
              <w:jc w:val="both"/>
              <w:rPr>
                <w:rFonts w:eastAsia="Times New Roman" w:cs="Calibri"/>
                <w:noProof/>
              </w:rPr>
            </w:pPr>
            <w:r>
              <w:rPr>
                <w:noProof/>
              </w:rPr>
              <w:t>55 % din punerea în aplicare a acoperirii teritoriale complete, a capacității și a disponibilizărilor rețelei de comunicații de stat pentru situații de urgență</w:t>
            </w:r>
          </w:p>
        </w:tc>
      </w:tr>
      <w:tr w:rsidR="00A15990" w14:paraId="3F8BAA6B" w14:textId="77777777">
        <w:trPr>
          <w:trHeight w:val="290"/>
        </w:trPr>
        <w:tc>
          <w:tcPr>
            <w:tcW w:w="1082" w:type="dxa"/>
            <w:shd w:val="clear" w:color="auto" w:fill="C4EFCE"/>
            <w:vAlign w:val="center"/>
            <w:hideMark/>
          </w:tcPr>
          <w:p w14:paraId="60B7CB28" w14:textId="77777777" w:rsidR="00A15990" w:rsidRDefault="00686A62">
            <w:pPr>
              <w:pStyle w:val="P68B1DB1-Normal7"/>
              <w:spacing w:after="0" w:line="240" w:lineRule="auto"/>
              <w:jc w:val="center"/>
              <w:rPr>
                <w:rFonts w:eastAsia="Times New Roman" w:cs="Calibri"/>
                <w:noProof/>
              </w:rPr>
            </w:pPr>
            <w:r>
              <w:rPr>
                <w:noProof/>
              </w:rPr>
              <w:t>19.13</w:t>
            </w:r>
          </w:p>
        </w:tc>
        <w:tc>
          <w:tcPr>
            <w:tcW w:w="1211" w:type="dxa"/>
            <w:shd w:val="clear" w:color="auto" w:fill="C4EFCE"/>
            <w:noWrap/>
            <w:vAlign w:val="center"/>
            <w:hideMark/>
          </w:tcPr>
          <w:p w14:paraId="05F9B74B" w14:textId="77777777" w:rsidR="00A15990" w:rsidRDefault="00686A62">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57F97217"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179ABEE4" w14:textId="77777777" w:rsidR="00A15990" w:rsidRDefault="00686A62">
            <w:pPr>
              <w:pStyle w:val="P68B1DB1-Normal8"/>
              <w:spacing w:after="0" w:line="240" w:lineRule="auto"/>
              <w:jc w:val="center"/>
              <w:rPr>
                <w:rFonts w:eastAsia="Times New Roman" w:cs="Calibri"/>
                <w:noProof/>
              </w:rPr>
            </w:pPr>
            <w:r>
              <w:rPr>
                <w:noProof/>
              </w:rPr>
              <w:t xml:space="preserve">Finalizarea modernizării infrastructurilor digitale critice </w:t>
            </w:r>
          </w:p>
        </w:tc>
        <w:tc>
          <w:tcPr>
            <w:tcW w:w="1343" w:type="dxa"/>
            <w:shd w:val="clear" w:color="auto" w:fill="C4EFCE"/>
            <w:noWrap/>
            <w:vAlign w:val="center"/>
            <w:hideMark/>
          </w:tcPr>
          <w:p w14:paraId="2699DED6" w14:textId="77777777" w:rsidR="00A15990" w:rsidRDefault="00686A62">
            <w:pPr>
              <w:pStyle w:val="P68B1DB1-Normal8"/>
              <w:spacing w:after="0" w:line="240" w:lineRule="auto"/>
              <w:jc w:val="center"/>
              <w:rPr>
                <w:rFonts w:eastAsia="Times New Roman" w:cs="Calibri"/>
                <w:noProof/>
              </w:rPr>
            </w:pPr>
            <w:r>
              <w:rPr>
                <w:noProof/>
              </w:rPr>
              <w:t>Finalizarea modernizărilor rețelei naționale de securitate internă și ale rețelei de comunicații de stat pentru situații de urgență</w:t>
            </w:r>
          </w:p>
        </w:tc>
        <w:tc>
          <w:tcPr>
            <w:tcW w:w="1134" w:type="dxa"/>
            <w:shd w:val="clear" w:color="auto" w:fill="C4EFCE"/>
            <w:noWrap/>
            <w:vAlign w:val="center"/>
            <w:hideMark/>
          </w:tcPr>
          <w:p w14:paraId="78067F72" w14:textId="77777777" w:rsidR="00A15990" w:rsidRDefault="00686A62">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2C543219" w14:textId="77777777" w:rsidR="00A15990" w:rsidRDefault="00686A62">
            <w:pPr>
              <w:pStyle w:val="P68B1DB1-Normal8"/>
              <w:spacing w:after="0" w:line="240" w:lineRule="auto"/>
              <w:rPr>
                <w:rFonts w:eastAsia="Times New Roman" w:cs="Calibri"/>
                <w:noProof/>
              </w:rPr>
            </w:pPr>
            <w:r>
              <w:rPr>
                <w:noProof/>
              </w:rPr>
              <w:t> </w:t>
            </w:r>
          </w:p>
        </w:tc>
        <w:tc>
          <w:tcPr>
            <w:tcW w:w="682" w:type="dxa"/>
            <w:shd w:val="clear" w:color="auto" w:fill="C4EFCE"/>
            <w:noWrap/>
            <w:vAlign w:val="center"/>
            <w:hideMark/>
          </w:tcPr>
          <w:p w14:paraId="3512C253" w14:textId="77777777" w:rsidR="00A15990" w:rsidRDefault="00686A62">
            <w:pPr>
              <w:pStyle w:val="P68B1DB1-Normal8"/>
              <w:spacing w:after="0" w:line="240" w:lineRule="auto"/>
              <w:rPr>
                <w:rFonts w:eastAsia="Times New Roman" w:cs="Calibri"/>
                <w:noProof/>
              </w:rPr>
            </w:pPr>
            <w:r>
              <w:rPr>
                <w:noProof/>
              </w:rPr>
              <w:t> </w:t>
            </w:r>
          </w:p>
        </w:tc>
        <w:tc>
          <w:tcPr>
            <w:tcW w:w="550" w:type="dxa"/>
            <w:shd w:val="clear" w:color="auto" w:fill="C4EFCE"/>
            <w:noWrap/>
            <w:vAlign w:val="center"/>
            <w:hideMark/>
          </w:tcPr>
          <w:p w14:paraId="2BB5AA71" w14:textId="77777777"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hideMark/>
          </w:tcPr>
          <w:p w14:paraId="7358850B" w14:textId="77777777" w:rsidR="00A15990" w:rsidRDefault="00686A62">
            <w:pPr>
              <w:pStyle w:val="P68B1DB1-Normal8"/>
              <w:spacing w:after="0" w:line="240" w:lineRule="auto"/>
              <w:jc w:val="right"/>
              <w:rPr>
                <w:rFonts w:eastAsia="Times New Roman" w:cs="Calibri"/>
                <w:noProof/>
              </w:rPr>
            </w:pPr>
            <w:r>
              <w:rPr>
                <w:noProof/>
              </w:rPr>
              <w:t>2025</w:t>
            </w:r>
          </w:p>
        </w:tc>
        <w:tc>
          <w:tcPr>
            <w:tcW w:w="4458" w:type="dxa"/>
            <w:shd w:val="clear" w:color="auto" w:fill="C4EFCE"/>
            <w:vAlign w:val="center"/>
            <w:hideMark/>
          </w:tcPr>
          <w:p w14:paraId="3FAC7FB6" w14:textId="77777777" w:rsidR="00A15990" w:rsidRDefault="00686A62">
            <w:pPr>
              <w:pStyle w:val="P68B1DB1-Normal8"/>
              <w:spacing w:after="0" w:line="240" w:lineRule="auto"/>
              <w:jc w:val="both"/>
              <w:rPr>
                <w:rFonts w:eastAsia="Calibri" w:cs="Calibri"/>
                <w:noProof/>
              </w:rPr>
            </w:pPr>
            <w:r>
              <w:rPr>
                <w:noProof/>
              </w:rPr>
              <w:t xml:space="preserve">Finalizarea modernizării infrastructurilor digitale critice: punerea în funcțiune a unei capacități suplimentare în cadrul rețelei naționale de securitate internă, inclusiv o capacitate ridicată de prelucrare a datelor, reziliență și securitate: </w:t>
            </w:r>
          </w:p>
          <w:p w14:paraId="4A3AF4F0" w14:textId="77777777" w:rsidR="00A15990" w:rsidRDefault="00686A62">
            <w:pPr>
              <w:pStyle w:val="P68B1DB1-Normal8"/>
              <w:spacing w:after="0" w:line="240" w:lineRule="auto"/>
              <w:jc w:val="both"/>
              <w:rPr>
                <w:rFonts w:eastAsia="Calibri" w:cs="Calibri"/>
                <w:noProof/>
              </w:rPr>
            </w:pPr>
            <w:r>
              <w:rPr>
                <w:noProof/>
              </w:rPr>
              <w:t xml:space="preserve">II) Punerea în aplicare a unor noi arhitecturi, sisteme și instrumente tehnologice cu capacitatea de automatizare inteligentă și sofisticare </w:t>
            </w:r>
          </w:p>
          <w:p w14:paraId="25F4E897" w14:textId="455BEF95" w:rsidR="00A15990" w:rsidRDefault="00686A62">
            <w:pPr>
              <w:pStyle w:val="P68B1DB1-Normal8"/>
              <w:spacing w:after="0" w:line="240" w:lineRule="auto"/>
              <w:jc w:val="both"/>
              <w:rPr>
                <w:rFonts w:eastAsia="Times New Roman" w:cs="Calibri"/>
                <w:noProof/>
              </w:rPr>
            </w:pPr>
            <w:r>
              <w:rPr>
                <w:noProof/>
              </w:rPr>
              <w:t>III) Rețeaua de comunicații de stat pentru situații de urgență: realizarea unei acoperiri teritoriale complete și îmbunătățirea capacității sale și a disponibilizărilor</w:t>
            </w:r>
          </w:p>
        </w:tc>
      </w:tr>
      <w:tr w:rsidR="00A15990" w14:paraId="0A8D9375" w14:textId="77777777">
        <w:trPr>
          <w:trHeight w:val="290"/>
        </w:trPr>
        <w:tc>
          <w:tcPr>
            <w:tcW w:w="1082" w:type="dxa"/>
            <w:shd w:val="clear" w:color="auto" w:fill="C4EFCE"/>
            <w:vAlign w:val="center"/>
            <w:hideMark/>
          </w:tcPr>
          <w:p w14:paraId="59CF7E22" w14:textId="77777777" w:rsidR="00A15990" w:rsidRDefault="00686A62">
            <w:pPr>
              <w:pStyle w:val="P68B1DB1-Normal7"/>
              <w:spacing w:after="0" w:line="240" w:lineRule="auto"/>
              <w:jc w:val="center"/>
              <w:rPr>
                <w:rFonts w:eastAsia="Times New Roman" w:cs="Calibri"/>
                <w:noProof/>
              </w:rPr>
            </w:pPr>
            <w:r>
              <w:rPr>
                <w:noProof/>
              </w:rPr>
              <w:t>19.14</w:t>
            </w:r>
          </w:p>
        </w:tc>
        <w:tc>
          <w:tcPr>
            <w:tcW w:w="1211" w:type="dxa"/>
            <w:shd w:val="clear" w:color="auto" w:fill="C4EFCE"/>
            <w:noWrap/>
            <w:vAlign w:val="center"/>
            <w:hideMark/>
          </w:tcPr>
          <w:p w14:paraId="0826B3A0" w14:textId="77777777" w:rsidR="00A15990" w:rsidRDefault="00686A62">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4FC5A95C"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6CFF1D03" w14:textId="77777777" w:rsidR="00A15990" w:rsidRDefault="00686A62">
            <w:pPr>
              <w:pStyle w:val="P68B1DB1-Normal8"/>
              <w:spacing w:after="0" w:line="240" w:lineRule="auto"/>
              <w:jc w:val="center"/>
              <w:rPr>
                <w:rFonts w:eastAsia="Times New Roman" w:cs="Calibri"/>
                <w:noProof/>
              </w:rPr>
            </w:pPr>
            <w:r>
              <w:rPr>
                <w:noProof/>
              </w:rPr>
              <w:t>Modernizarea sistemului informatic al forțelor și serviciilor de securitate</w:t>
            </w:r>
          </w:p>
        </w:tc>
        <w:tc>
          <w:tcPr>
            <w:tcW w:w="1343" w:type="dxa"/>
            <w:shd w:val="clear" w:color="auto" w:fill="C4EFCE"/>
            <w:noWrap/>
            <w:vAlign w:val="center"/>
            <w:hideMark/>
          </w:tcPr>
          <w:p w14:paraId="12090031" w14:textId="77777777" w:rsidR="00A15990" w:rsidRDefault="00686A62">
            <w:pPr>
              <w:pStyle w:val="P68B1DB1-Normal8"/>
              <w:spacing w:after="0" w:line="240" w:lineRule="auto"/>
              <w:jc w:val="center"/>
              <w:rPr>
                <w:rFonts w:eastAsia="Times New Roman" w:cs="Calibri"/>
                <w:noProof/>
              </w:rPr>
            </w:pPr>
            <w:r>
              <w:rPr>
                <w:noProof/>
              </w:rPr>
              <w:t>Modernizarea sistemelor informatice ale forțelor și serviciilor de securitate</w:t>
            </w:r>
          </w:p>
        </w:tc>
        <w:tc>
          <w:tcPr>
            <w:tcW w:w="1134" w:type="dxa"/>
            <w:shd w:val="clear" w:color="auto" w:fill="C4EFCE"/>
            <w:noWrap/>
            <w:vAlign w:val="center"/>
            <w:hideMark/>
          </w:tcPr>
          <w:p w14:paraId="7E591444" w14:textId="77777777" w:rsidR="00A15990" w:rsidRDefault="00686A62">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3A6B64F2" w14:textId="77777777" w:rsidR="00A15990" w:rsidRDefault="00686A62">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450C75A6" w14:textId="77777777" w:rsidR="00A15990" w:rsidRDefault="00686A62">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0A0A4410" w14:textId="77777777" w:rsidR="00A15990" w:rsidRDefault="00686A62">
            <w:pPr>
              <w:pStyle w:val="P68B1DB1-Normal8"/>
              <w:spacing w:after="0" w:line="240" w:lineRule="auto"/>
              <w:jc w:val="center"/>
              <w:rPr>
                <w:rFonts w:eastAsia="Times New Roman" w:cs="Calibri"/>
                <w:noProof/>
              </w:rPr>
            </w:pPr>
            <w:r>
              <w:rPr>
                <w:noProof/>
              </w:rPr>
              <w:t xml:space="preserve">TRIMESTRUL 4 </w:t>
            </w:r>
          </w:p>
        </w:tc>
        <w:tc>
          <w:tcPr>
            <w:tcW w:w="682" w:type="dxa"/>
            <w:shd w:val="clear" w:color="auto" w:fill="C4EFCE"/>
            <w:noWrap/>
            <w:vAlign w:val="center"/>
            <w:hideMark/>
          </w:tcPr>
          <w:p w14:paraId="46E1DCB9" w14:textId="77777777" w:rsidR="00A15990" w:rsidRDefault="00686A62">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hideMark/>
          </w:tcPr>
          <w:p w14:paraId="73F537E7" w14:textId="77777777" w:rsidR="00A15990" w:rsidRDefault="00686A62">
            <w:pPr>
              <w:pStyle w:val="P68B1DB1-Normal8"/>
              <w:spacing w:after="0" w:line="240" w:lineRule="auto"/>
              <w:jc w:val="both"/>
              <w:rPr>
                <w:rFonts w:eastAsia="Times New Roman" w:cs="Calibri"/>
                <w:noProof/>
              </w:rPr>
            </w:pPr>
            <w:r>
              <w:rPr>
                <w:noProof/>
              </w:rPr>
              <w:t xml:space="preserve">Modernizarea sistemelor informatice ale forțelor și serviciilor de securitate: </w:t>
            </w:r>
          </w:p>
          <w:p w14:paraId="61DD86E9" w14:textId="0DD5A6A7" w:rsidR="00A15990" w:rsidRDefault="00686A62">
            <w:pPr>
              <w:pStyle w:val="P68B1DB1-Normal8"/>
              <w:spacing w:after="0" w:line="240" w:lineRule="auto"/>
              <w:jc w:val="both"/>
              <w:rPr>
                <w:rFonts w:eastAsia="Times New Roman" w:cs="Calibri"/>
                <w:noProof/>
              </w:rPr>
            </w:pPr>
            <w:r>
              <w:rPr>
                <w:noProof/>
              </w:rPr>
              <w:t>a) Intrarea în funcțiune a sistemelor informatice reînnoite ale SEF (gestionarea și controlul frontierelor, cooperarea polițienească și judiciară și sistemul european comun de azil) b) Servicii informatice partajate în cadrul forțelor și serviciilor de securitate</w:t>
            </w:r>
          </w:p>
        </w:tc>
      </w:tr>
      <w:tr w:rsidR="00A15990" w14:paraId="09BA9EDE" w14:textId="77777777">
        <w:trPr>
          <w:trHeight w:val="640"/>
        </w:trPr>
        <w:tc>
          <w:tcPr>
            <w:tcW w:w="1082" w:type="dxa"/>
            <w:shd w:val="clear" w:color="auto" w:fill="C4EFCE"/>
            <w:vAlign w:val="center"/>
            <w:hideMark/>
          </w:tcPr>
          <w:p w14:paraId="6AD2F9D4" w14:textId="77777777" w:rsidR="00A15990" w:rsidRDefault="00686A62">
            <w:pPr>
              <w:pStyle w:val="P68B1DB1-Normal7"/>
              <w:spacing w:after="0" w:line="240" w:lineRule="auto"/>
              <w:jc w:val="center"/>
              <w:rPr>
                <w:rFonts w:eastAsia="Times New Roman" w:cs="Calibri"/>
                <w:noProof/>
              </w:rPr>
            </w:pPr>
            <w:r>
              <w:rPr>
                <w:noProof/>
              </w:rPr>
              <w:t>19.15</w:t>
            </w:r>
          </w:p>
        </w:tc>
        <w:tc>
          <w:tcPr>
            <w:tcW w:w="1211" w:type="dxa"/>
            <w:shd w:val="clear" w:color="auto" w:fill="C4EFCE"/>
            <w:noWrap/>
            <w:vAlign w:val="center"/>
            <w:hideMark/>
          </w:tcPr>
          <w:p w14:paraId="3AC7180D" w14:textId="77777777" w:rsidR="00A15990" w:rsidRDefault="00686A62">
            <w:pPr>
              <w:pStyle w:val="P68B1DB1-Normal8"/>
              <w:spacing w:after="0" w:line="240" w:lineRule="auto"/>
              <w:jc w:val="center"/>
              <w:rPr>
                <w:rFonts w:eastAsia="Times New Roman" w:cs="Calibri"/>
                <w:noProof/>
              </w:rPr>
            </w:pPr>
            <w:r>
              <w:rPr>
                <w:noProof/>
              </w:rPr>
              <w:t>TD-C19-i04</w:t>
            </w:r>
          </w:p>
        </w:tc>
        <w:tc>
          <w:tcPr>
            <w:tcW w:w="1080" w:type="dxa"/>
            <w:shd w:val="clear" w:color="auto" w:fill="C4EFCE"/>
            <w:noWrap/>
            <w:vAlign w:val="center"/>
            <w:hideMark/>
          </w:tcPr>
          <w:p w14:paraId="02F28311"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2C9ADC93" w14:textId="77777777" w:rsidR="00A15990" w:rsidRDefault="00686A62">
            <w:pPr>
              <w:pStyle w:val="P68B1DB1-Normal8"/>
              <w:spacing w:after="0" w:line="240" w:lineRule="auto"/>
              <w:jc w:val="center"/>
              <w:rPr>
                <w:rFonts w:eastAsia="Times New Roman" w:cs="Calibri"/>
                <w:noProof/>
              </w:rPr>
            </w:pPr>
            <w:r>
              <w:rPr>
                <w:noProof/>
              </w:rPr>
              <w:t>Consolidarea centrului guvernamental de gestionare a rețelelor informatice (RING)</w:t>
            </w:r>
          </w:p>
        </w:tc>
        <w:tc>
          <w:tcPr>
            <w:tcW w:w="1343" w:type="dxa"/>
            <w:shd w:val="clear" w:color="auto" w:fill="C4EFCE"/>
            <w:noWrap/>
            <w:vAlign w:val="center"/>
            <w:hideMark/>
          </w:tcPr>
          <w:p w14:paraId="4C0CAC20" w14:textId="77777777" w:rsidR="00A15990" w:rsidRDefault="00686A62">
            <w:pPr>
              <w:pStyle w:val="P68B1DB1-Normal8"/>
              <w:spacing w:after="0" w:line="240" w:lineRule="auto"/>
              <w:jc w:val="center"/>
              <w:rPr>
                <w:rFonts w:eastAsia="Times New Roman" w:cs="Calibri"/>
                <w:noProof/>
              </w:rPr>
            </w:pPr>
            <w:r>
              <w:rPr>
                <w:noProof/>
              </w:rPr>
              <w:t xml:space="preserve"> Consolidarea centrului guvernamental de gestionare a rețelelor informatice (RING) </w:t>
            </w:r>
          </w:p>
        </w:tc>
        <w:tc>
          <w:tcPr>
            <w:tcW w:w="1134" w:type="dxa"/>
            <w:shd w:val="clear" w:color="auto" w:fill="C4EFCE"/>
            <w:noWrap/>
            <w:vAlign w:val="center"/>
            <w:hideMark/>
          </w:tcPr>
          <w:p w14:paraId="1D34255D" w14:textId="77777777" w:rsidR="00A15990" w:rsidRDefault="00686A62">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748A1D2D" w14:textId="77777777" w:rsidR="00A15990" w:rsidRDefault="00686A62">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718E309F" w14:textId="77777777" w:rsidR="00A15990" w:rsidRDefault="00686A62">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76EC258A"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5C6920FB"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48233525" w14:textId="77777777" w:rsidR="00A15990" w:rsidRDefault="00686A62">
            <w:pPr>
              <w:pStyle w:val="P68B1DB1-Normal8"/>
              <w:spacing w:after="0" w:line="240" w:lineRule="auto"/>
              <w:jc w:val="both"/>
              <w:rPr>
                <w:rFonts w:eastAsia="Times New Roman" w:cs="Calibri"/>
                <w:noProof/>
              </w:rPr>
            </w:pPr>
            <w:r>
              <w:rPr>
                <w:noProof/>
              </w:rPr>
              <w:t xml:space="preserve">Scopul este de a consolida RING prin modernizarea celor cinci infrastructuri tehnologice critice ale RING (protecția împotriva pereților de protecție; informatică, stocare și copii de rezervă; Telefonia VoIP; videoconferință; și ecosistemul de aplicații) și cloud) și modernizarea evoluției principalelor sisteme de informații </w:t>
            </w:r>
          </w:p>
        </w:tc>
      </w:tr>
      <w:tr w:rsidR="00A15990" w14:paraId="0767329D" w14:textId="77777777">
        <w:trPr>
          <w:trHeight w:val="953"/>
        </w:trPr>
        <w:tc>
          <w:tcPr>
            <w:tcW w:w="1082" w:type="dxa"/>
            <w:shd w:val="clear" w:color="auto" w:fill="C4EFCE"/>
            <w:vAlign w:val="center"/>
          </w:tcPr>
          <w:p w14:paraId="18FB6E3B" w14:textId="16CADAA5" w:rsidR="00A15990" w:rsidRDefault="00686A62">
            <w:pPr>
              <w:pStyle w:val="P68B1DB1-Normal7"/>
              <w:spacing w:after="0" w:line="240" w:lineRule="auto"/>
              <w:jc w:val="center"/>
              <w:rPr>
                <w:rFonts w:eastAsia="Times New Roman" w:cs="Calibri"/>
                <w:noProof/>
              </w:rPr>
            </w:pPr>
            <w:r>
              <w:rPr>
                <w:noProof/>
              </w:rPr>
              <w:t>19.28</w:t>
            </w:r>
          </w:p>
        </w:tc>
        <w:tc>
          <w:tcPr>
            <w:tcW w:w="1211" w:type="dxa"/>
            <w:shd w:val="clear" w:color="auto" w:fill="C4EFCE"/>
            <w:noWrap/>
            <w:vAlign w:val="center"/>
          </w:tcPr>
          <w:p w14:paraId="00C07FA4" w14:textId="7F329DC4" w:rsidR="00A15990" w:rsidRDefault="00686A62">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tcPr>
          <w:p w14:paraId="73ED5E83" w14:textId="53DB6063"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744FC0AC" w14:textId="7F580C3A" w:rsidR="00A15990" w:rsidRDefault="00686A62">
            <w:pPr>
              <w:pStyle w:val="P68B1DB1-Normal8"/>
              <w:spacing w:after="0" w:line="240" w:lineRule="auto"/>
              <w:jc w:val="center"/>
              <w:rPr>
                <w:rFonts w:eastAsia="Times New Roman" w:cs="Calibri"/>
                <w:noProof/>
              </w:rPr>
            </w:pPr>
            <w:r>
              <w:rPr>
                <w:noProof/>
              </w:rPr>
              <w:t xml:space="preserve">Prototip funcțional pentru o soluție centralizată de gestionare a datelor </w:t>
            </w:r>
          </w:p>
        </w:tc>
        <w:tc>
          <w:tcPr>
            <w:tcW w:w="1343" w:type="dxa"/>
            <w:shd w:val="clear" w:color="auto" w:fill="C4EFCE"/>
            <w:noWrap/>
            <w:vAlign w:val="center"/>
          </w:tcPr>
          <w:p w14:paraId="329F803E" w14:textId="193C5F33" w:rsidR="00A15990" w:rsidRDefault="00686A62">
            <w:pPr>
              <w:pStyle w:val="P68B1DB1-Normal8"/>
              <w:spacing w:after="0" w:line="240" w:lineRule="auto"/>
              <w:jc w:val="center"/>
              <w:rPr>
                <w:rFonts w:eastAsia="Times New Roman" w:cs="Calibri"/>
                <w:noProof/>
              </w:rPr>
            </w:pPr>
            <w:r>
              <w:rPr>
                <w:noProof/>
              </w:rPr>
              <w:t>Prototip funcțional operațional</w:t>
            </w:r>
          </w:p>
        </w:tc>
        <w:tc>
          <w:tcPr>
            <w:tcW w:w="1134" w:type="dxa"/>
            <w:shd w:val="clear" w:color="auto" w:fill="C4EFCE"/>
            <w:noWrap/>
            <w:vAlign w:val="center"/>
          </w:tcPr>
          <w:p w14:paraId="2C07AACF" w14:textId="77777777" w:rsidR="00A15990" w:rsidRDefault="00A15990">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3D308A56" w14:textId="77777777" w:rsidR="00A15990" w:rsidRDefault="00A15990">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0A37D57E" w14:textId="77777777" w:rsidR="00A15990" w:rsidRDefault="00A15990">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1B060ADB" w14:textId="3C1CE63E"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tcPr>
          <w:p w14:paraId="51DB435B" w14:textId="3BB9B3A3" w:rsidR="00A15990" w:rsidRDefault="00686A62">
            <w:pPr>
              <w:pStyle w:val="P68B1DB1-Normal8"/>
              <w:spacing w:after="0" w:line="240" w:lineRule="auto"/>
              <w:jc w:val="center"/>
              <w:rPr>
                <w:rFonts w:eastAsia="Times New Roman" w:cs="Calibri"/>
                <w:noProof/>
              </w:rPr>
            </w:pPr>
            <w:r>
              <w:rPr>
                <w:noProof/>
              </w:rPr>
              <w:t>2024</w:t>
            </w:r>
          </w:p>
        </w:tc>
        <w:tc>
          <w:tcPr>
            <w:tcW w:w="4458" w:type="dxa"/>
            <w:shd w:val="clear" w:color="auto" w:fill="C4EFCE"/>
            <w:vAlign w:val="center"/>
          </w:tcPr>
          <w:p w14:paraId="5E2D4942" w14:textId="77777777" w:rsidR="00A15990" w:rsidRDefault="00686A62">
            <w:pPr>
              <w:pStyle w:val="P68B1DB1-Normal8"/>
              <w:tabs>
                <w:tab w:val="left" w:pos="710"/>
                <w:tab w:val="right" w:pos="1963"/>
              </w:tabs>
              <w:spacing w:after="0" w:line="240" w:lineRule="auto"/>
              <w:jc w:val="both"/>
              <w:rPr>
                <w:rFonts w:eastAsia="Times New Roman" w:cs="Calibri"/>
                <w:noProof/>
              </w:rPr>
            </w:pPr>
            <w:r>
              <w:rPr>
                <w:noProof/>
              </w:rPr>
              <w:t>Lansarea prototipului funcțional. Prototipul trebuie să poată simula următoarele funcționalități:</w:t>
            </w:r>
          </w:p>
          <w:p w14:paraId="0A60490A" w14:textId="77777777" w:rsidR="00A15990" w:rsidRDefault="00686A62">
            <w:pPr>
              <w:pStyle w:val="P68B1DB1-Normal8"/>
              <w:tabs>
                <w:tab w:val="left" w:pos="710"/>
                <w:tab w:val="right" w:pos="1963"/>
              </w:tabs>
              <w:spacing w:after="0" w:line="240" w:lineRule="auto"/>
              <w:jc w:val="both"/>
              <w:rPr>
                <w:rFonts w:eastAsia="Times New Roman" w:cs="Calibri"/>
                <w:noProof/>
              </w:rPr>
            </w:pPr>
            <w:r>
              <w:rPr>
                <w:noProof/>
              </w:rPr>
              <w:t>— Crearea de instrumente pentru a identifica ineficiențele, frauda și alte domenii de risc cu ajutorul algoritmilor IA;</w:t>
            </w:r>
          </w:p>
          <w:p w14:paraId="2ADEB2DD" w14:textId="77777777" w:rsidR="00A15990" w:rsidRDefault="00686A62">
            <w:pPr>
              <w:pStyle w:val="P68B1DB1-Normal8"/>
              <w:spacing w:after="0" w:line="240" w:lineRule="auto"/>
              <w:jc w:val="both"/>
              <w:rPr>
                <w:rFonts w:eastAsia="Times New Roman" w:cs="Calibri"/>
                <w:noProof/>
              </w:rPr>
            </w:pPr>
            <w:r>
              <w:rPr>
                <w:noProof/>
              </w:rPr>
              <w:t xml:space="preserve">— Punerea serviciilor de inteligență artificială la dispoziția diferitelor domenii ale administrației publice; </w:t>
            </w:r>
          </w:p>
          <w:p w14:paraId="63B3E50E" w14:textId="567A0FC0" w:rsidR="00A15990" w:rsidRDefault="00686A62">
            <w:pPr>
              <w:pStyle w:val="P68B1DB1-Normal8"/>
              <w:spacing w:after="0" w:line="240" w:lineRule="auto"/>
              <w:jc w:val="both"/>
              <w:rPr>
                <w:rFonts w:eastAsia="Times New Roman" w:cs="Calibri"/>
                <w:noProof/>
              </w:rPr>
            </w:pPr>
            <w:r>
              <w:rPr>
                <w:noProof/>
              </w:rPr>
              <w:t>— Automatizarea procesului decizional în diferite domenii ale administrației publice.</w:t>
            </w:r>
          </w:p>
        </w:tc>
      </w:tr>
      <w:tr w:rsidR="00A15990" w14:paraId="5CB7E1C4" w14:textId="77777777">
        <w:trPr>
          <w:trHeight w:val="953"/>
        </w:trPr>
        <w:tc>
          <w:tcPr>
            <w:tcW w:w="1082" w:type="dxa"/>
            <w:shd w:val="clear" w:color="auto" w:fill="C4EFCE"/>
            <w:vAlign w:val="center"/>
            <w:hideMark/>
          </w:tcPr>
          <w:p w14:paraId="576D56A1" w14:textId="77777777" w:rsidR="00A15990" w:rsidRDefault="00686A62">
            <w:pPr>
              <w:pStyle w:val="P68B1DB1-Normal7"/>
              <w:spacing w:after="0" w:line="240" w:lineRule="auto"/>
              <w:jc w:val="center"/>
              <w:rPr>
                <w:rFonts w:eastAsia="Times New Roman" w:cs="Calibri"/>
                <w:noProof/>
              </w:rPr>
            </w:pPr>
            <w:r>
              <w:rPr>
                <w:noProof/>
              </w:rPr>
              <w:t>19.16</w:t>
            </w:r>
          </w:p>
        </w:tc>
        <w:tc>
          <w:tcPr>
            <w:tcW w:w="1211" w:type="dxa"/>
            <w:shd w:val="clear" w:color="auto" w:fill="C4EFCE"/>
            <w:noWrap/>
            <w:vAlign w:val="center"/>
            <w:hideMark/>
          </w:tcPr>
          <w:p w14:paraId="18A1503B" w14:textId="77777777" w:rsidR="00A15990" w:rsidRDefault="00686A62">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hideMark/>
          </w:tcPr>
          <w:p w14:paraId="7F8FB6EE"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769BDF3" w14:textId="77777777" w:rsidR="00A15990" w:rsidRDefault="00686A62">
            <w:pPr>
              <w:pStyle w:val="P68B1DB1-Normal8"/>
              <w:spacing w:after="0" w:line="240" w:lineRule="auto"/>
              <w:jc w:val="center"/>
              <w:rPr>
                <w:rFonts w:eastAsia="Times New Roman" w:cs="Calibri"/>
                <w:noProof/>
              </w:rPr>
            </w:pPr>
            <w:r>
              <w:rPr>
                <w:noProof/>
              </w:rPr>
              <w:t>Servicii publice pentru cetățeni, vizitatori și întreprinderi în ARM</w:t>
            </w:r>
          </w:p>
        </w:tc>
        <w:tc>
          <w:tcPr>
            <w:tcW w:w="1343" w:type="dxa"/>
            <w:shd w:val="clear" w:color="auto" w:fill="C4EFCE"/>
            <w:noWrap/>
            <w:vAlign w:val="center"/>
            <w:hideMark/>
          </w:tcPr>
          <w:p w14:paraId="3EA8E5EC"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708975FC"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648029EC"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23D539CC" w14:textId="77777777" w:rsidR="00A15990" w:rsidRDefault="00686A62">
            <w:pPr>
              <w:pStyle w:val="P68B1DB1-Normal8"/>
              <w:spacing w:after="0" w:line="240" w:lineRule="auto"/>
              <w:jc w:val="center"/>
              <w:rPr>
                <w:rFonts w:eastAsia="Times New Roman" w:cs="Calibri"/>
                <w:noProof/>
              </w:rPr>
            </w:pPr>
            <w:r>
              <w:rPr>
                <w:noProof/>
              </w:rPr>
              <w:t>5</w:t>
            </w:r>
          </w:p>
        </w:tc>
        <w:tc>
          <w:tcPr>
            <w:tcW w:w="550" w:type="dxa"/>
            <w:shd w:val="clear" w:color="auto" w:fill="C4EFCE"/>
            <w:noWrap/>
            <w:vAlign w:val="center"/>
            <w:hideMark/>
          </w:tcPr>
          <w:p w14:paraId="461712A3" w14:textId="77777777" w:rsidR="00A15990" w:rsidRDefault="00686A62">
            <w:pPr>
              <w:pStyle w:val="P68B1DB1-Normal8"/>
              <w:spacing w:after="0" w:line="240" w:lineRule="auto"/>
              <w:jc w:val="center"/>
              <w:rPr>
                <w:rFonts w:eastAsia="Times New Roman" w:cs="Calibri"/>
                <w:noProof/>
              </w:rPr>
            </w:pPr>
            <w:r>
              <w:rPr>
                <w:noProof/>
              </w:rPr>
              <w:t>TRIMESTRUL 2</w:t>
            </w:r>
          </w:p>
        </w:tc>
        <w:tc>
          <w:tcPr>
            <w:tcW w:w="682" w:type="dxa"/>
            <w:shd w:val="clear" w:color="auto" w:fill="C4EFCE"/>
            <w:noWrap/>
            <w:vAlign w:val="center"/>
            <w:hideMark/>
          </w:tcPr>
          <w:p w14:paraId="7E32D4A6" w14:textId="77777777" w:rsidR="00A15990" w:rsidRDefault="00686A62">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hideMark/>
          </w:tcPr>
          <w:p w14:paraId="7F14D18C" w14:textId="77777777" w:rsidR="00A15990" w:rsidRDefault="00686A62">
            <w:pPr>
              <w:pStyle w:val="P68B1DB1-Normal8"/>
              <w:spacing w:after="0" w:line="240" w:lineRule="auto"/>
              <w:jc w:val="both"/>
              <w:rPr>
                <w:rFonts w:eastAsia="Times New Roman" w:cs="Calibri"/>
                <w:noProof/>
              </w:rPr>
            </w:pPr>
            <w:r>
              <w:rPr>
                <w:noProof/>
              </w:rPr>
              <w:t>Numărul de noi servicii publice digitalizate simplificate puse la dispoziția cetățenilor și a întreprinderilor</w:t>
            </w:r>
          </w:p>
        </w:tc>
      </w:tr>
      <w:tr w:rsidR="00A15990" w14:paraId="4DDCEA50" w14:textId="77777777">
        <w:trPr>
          <w:trHeight w:val="290"/>
        </w:trPr>
        <w:tc>
          <w:tcPr>
            <w:tcW w:w="1082" w:type="dxa"/>
            <w:shd w:val="clear" w:color="auto" w:fill="C4EFCE"/>
            <w:vAlign w:val="center"/>
            <w:hideMark/>
          </w:tcPr>
          <w:p w14:paraId="155D0A6D" w14:textId="77777777" w:rsidR="00A15990" w:rsidRDefault="00686A62">
            <w:pPr>
              <w:pStyle w:val="P68B1DB1-Normal7"/>
              <w:spacing w:after="0" w:line="240" w:lineRule="auto"/>
              <w:jc w:val="center"/>
              <w:rPr>
                <w:rFonts w:eastAsia="Times New Roman" w:cs="Calibri"/>
                <w:noProof/>
              </w:rPr>
            </w:pPr>
            <w:r>
              <w:rPr>
                <w:noProof/>
              </w:rPr>
              <w:t>19.17</w:t>
            </w:r>
          </w:p>
        </w:tc>
        <w:tc>
          <w:tcPr>
            <w:tcW w:w="1211" w:type="dxa"/>
            <w:shd w:val="clear" w:color="auto" w:fill="C4EFCE"/>
            <w:noWrap/>
            <w:vAlign w:val="center"/>
            <w:hideMark/>
          </w:tcPr>
          <w:p w14:paraId="2D65B27E" w14:textId="77777777" w:rsidR="00A15990" w:rsidRDefault="00686A62">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hideMark/>
          </w:tcPr>
          <w:p w14:paraId="317D5CC6"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315CD8F8" w14:textId="77777777" w:rsidR="00A15990" w:rsidRDefault="00686A62">
            <w:pPr>
              <w:pStyle w:val="P68B1DB1-Normal8"/>
              <w:spacing w:after="0" w:line="240" w:lineRule="auto"/>
              <w:jc w:val="center"/>
              <w:rPr>
                <w:rFonts w:eastAsia="Times New Roman" w:cs="Calibri"/>
                <w:noProof/>
              </w:rPr>
            </w:pPr>
            <w:r>
              <w:rPr>
                <w:noProof/>
              </w:rPr>
              <w:t>Modernizarea infrastructurii critice și a arhitecturii informatice a serviciilor publice în cadrul ARM</w:t>
            </w:r>
          </w:p>
        </w:tc>
        <w:tc>
          <w:tcPr>
            <w:tcW w:w="1343" w:type="dxa"/>
            <w:shd w:val="clear" w:color="auto" w:fill="C4EFCE"/>
            <w:noWrap/>
            <w:vAlign w:val="center"/>
            <w:hideMark/>
          </w:tcPr>
          <w:p w14:paraId="51FC6F0B" w14:textId="77777777" w:rsidR="00A15990" w:rsidRDefault="00686A62">
            <w:pPr>
              <w:pStyle w:val="P68B1DB1-Normal8"/>
              <w:spacing w:after="0" w:line="240" w:lineRule="auto"/>
              <w:jc w:val="center"/>
              <w:rPr>
                <w:rFonts w:eastAsia="Times New Roman" w:cs="Calibri"/>
                <w:noProof/>
              </w:rPr>
            </w:pPr>
            <w:r>
              <w:rPr>
                <w:noProof/>
              </w:rPr>
              <w:t>Modernizarea infrastructurii critice și a arhitecturii informatice a serviciilor publice în cadrul ARM</w:t>
            </w:r>
          </w:p>
        </w:tc>
        <w:tc>
          <w:tcPr>
            <w:tcW w:w="1134" w:type="dxa"/>
            <w:shd w:val="clear" w:color="auto" w:fill="C4EFCE"/>
            <w:noWrap/>
            <w:vAlign w:val="center"/>
            <w:hideMark/>
          </w:tcPr>
          <w:p w14:paraId="5C3CE7BD" w14:textId="77777777" w:rsidR="00A15990" w:rsidRDefault="00686A62">
            <w:pPr>
              <w:pStyle w:val="P68B1DB1-Normal8"/>
              <w:spacing w:after="0" w:line="240" w:lineRule="auto"/>
              <w:rPr>
                <w:rFonts w:eastAsia="Times New Roman" w:cs="Calibri"/>
                <w:noProof/>
              </w:rPr>
            </w:pPr>
            <w:r>
              <w:rPr>
                <w:noProof/>
              </w:rPr>
              <w:t> </w:t>
            </w:r>
          </w:p>
        </w:tc>
        <w:tc>
          <w:tcPr>
            <w:tcW w:w="947" w:type="dxa"/>
            <w:shd w:val="clear" w:color="auto" w:fill="C4EFCE"/>
            <w:noWrap/>
            <w:vAlign w:val="center"/>
            <w:hideMark/>
          </w:tcPr>
          <w:p w14:paraId="27932955" w14:textId="77777777" w:rsidR="00A15990" w:rsidRDefault="00686A62">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53A57C64" w14:textId="77777777" w:rsidR="00A15990" w:rsidRDefault="00686A62">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0EA1F25B" w14:textId="77777777" w:rsidR="00A15990" w:rsidRDefault="00686A62">
            <w:pPr>
              <w:pStyle w:val="P68B1DB1-Normal8"/>
              <w:spacing w:after="0" w:line="240" w:lineRule="auto"/>
              <w:jc w:val="center"/>
              <w:rPr>
                <w:rFonts w:eastAsia="Times New Roman" w:cs="Calibri"/>
                <w:noProof/>
              </w:rPr>
            </w:pPr>
            <w:r>
              <w:rPr>
                <w:noProof/>
              </w:rPr>
              <w:t>TRIMESTRUL 2</w:t>
            </w:r>
          </w:p>
        </w:tc>
        <w:tc>
          <w:tcPr>
            <w:tcW w:w="682" w:type="dxa"/>
            <w:shd w:val="clear" w:color="auto" w:fill="C4EFCE"/>
            <w:noWrap/>
            <w:vAlign w:val="center"/>
            <w:hideMark/>
          </w:tcPr>
          <w:p w14:paraId="75DB415B" w14:textId="77777777" w:rsidR="00A15990" w:rsidRDefault="00686A62">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hideMark/>
          </w:tcPr>
          <w:p w14:paraId="639F5DC3" w14:textId="77777777" w:rsidR="00A15990" w:rsidRDefault="00686A62">
            <w:pPr>
              <w:pStyle w:val="P68B1DB1-Normal12"/>
              <w:spacing w:after="0" w:line="240" w:lineRule="auto"/>
              <w:jc w:val="both"/>
              <w:rPr>
                <w:rFonts w:ascii="Times New Roman" w:eastAsia="Times New Roman" w:hAnsi="Times New Roman" w:cs="Times New Roman"/>
                <w:noProof/>
              </w:rPr>
            </w:pPr>
            <w:r>
              <w:rPr>
                <w:rFonts w:ascii="Calibri" w:hAnsi="Calibri"/>
                <w:noProof/>
              </w:rPr>
              <w:t>Finalizarea tranziției digitale în administrația publică ARM, care cuprinde:</w:t>
            </w:r>
            <w:r>
              <w:rPr>
                <w:rFonts w:ascii="Times New Roman" w:hAnsi="Times New Roman"/>
                <w:noProof/>
              </w:rPr>
              <w:t xml:space="preserve"> </w:t>
            </w:r>
          </w:p>
          <w:p w14:paraId="67185D7F" w14:textId="4DEDF20E" w:rsidR="00A15990" w:rsidRDefault="00686A62">
            <w:pPr>
              <w:pStyle w:val="P68B1DB1-Normal8"/>
              <w:spacing w:after="0" w:line="240" w:lineRule="auto"/>
              <w:jc w:val="both"/>
              <w:rPr>
                <w:rFonts w:eastAsia="Times New Roman" w:cs="Calibri"/>
                <w:noProof/>
              </w:rPr>
            </w:pPr>
            <w:r>
              <w:rPr>
                <w:noProof/>
              </w:rPr>
              <w:t xml:space="preserve">Implementarea unei rețele 5G private </w:t>
            </w:r>
          </w:p>
          <w:p w14:paraId="55AFBD4F" w14:textId="77777777" w:rsidR="00A15990" w:rsidRDefault="00686A62">
            <w:pPr>
              <w:pStyle w:val="P68B1DB1-Normal8"/>
              <w:spacing w:after="0" w:line="240" w:lineRule="auto"/>
              <w:jc w:val="both"/>
              <w:rPr>
                <w:rFonts w:eastAsia="Times New Roman" w:cs="Calibri"/>
                <w:noProof/>
              </w:rPr>
            </w:pPr>
            <w:r>
              <w:rPr>
                <w:noProof/>
              </w:rPr>
              <w:t xml:space="preserve">Centrul mobil de supraveghere a controalelor pentru incendiile forestiere </w:t>
            </w:r>
          </w:p>
          <w:p w14:paraId="5710C4B7" w14:textId="77777777" w:rsidR="00A15990" w:rsidRDefault="00686A62">
            <w:pPr>
              <w:pStyle w:val="P68B1DB1-Normal8"/>
              <w:spacing w:after="0" w:line="240" w:lineRule="auto"/>
              <w:jc w:val="both"/>
              <w:rPr>
                <w:rFonts w:eastAsia="Times New Roman" w:cs="Calibri"/>
                <w:noProof/>
              </w:rPr>
            </w:pPr>
            <w:r>
              <w:rPr>
                <w:noProof/>
              </w:rPr>
              <w:t xml:space="preserve">Centralizarea și reînnoirea centrelor de date existente ale administrației publice regionale </w:t>
            </w:r>
          </w:p>
          <w:p w14:paraId="2D032E34" w14:textId="77777777" w:rsidR="00A15990" w:rsidRDefault="00686A62">
            <w:pPr>
              <w:pStyle w:val="P68B1DB1-Normal8"/>
              <w:spacing w:after="0" w:line="240" w:lineRule="auto"/>
              <w:jc w:val="both"/>
              <w:rPr>
                <w:rFonts w:eastAsia="Times New Roman" w:cs="Calibri"/>
                <w:noProof/>
              </w:rPr>
            </w:pPr>
            <w:r>
              <w:rPr>
                <w:noProof/>
              </w:rPr>
              <w:t xml:space="preserve">Punerea în aplicare a arhitecturii de securitate cibernetică (a se vedea r34) </w:t>
            </w:r>
          </w:p>
          <w:p w14:paraId="67CCB2DC" w14:textId="7CD81F5F" w:rsidR="00A15990" w:rsidRDefault="00686A62">
            <w:pPr>
              <w:pStyle w:val="P68B1DB1-Normal8"/>
              <w:spacing w:after="0" w:line="240" w:lineRule="auto"/>
              <w:jc w:val="both"/>
              <w:rPr>
                <w:rFonts w:eastAsia="Times New Roman" w:cs="Calibri"/>
                <w:noProof/>
              </w:rPr>
            </w:pPr>
            <w:r>
              <w:rPr>
                <w:noProof/>
              </w:rPr>
              <w:t xml:space="preserve">Conectivitatea în clădirile administrației publice regionale Instrumente de mobilitate digitală pentru angajații din sectorul public </w:t>
            </w:r>
          </w:p>
          <w:p w14:paraId="30F48F65" w14:textId="77777777" w:rsidR="00A15990" w:rsidRDefault="00686A62">
            <w:pPr>
              <w:pStyle w:val="P68B1DB1-Normal8"/>
              <w:spacing w:after="0" w:line="240" w:lineRule="auto"/>
              <w:jc w:val="both"/>
              <w:rPr>
                <w:rFonts w:eastAsia="Times New Roman" w:cs="Calibri"/>
                <w:noProof/>
              </w:rPr>
            </w:pPr>
            <w:r>
              <w:rPr>
                <w:noProof/>
              </w:rPr>
              <w:t xml:space="preserve">Formare digitală pentru angajații din sectorul public </w:t>
            </w:r>
          </w:p>
          <w:p w14:paraId="03CB00E5" w14:textId="77777777" w:rsidR="00A15990" w:rsidRDefault="00686A62">
            <w:pPr>
              <w:pStyle w:val="P68B1DB1-Normal8"/>
              <w:spacing w:after="0" w:line="240" w:lineRule="auto"/>
              <w:jc w:val="both"/>
              <w:rPr>
                <w:rFonts w:eastAsia="Times New Roman" w:cs="Calibri"/>
                <w:noProof/>
              </w:rPr>
            </w:pPr>
            <w:r>
              <w:rPr>
                <w:noProof/>
              </w:rPr>
              <w:t xml:space="preserve">Furnizarea unui sistem informatic de gestionare a finanțelor publice </w:t>
            </w:r>
          </w:p>
          <w:p w14:paraId="596B0D1F" w14:textId="77777777" w:rsidR="00A15990" w:rsidRDefault="00686A62">
            <w:pPr>
              <w:pStyle w:val="P68B1DB1-Normal8"/>
              <w:spacing w:after="0" w:line="240" w:lineRule="auto"/>
              <w:jc w:val="both"/>
              <w:rPr>
                <w:rFonts w:eastAsia="Times New Roman" w:cs="Calibri"/>
                <w:noProof/>
              </w:rPr>
            </w:pPr>
            <w:r>
              <w:rPr>
                <w:noProof/>
              </w:rPr>
              <w:t>Furnizarea unui sistem de gestionare a proprietății publice</w:t>
            </w:r>
          </w:p>
          <w:p w14:paraId="5268118F" w14:textId="77777777" w:rsidR="00A15990" w:rsidRDefault="00686A62">
            <w:pPr>
              <w:pStyle w:val="P68B1DB1-Normal8"/>
              <w:spacing w:after="0" w:line="240" w:lineRule="auto"/>
              <w:jc w:val="both"/>
              <w:rPr>
                <w:rFonts w:eastAsia="Times New Roman" w:cs="Calibri"/>
                <w:noProof/>
              </w:rPr>
            </w:pPr>
            <w:r>
              <w:rPr>
                <w:noProof/>
              </w:rPr>
              <w:t>Interoperabilitatea sistemului judiciar ARM cu sistemele informatice naționale</w:t>
            </w:r>
          </w:p>
          <w:p w14:paraId="77673804" w14:textId="63E13982" w:rsidR="00A15990" w:rsidRDefault="00686A62">
            <w:pPr>
              <w:pStyle w:val="P68B1DB1-Normal8"/>
              <w:spacing w:after="0" w:line="240" w:lineRule="auto"/>
              <w:jc w:val="both"/>
              <w:rPr>
                <w:rFonts w:eastAsia="Times New Roman" w:cs="Calibri"/>
                <w:noProof/>
              </w:rPr>
            </w:pPr>
            <w:r>
              <w:rPr>
                <w:noProof/>
              </w:rPr>
              <w:t>Proiect de conectare a unui plan de acțiune inteligent</w:t>
            </w:r>
          </w:p>
        </w:tc>
      </w:tr>
      <w:tr w:rsidR="00A15990" w14:paraId="2A157D90" w14:textId="77777777">
        <w:trPr>
          <w:trHeight w:val="290"/>
        </w:trPr>
        <w:tc>
          <w:tcPr>
            <w:tcW w:w="1082" w:type="dxa"/>
            <w:shd w:val="clear" w:color="auto" w:fill="C4EFCE"/>
            <w:vAlign w:val="center"/>
          </w:tcPr>
          <w:p w14:paraId="1C82B8D6" w14:textId="5B16A76A" w:rsidR="00A15990" w:rsidRDefault="00686A62">
            <w:pPr>
              <w:pStyle w:val="P68B1DB1-Normal7"/>
              <w:spacing w:after="0" w:line="240" w:lineRule="auto"/>
              <w:jc w:val="center"/>
              <w:rPr>
                <w:rFonts w:eastAsia="Times New Roman" w:cs="Calibri"/>
                <w:noProof/>
              </w:rPr>
            </w:pPr>
            <w:r>
              <w:rPr>
                <w:noProof/>
              </w:rPr>
              <w:t>19.29</w:t>
            </w:r>
          </w:p>
        </w:tc>
        <w:tc>
          <w:tcPr>
            <w:tcW w:w="1211" w:type="dxa"/>
            <w:shd w:val="clear" w:color="auto" w:fill="C4EFCE"/>
            <w:noWrap/>
            <w:vAlign w:val="center"/>
          </w:tcPr>
          <w:p w14:paraId="5DF9BA4A" w14:textId="0F2186BF" w:rsidR="00A15990" w:rsidRDefault="00686A62">
            <w:pPr>
              <w:pStyle w:val="P68B1DB1-Normal8"/>
              <w:spacing w:after="0" w:line="240" w:lineRule="auto"/>
              <w:jc w:val="center"/>
              <w:rPr>
                <w:rFonts w:eastAsia="Times New Roman" w:cs="Calibri"/>
                <w:noProof/>
              </w:rPr>
            </w:pPr>
            <w:r>
              <w:rPr>
                <w:noProof/>
              </w:rPr>
              <w:t>TD-C19-i05-RAM</w:t>
            </w:r>
          </w:p>
        </w:tc>
        <w:tc>
          <w:tcPr>
            <w:tcW w:w="1080" w:type="dxa"/>
            <w:shd w:val="clear" w:color="auto" w:fill="C4EFCE"/>
            <w:noWrap/>
            <w:vAlign w:val="center"/>
          </w:tcPr>
          <w:p w14:paraId="506C8CD6" w14:textId="143AFCD2"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6F63D36B" w14:textId="3601B6F1" w:rsidR="00A15990" w:rsidRDefault="00686A62">
            <w:pPr>
              <w:pStyle w:val="P68B1DB1-Normal8"/>
              <w:spacing w:before="120" w:after="0" w:line="240" w:lineRule="auto"/>
              <w:jc w:val="both"/>
              <w:rPr>
                <w:rFonts w:eastAsia="Calibri" w:cs="Calibri"/>
                <w:noProof/>
              </w:rPr>
            </w:pPr>
            <w:r>
              <w:rPr>
                <w:noProof/>
              </w:rPr>
              <w:t>Soluția centralizată de gestionare a datelor</w:t>
            </w:r>
          </w:p>
        </w:tc>
        <w:tc>
          <w:tcPr>
            <w:tcW w:w="1343" w:type="dxa"/>
            <w:shd w:val="clear" w:color="auto" w:fill="C4EFCE"/>
            <w:noWrap/>
            <w:vAlign w:val="center"/>
          </w:tcPr>
          <w:p w14:paraId="63B29C5E" w14:textId="7AD40D4B" w:rsidR="00A15990" w:rsidRDefault="00686A62">
            <w:pPr>
              <w:pStyle w:val="P68B1DB1-Normal8"/>
              <w:spacing w:after="0" w:line="240" w:lineRule="auto"/>
              <w:jc w:val="center"/>
              <w:rPr>
                <w:rFonts w:eastAsia="Calibri" w:cs="Calibri"/>
                <w:noProof/>
              </w:rPr>
            </w:pPr>
            <w:r>
              <w:rPr>
                <w:noProof/>
              </w:rPr>
              <w:t>Soluție centralizată de gestionare a datelor operațională</w:t>
            </w:r>
          </w:p>
        </w:tc>
        <w:tc>
          <w:tcPr>
            <w:tcW w:w="1134" w:type="dxa"/>
            <w:shd w:val="clear" w:color="auto" w:fill="C4EFCE"/>
            <w:noWrap/>
            <w:vAlign w:val="center"/>
          </w:tcPr>
          <w:p w14:paraId="56259C96" w14:textId="77777777" w:rsidR="00A15990" w:rsidRDefault="00A15990">
            <w:pPr>
              <w:spacing w:after="0" w:line="240" w:lineRule="auto"/>
              <w:rPr>
                <w:rFonts w:ascii="Calibri" w:eastAsia="Times New Roman" w:hAnsi="Calibri" w:cs="Calibri"/>
                <w:noProof/>
                <w:sz w:val="16"/>
              </w:rPr>
            </w:pPr>
          </w:p>
        </w:tc>
        <w:tc>
          <w:tcPr>
            <w:tcW w:w="947" w:type="dxa"/>
            <w:shd w:val="clear" w:color="auto" w:fill="C4EFCE"/>
            <w:noWrap/>
            <w:vAlign w:val="center"/>
          </w:tcPr>
          <w:p w14:paraId="7BF5098B" w14:textId="77777777" w:rsidR="00A15990" w:rsidRDefault="00A15990">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027C1EA6" w14:textId="77777777" w:rsidR="00A15990" w:rsidRDefault="00A15990">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6EB0713C" w14:textId="340EFCF8"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tcPr>
          <w:p w14:paraId="01F50E14" w14:textId="3E0B8059" w:rsidR="00A15990" w:rsidRDefault="00686A62">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5A47B065" w14:textId="77777777" w:rsidR="00A15990" w:rsidRDefault="00686A62">
            <w:pPr>
              <w:pStyle w:val="P68B1DB1-Normal8"/>
              <w:spacing w:after="0" w:line="240" w:lineRule="auto"/>
              <w:jc w:val="both"/>
              <w:rPr>
                <w:rFonts w:eastAsia="Calibri" w:cs="Calibri"/>
                <w:noProof/>
              </w:rPr>
            </w:pPr>
            <w:r>
              <w:rPr>
                <w:noProof/>
              </w:rPr>
              <w:t>Lansarea soluției centralizate de gestionare a datelor. Aceasta:</w:t>
            </w:r>
          </w:p>
          <w:p w14:paraId="0B46F946" w14:textId="77777777" w:rsidR="00A15990" w:rsidRDefault="00686A62">
            <w:pPr>
              <w:pStyle w:val="P68B1DB1-Normal8"/>
              <w:tabs>
                <w:tab w:val="left" w:pos="710"/>
                <w:tab w:val="right" w:pos="1963"/>
              </w:tabs>
              <w:spacing w:after="0" w:line="240" w:lineRule="auto"/>
              <w:jc w:val="both"/>
              <w:rPr>
                <w:rFonts w:eastAsia="Times New Roman" w:cs="Calibri"/>
                <w:noProof/>
              </w:rPr>
            </w:pPr>
            <w:r>
              <w:rPr>
                <w:noProof/>
              </w:rPr>
              <w:t>— Crearea de instrumente pentru a identifica ineficiențele, frauda și alte domenii de risc cu ajutorul algoritmilor IA;</w:t>
            </w:r>
          </w:p>
          <w:p w14:paraId="3CD59918" w14:textId="548FE233" w:rsidR="00A15990" w:rsidRDefault="00686A62">
            <w:pPr>
              <w:pStyle w:val="P68B1DB1-Normal8"/>
              <w:spacing w:after="0" w:line="240" w:lineRule="auto"/>
              <w:jc w:val="both"/>
              <w:rPr>
                <w:rFonts w:eastAsia="Times New Roman" w:cs="Calibri"/>
                <w:noProof/>
              </w:rPr>
            </w:pPr>
            <w:r>
              <w:rPr>
                <w:noProof/>
              </w:rPr>
              <w:t xml:space="preserve">— Punerea serviciilor de inteligență artificială la dispoziția diferitelor domenii ale administrației publice; </w:t>
            </w:r>
          </w:p>
          <w:p w14:paraId="3129C273" w14:textId="27DC1D7B" w:rsidR="00A15990" w:rsidRDefault="00686A62">
            <w:pPr>
              <w:pStyle w:val="P68B1DB1-Normal8"/>
              <w:spacing w:after="0" w:line="240" w:lineRule="auto"/>
              <w:jc w:val="both"/>
              <w:rPr>
                <w:rFonts w:eastAsia="Times New Roman" w:cs="Calibri"/>
                <w:noProof/>
              </w:rPr>
            </w:pPr>
            <w:r>
              <w:rPr>
                <w:noProof/>
              </w:rPr>
              <w:t>— Automatizarea procesului decizional în diferite domenii ale administrației publice.</w:t>
            </w:r>
          </w:p>
        </w:tc>
      </w:tr>
      <w:tr w:rsidR="00A15990" w14:paraId="466B5AF3" w14:textId="77777777">
        <w:trPr>
          <w:trHeight w:val="290"/>
        </w:trPr>
        <w:tc>
          <w:tcPr>
            <w:tcW w:w="1082" w:type="dxa"/>
            <w:shd w:val="clear" w:color="auto" w:fill="C4EFCE"/>
            <w:vAlign w:val="center"/>
          </w:tcPr>
          <w:p w14:paraId="7C2288AD" w14:textId="6CE5E3E0" w:rsidR="00A15990" w:rsidRDefault="00686A62">
            <w:pPr>
              <w:pStyle w:val="P68B1DB1-Normal7"/>
              <w:spacing w:after="0" w:line="240" w:lineRule="auto"/>
              <w:jc w:val="center"/>
              <w:rPr>
                <w:rFonts w:eastAsia="Times New Roman" w:cs="Calibri"/>
                <w:noProof/>
              </w:rPr>
            </w:pPr>
            <w:r>
              <w:rPr>
                <w:noProof/>
              </w:rPr>
              <w:t>19.18</w:t>
            </w:r>
          </w:p>
        </w:tc>
        <w:tc>
          <w:tcPr>
            <w:tcW w:w="1211" w:type="dxa"/>
            <w:shd w:val="clear" w:color="auto" w:fill="C4EFCE"/>
            <w:noWrap/>
            <w:vAlign w:val="center"/>
          </w:tcPr>
          <w:p w14:paraId="53E2405E" w14:textId="254C07E6" w:rsidR="00A15990" w:rsidRDefault="00686A62">
            <w:pPr>
              <w:pStyle w:val="P68B1DB1-Normal8"/>
              <w:spacing w:after="0" w:line="240" w:lineRule="auto"/>
              <w:jc w:val="center"/>
              <w:rPr>
                <w:rFonts w:eastAsia="Times New Roman" w:cs="Calibri"/>
                <w:noProof/>
              </w:rPr>
            </w:pPr>
            <w:r>
              <w:rPr>
                <w:noProof/>
              </w:rPr>
              <w:t>TD-C19-i06-RAA</w:t>
            </w:r>
          </w:p>
        </w:tc>
        <w:tc>
          <w:tcPr>
            <w:tcW w:w="1080" w:type="dxa"/>
            <w:shd w:val="clear" w:color="auto" w:fill="C4EFCE"/>
            <w:noWrap/>
            <w:vAlign w:val="center"/>
          </w:tcPr>
          <w:p w14:paraId="29CC492A" w14:textId="79FE0E99"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1D1FA322" w14:textId="428C6462" w:rsidR="00A15990" w:rsidRDefault="00686A62">
            <w:pPr>
              <w:pStyle w:val="P68B1DB1-Normal8"/>
              <w:spacing w:before="120" w:after="0" w:line="240" w:lineRule="auto"/>
              <w:jc w:val="both"/>
              <w:rPr>
                <w:rFonts w:eastAsia="Calibri" w:cs="Calibri"/>
                <w:noProof/>
                <w:highlight w:val="cyan"/>
              </w:rPr>
            </w:pPr>
            <w:r>
              <w:rPr>
                <w:noProof/>
              </w:rPr>
              <w:t>Digitalizarea administrației publice regionale a ARA</w:t>
            </w:r>
          </w:p>
        </w:tc>
        <w:tc>
          <w:tcPr>
            <w:tcW w:w="1343" w:type="dxa"/>
            <w:shd w:val="clear" w:color="auto" w:fill="C4EFCE"/>
            <w:noWrap/>
            <w:vAlign w:val="center"/>
          </w:tcPr>
          <w:p w14:paraId="61C1FEC8" w14:textId="112CCC73" w:rsidR="00A15990" w:rsidRDefault="00686A62">
            <w:pPr>
              <w:pStyle w:val="P68B1DB1-Normal8"/>
              <w:spacing w:after="0" w:line="240" w:lineRule="auto"/>
              <w:jc w:val="center"/>
              <w:rPr>
                <w:rFonts w:eastAsia="Times New Roman" w:cs="Calibri"/>
                <w:noProof/>
              </w:rPr>
            </w:pPr>
            <w:r>
              <w:rPr>
                <w:noProof/>
              </w:rPr>
              <w:t>Digitalizarea administrației publice regionale a ARA</w:t>
            </w:r>
          </w:p>
        </w:tc>
        <w:tc>
          <w:tcPr>
            <w:tcW w:w="1134" w:type="dxa"/>
            <w:shd w:val="clear" w:color="auto" w:fill="C4EFCE"/>
            <w:noWrap/>
            <w:vAlign w:val="center"/>
          </w:tcPr>
          <w:p w14:paraId="6A5817AB" w14:textId="77777777" w:rsidR="00A15990" w:rsidRDefault="00A15990">
            <w:pPr>
              <w:spacing w:after="0" w:line="240" w:lineRule="auto"/>
              <w:rPr>
                <w:rFonts w:ascii="Calibri" w:eastAsia="Times New Roman" w:hAnsi="Calibri" w:cs="Calibri"/>
                <w:noProof/>
                <w:sz w:val="16"/>
              </w:rPr>
            </w:pPr>
          </w:p>
        </w:tc>
        <w:tc>
          <w:tcPr>
            <w:tcW w:w="947" w:type="dxa"/>
            <w:shd w:val="clear" w:color="auto" w:fill="C4EFCE"/>
            <w:noWrap/>
            <w:vAlign w:val="center"/>
          </w:tcPr>
          <w:p w14:paraId="5090F33B" w14:textId="77777777" w:rsidR="00A15990" w:rsidRDefault="00A15990">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63CFFECA" w14:textId="77777777" w:rsidR="00A15990" w:rsidRDefault="00A15990">
            <w:pPr>
              <w:spacing w:after="0" w:line="240" w:lineRule="auto"/>
              <w:jc w:val="center"/>
              <w:rPr>
                <w:rFonts w:ascii="Calibri" w:eastAsia="Times New Roman" w:hAnsi="Calibri" w:cs="Calibri"/>
                <w:noProof/>
                <w:sz w:val="16"/>
              </w:rPr>
            </w:pPr>
          </w:p>
        </w:tc>
        <w:tc>
          <w:tcPr>
            <w:tcW w:w="550" w:type="dxa"/>
            <w:shd w:val="clear" w:color="auto" w:fill="C4EFCE"/>
            <w:noWrap/>
            <w:vAlign w:val="center"/>
          </w:tcPr>
          <w:p w14:paraId="3D6E7BDA" w14:textId="5384AC54"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tcPr>
          <w:p w14:paraId="52922652" w14:textId="077714E2" w:rsidR="00A15990" w:rsidRDefault="00686A62">
            <w:pPr>
              <w:pStyle w:val="P68B1DB1-Normal8"/>
              <w:spacing w:after="0" w:line="240" w:lineRule="auto"/>
              <w:jc w:val="center"/>
              <w:rPr>
                <w:rFonts w:eastAsia="Times New Roman" w:cs="Calibri"/>
                <w:noProof/>
              </w:rPr>
            </w:pPr>
            <w:r>
              <w:rPr>
                <w:noProof/>
              </w:rPr>
              <w:t>2025</w:t>
            </w:r>
          </w:p>
        </w:tc>
        <w:tc>
          <w:tcPr>
            <w:tcW w:w="4458" w:type="dxa"/>
            <w:shd w:val="clear" w:color="auto" w:fill="C4EFCE"/>
            <w:vAlign w:val="center"/>
          </w:tcPr>
          <w:p w14:paraId="3D491425" w14:textId="77777777" w:rsidR="00A15990" w:rsidRDefault="00686A62">
            <w:pPr>
              <w:pStyle w:val="P68B1DB1-Normal8"/>
              <w:tabs>
                <w:tab w:val="left" w:pos="710"/>
                <w:tab w:val="right" w:pos="1963"/>
              </w:tabs>
              <w:spacing w:after="0" w:line="288" w:lineRule="auto"/>
              <w:jc w:val="both"/>
              <w:rPr>
                <w:rFonts w:eastAsia="Times New Roman" w:cs="Calibri"/>
                <w:noProof/>
              </w:rPr>
            </w:pPr>
            <w:r>
              <w:rPr>
                <w:noProof/>
              </w:rPr>
              <w:t xml:space="preserve">Finalizarea a cinci proiecte: </w:t>
            </w:r>
          </w:p>
          <w:p w14:paraId="5A78D913" w14:textId="77777777" w:rsidR="00A15990" w:rsidRDefault="00686A62">
            <w:pPr>
              <w:pStyle w:val="P68B1DB1-Normal8"/>
              <w:tabs>
                <w:tab w:val="left" w:pos="710"/>
                <w:tab w:val="right" w:pos="1963"/>
              </w:tabs>
              <w:spacing w:after="0" w:line="288" w:lineRule="auto"/>
              <w:jc w:val="both"/>
              <w:rPr>
                <w:rFonts w:eastAsia="Times New Roman" w:cs="Calibri"/>
                <w:noProof/>
              </w:rPr>
            </w:pPr>
            <w:r>
              <w:rPr>
                <w:noProof/>
              </w:rPr>
              <w:t xml:space="preserve">APR + o administrație publică accesibilă, favorabilă incluziunii și deschisă </w:t>
            </w:r>
          </w:p>
          <w:p w14:paraId="3074EF7C" w14:textId="77777777" w:rsidR="00A15990" w:rsidRDefault="00686A62">
            <w:pPr>
              <w:pStyle w:val="P68B1DB1-Normal8"/>
              <w:tabs>
                <w:tab w:val="left" w:pos="710"/>
                <w:tab w:val="right" w:pos="1963"/>
              </w:tabs>
              <w:spacing w:after="0" w:line="288" w:lineRule="auto"/>
              <w:jc w:val="both"/>
              <w:rPr>
                <w:rFonts w:eastAsia="Times New Roman" w:cs="Calibri"/>
                <w:noProof/>
              </w:rPr>
            </w:pPr>
            <w:r>
              <w:rPr>
                <w:noProof/>
              </w:rPr>
              <w:t>APR + servicii publice mai flexibile și un sistem de control și gestionare a finanțelor publice.</w:t>
            </w:r>
          </w:p>
          <w:p w14:paraId="18AA1A5C" w14:textId="351449F8" w:rsidR="00A15990" w:rsidRDefault="00686A62">
            <w:pPr>
              <w:pStyle w:val="P68B1DB1-Normal8"/>
              <w:tabs>
                <w:tab w:val="left" w:pos="710"/>
                <w:tab w:val="right" w:pos="1963"/>
              </w:tabs>
              <w:spacing w:after="0" w:line="288" w:lineRule="auto"/>
              <w:jc w:val="both"/>
              <w:rPr>
                <w:rFonts w:eastAsia="Times New Roman" w:cs="Calibri"/>
                <w:noProof/>
              </w:rPr>
            </w:pPr>
            <w:r>
              <w:rPr>
                <w:noProof/>
              </w:rPr>
              <w:t xml:space="preserve">APR + Proactiva </w:t>
            </w:r>
          </w:p>
          <w:p w14:paraId="4BD5069C" w14:textId="6355AD50" w:rsidR="00A15990" w:rsidRDefault="00686A62">
            <w:pPr>
              <w:pStyle w:val="P68B1DB1-Normal8"/>
              <w:tabs>
                <w:tab w:val="left" w:pos="710"/>
                <w:tab w:val="right" w:pos="1963"/>
              </w:tabs>
              <w:spacing w:after="0" w:line="288" w:lineRule="auto"/>
              <w:jc w:val="both"/>
              <w:rPr>
                <w:rFonts w:ascii="Arial" w:eastAsia="Arial" w:hAnsi="Arial" w:cs="Arial"/>
                <w:noProof/>
                <w:sz w:val="15"/>
              </w:rPr>
            </w:pPr>
            <w:r>
              <w:rPr>
                <w:noProof/>
              </w:rPr>
              <w:t>Portal mobil pentru administrația publică regională – APR + adecvat pentru viitor</w:t>
            </w:r>
          </w:p>
        </w:tc>
      </w:tr>
      <w:tr w:rsidR="00A15990" w14:paraId="700CCFFC" w14:textId="77777777">
        <w:trPr>
          <w:trHeight w:val="430"/>
        </w:trPr>
        <w:tc>
          <w:tcPr>
            <w:tcW w:w="1082" w:type="dxa"/>
            <w:shd w:val="clear" w:color="auto" w:fill="C4EFCE"/>
            <w:vAlign w:val="center"/>
            <w:hideMark/>
          </w:tcPr>
          <w:p w14:paraId="6F89E376" w14:textId="77777777" w:rsidR="00A15990" w:rsidRDefault="00686A62">
            <w:pPr>
              <w:pStyle w:val="P68B1DB1-Normal7"/>
              <w:spacing w:after="0" w:line="240" w:lineRule="auto"/>
              <w:jc w:val="center"/>
              <w:rPr>
                <w:rFonts w:eastAsia="Times New Roman" w:cs="Calibri"/>
                <w:noProof/>
              </w:rPr>
            </w:pPr>
            <w:r>
              <w:rPr>
                <w:noProof/>
              </w:rPr>
              <w:t>19.19</w:t>
            </w:r>
          </w:p>
        </w:tc>
        <w:tc>
          <w:tcPr>
            <w:tcW w:w="1211" w:type="dxa"/>
            <w:shd w:val="clear" w:color="auto" w:fill="C4EFCE"/>
            <w:noWrap/>
            <w:vAlign w:val="center"/>
            <w:hideMark/>
          </w:tcPr>
          <w:p w14:paraId="17E815D0" w14:textId="77777777" w:rsidR="00A15990" w:rsidRDefault="00686A62">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3D998E6D"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6F9B879" w14:textId="77777777" w:rsidR="00A15990" w:rsidRDefault="00686A62">
            <w:pPr>
              <w:pStyle w:val="P68B1DB1-Normal8"/>
              <w:spacing w:after="0" w:line="240" w:lineRule="auto"/>
              <w:jc w:val="center"/>
              <w:rPr>
                <w:rFonts w:eastAsia="Times New Roman" w:cs="Calibri"/>
                <w:noProof/>
              </w:rPr>
            </w:pPr>
            <w:r>
              <w:rPr>
                <w:noProof/>
              </w:rPr>
              <w:t>Program de stagii pentru absolvenți</w:t>
            </w:r>
          </w:p>
        </w:tc>
        <w:tc>
          <w:tcPr>
            <w:tcW w:w="1343" w:type="dxa"/>
            <w:shd w:val="clear" w:color="auto" w:fill="C4EFCE"/>
            <w:noWrap/>
            <w:vAlign w:val="center"/>
            <w:hideMark/>
          </w:tcPr>
          <w:p w14:paraId="7526E1BB"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6FAEB2B9"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1C0B63B6"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7BFD045F" w14:textId="77777777" w:rsidR="00A15990" w:rsidRDefault="00686A62">
            <w:pPr>
              <w:pStyle w:val="P68B1DB1-Normal8"/>
              <w:spacing w:after="0" w:line="240" w:lineRule="auto"/>
              <w:jc w:val="center"/>
              <w:rPr>
                <w:rFonts w:eastAsia="Times New Roman" w:cs="Calibri"/>
                <w:noProof/>
              </w:rPr>
            </w:pPr>
            <w:r>
              <w:rPr>
                <w:noProof/>
              </w:rPr>
              <w:t>1 500</w:t>
            </w:r>
          </w:p>
        </w:tc>
        <w:tc>
          <w:tcPr>
            <w:tcW w:w="550" w:type="dxa"/>
            <w:shd w:val="clear" w:color="auto" w:fill="C4EFCE"/>
            <w:noWrap/>
            <w:vAlign w:val="center"/>
            <w:hideMark/>
          </w:tcPr>
          <w:p w14:paraId="349DA6C0" w14:textId="77777777"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hideMark/>
          </w:tcPr>
          <w:p w14:paraId="1F12DF81" w14:textId="77777777" w:rsidR="00A15990" w:rsidRDefault="00686A62">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321523D7" w14:textId="77777777" w:rsidR="00A15990" w:rsidRDefault="00686A62">
            <w:pPr>
              <w:pStyle w:val="P68B1DB1-Normal8"/>
              <w:spacing w:after="0" w:line="240" w:lineRule="auto"/>
              <w:jc w:val="both"/>
              <w:rPr>
                <w:rFonts w:eastAsia="Times New Roman" w:cs="Calibri"/>
                <w:noProof/>
              </w:rPr>
            </w:pPr>
            <w:r>
              <w:rPr>
                <w:noProof/>
              </w:rPr>
              <w:t xml:space="preserve">Numărul de absolvenți care au frecventat programul de stagii în administrația publică instituit în temeiul </w:t>
            </w:r>
            <w:r>
              <w:rPr>
                <w:i/>
                <w:noProof/>
              </w:rPr>
              <w:t>Resolução do Conselho de Ministros n.º 11/2021</w:t>
            </w:r>
            <w:r>
              <w:rPr>
                <w:noProof/>
              </w:rPr>
              <w:t xml:space="preserve">  </w:t>
            </w:r>
          </w:p>
        </w:tc>
      </w:tr>
      <w:tr w:rsidR="00A15990" w14:paraId="7C101E4F" w14:textId="77777777">
        <w:trPr>
          <w:trHeight w:val="845"/>
        </w:trPr>
        <w:tc>
          <w:tcPr>
            <w:tcW w:w="1082" w:type="dxa"/>
            <w:shd w:val="clear" w:color="auto" w:fill="C4EFCE"/>
            <w:vAlign w:val="center"/>
            <w:hideMark/>
          </w:tcPr>
          <w:p w14:paraId="3693F16E" w14:textId="77777777" w:rsidR="00A15990" w:rsidRDefault="00686A62">
            <w:pPr>
              <w:pStyle w:val="P68B1DB1-Normal7"/>
              <w:spacing w:after="0" w:line="240" w:lineRule="auto"/>
              <w:jc w:val="center"/>
              <w:rPr>
                <w:rFonts w:eastAsia="Times New Roman" w:cs="Calibri"/>
                <w:noProof/>
              </w:rPr>
            </w:pPr>
            <w:r>
              <w:rPr>
                <w:noProof/>
              </w:rPr>
              <w:t>19.20</w:t>
            </w:r>
          </w:p>
        </w:tc>
        <w:tc>
          <w:tcPr>
            <w:tcW w:w="1211" w:type="dxa"/>
            <w:shd w:val="clear" w:color="auto" w:fill="C4EFCE"/>
            <w:noWrap/>
            <w:vAlign w:val="center"/>
            <w:hideMark/>
          </w:tcPr>
          <w:p w14:paraId="64A1DE9A" w14:textId="77777777" w:rsidR="00A15990" w:rsidRDefault="00686A62">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30E5AB63"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75ECCEF3" w14:textId="77777777" w:rsidR="00A15990" w:rsidRDefault="00686A62">
            <w:pPr>
              <w:pStyle w:val="P68B1DB1-Normal8"/>
              <w:spacing w:after="0" w:line="240" w:lineRule="auto"/>
              <w:jc w:val="center"/>
              <w:rPr>
                <w:rFonts w:eastAsia="Times New Roman" w:cs="Calibri"/>
                <w:noProof/>
              </w:rPr>
            </w:pPr>
            <w:r>
              <w:rPr>
                <w:noProof/>
              </w:rPr>
              <w:t xml:space="preserve">Angajații din serviciile publice care lucrează la distanță </w:t>
            </w:r>
          </w:p>
        </w:tc>
        <w:tc>
          <w:tcPr>
            <w:tcW w:w="1343" w:type="dxa"/>
            <w:shd w:val="clear" w:color="auto" w:fill="C4EFCE"/>
            <w:noWrap/>
            <w:vAlign w:val="center"/>
            <w:hideMark/>
          </w:tcPr>
          <w:p w14:paraId="18CC4640"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6FAFD665" w14:textId="77777777" w:rsidR="00A15990" w:rsidRDefault="00686A62">
            <w:pPr>
              <w:pStyle w:val="P68B1DB1-Normal8"/>
              <w:spacing w:after="0" w:line="240" w:lineRule="auto"/>
              <w:jc w:val="center"/>
              <w:rPr>
                <w:rFonts w:eastAsia="Times New Roman" w:cs="Calibri"/>
                <w:noProof/>
              </w:rPr>
            </w:pPr>
            <w:r>
              <w:rPr>
                <w:noProof/>
              </w:rPr>
              <w:t>%</w:t>
            </w:r>
          </w:p>
        </w:tc>
        <w:tc>
          <w:tcPr>
            <w:tcW w:w="947" w:type="dxa"/>
            <w:shd w:val="clear" w:color="auto" w:fill="C4EFCE"/>
            <w:noWrap/>
            <w:vAlign w:val="center"/>
            <w:hideMark/>
          </w:tcPr>
          <w:p w14:paraId="47C0D607"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BDFB5C4" w14:textId="77777777" w:rsidR="00A15990" w:rsidRDefault="00686A62">
            <w:pPr>
              <w:pStyle w:val="P68B1DB1-Normal8"/>
              <w:spacing w:after="0" w:line="240" w:lineRule="auto"/>
              <w:jc w:val="center"/>
              <w:rPr>
                <w:rFonts w:eastAsia="Times New Roman" w:cs="Calibri"/>
                <w:noProof/>
              </w:rPr>
            </w:pPr>
            <w:r>
              <w:rPr>
                <w:noProof/>
              </w:rPr>
              <w:t>25</w:t>
            </w:r>
          </w:p>
        </w:tc>
        <w:tc>
          <w:tcPr>
            <w:tcW w:w="550" w:type="dxa"/>
            <w:shd w:val="clear" w:color="auto" w:fill="C4EFCE"/>
            <w:noWrap/>
            <w:vAlign w:val="center"/>
            <w:hideMark/>
          </w:tcPr>
          <w:p w14:paraId="604CF745" w14:textId="77777777"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hideMark/>
          </w:tcPr>
          <w:p w14:paraId="03B6EE75" w14:textId="77777777" w:rsidR="00A15990" w:rsidRDefault="00686A62">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1BE6B08F" w14:textId="77777777" w:rsidR="00A15990" w:rsidRDefault="00686A62">
            <w:pPr>
              <w:pStyle w:val="P68B1DB1-Normal8"/>
              <w:spacing w:after="0" w:line="240" w:lineRule="auto"/>
              <w:jc w:val="both"/>
              <w:rPr>
                <w:rFonts w:eastAsia="Times New Roman" w:cs="Calibri"/>
                <w:noProof/>
              </w:rPr>
            </w:pPr>
            <w:r>
              <w:rPr>
                <w:noProof/>
              </w:rPr>
              <w:t>Procentul lucrătorilor cu funcții compatibile cu telemunca care lucrează în mod eficace în telemuncă</w:t>
            </w:r>
          </w:p>
        </w:tc>
      </w:tr>
      <w:tr w:rsidR="00A15990" w14:paraId="257C5019" w14:textId="77777777">
        <w:trPr>
          <w:trHeight w:val="290"/>
        </w:trPr>
        <w:tc>
          <w:tcPr>
            <w:tcW w:w="1082" w:type="dxa"/>
            <w:shd w:val="clear" w:color="auto" w:fill="C4EFCE"/>
            <w:vAlign w:val="center"/>
            <w:hideMark/>
          </w:tcPr>
          <w:p w14:paraId="1167BE07" w14:textId="77777777" w:rsidR="00A15990" w:rsidRDefault="00686A62">
            <w:pPr>
              <w:pStyle w:val="P68B1DB1-Normal7"/>
              <w:spacing w:after="0" w:line="240" w:lineRule="auto"/>
              <w:jc w:val="center"/>
              <w:rPr>
                <w:rFonts w:eastAsia="Times New Roman" w:cs="Calibri"/>
                <w:noProof/>
              </w:rPr>
            </w:pPr>
            <w:r>
              <w:rPr>
                <w:noProof/>
              </w:rPr>
              <w:t>19.21</w:t>
            </w:r>
          </w:p>
        </w:tc>
        <w:tc>
          <w:tcPr>
            <w:tcW w:w="1211" w:type="dxa"/>
            <w:shd w:val="clear" w:color="auto" w:fill="C4EFCE"/>
            <w:noWrap/>
            <w:vAlign w:val="center"/>
            <w:hideMark/>
          </w:tcPr>
          <w:p w14:paraId="53F1D9CD" w14:textId="77777777" w:rsidR="00A15990" w:rsidRDefault="00686A62">
            <w:pPr>
              <w:pStyle w:val="P68B1DB1-Normal8"/>
              <w:spacing w:after="0" w:line="240" w:lineRule="auto"/>
              <w:jc w:val="center"/>
              <w:rPr>
                <w:rFonts w:eastAsia="Times New Roman" w:cs="Calibri"/>
                <w:noProof/>
              </w:rPr>
            </w:pPr>
            <w:r>
              <w:rPr>
                <w:noProof/>
              </w:rPr>
              <w:t>TD-C19-i07</w:t>
            </w:r>
          </w:p>
        </w:tc>
        <w:tc>
          <w:tcPr>
            <w:tcW w:w="1080" w:type="dxa"/>
            <w:shd w:val="clear" w:color="auto" w:fill="C4EFCE"/>
            <w:noWrap/>
            <w:vAlign w:val="center"/>
            <w:hideMark/>
          </w:tcPr>
          <w:p w14:paraId="003D5D5A" w14:textId="77777777" w:rsidR="00A15990" w:rsidRDefault="00686A62">
            <w:pPr>
              <w:pStyle w:val="P68B1DB1-Normal8"/>
              <w:spacing w:after="0" w:line="240" w:lineRule="auto"/>
              <w:jc w:val="center"/>
              <w:rPr>
                <w:rFonts w:eastAsia="Times New Roman" w:cs="Calibri"/>
                <w:noProof/>
              </w:rPr>
            </w:pPr>
            <w:r>
              <w:rPr>
                <w:noProof/>
              </w:rPr>
              <w:t>T</w:t>
            </w:r>
          </w:p>
        </w:tc>
        <w:tc>
          <w:tcPr>
            <w:tcW w:w="1609" w:type="dxa"/>
            <w:shd w:val="clear" w:color="auto" w:fill="C4EFCE"/>
            <w:noWrap/>
            <w:vAlign w:val="center"/>
            <w:hideMark/>
          </w:tcPr>
          <w:p w14:paraId="4D32EAEF" w14:textId="77777777" w:rsidR="00A15990" w:rsidRDefault="00686A62">
            <w:pPr>
              <w:pStyle w:val="P68B1DB1-Normal8"/>
              <w:spacing w:after="0" w:line="240" w:lineRule="auto"/>
              <w:jc w:val="center"/>
              <w:rPr>
                <w:rFonts w:eastAsia="Times New Roman" w:cs="Calibri"/>
                <w:noProof/>
              </w:rPr>
            </w:pPr>
            <w:r>
              <w:rPr>
                <w:noProof/>
              </w:rPr>
              <w:t>Formarea angajaților din administrația publică</w:t>
            </w:r>
          </w:p>
        </w:tc>
        <w:tc>
          <w:tcPr>
            <w:tcW w:w="1343" w:type="dxa"/>
            <w:shd w:val="clear" w:color="auto" w:fill="C4EFCE"/>
            <w:noWrap/>
            <w:vAlign w:val="center"/>
            <w:hideMark/>
          </w:tcPr>
          <w:p w14:paraId="356BB73B" w14:textId="77777777" w:rsidR="00A15990" w:rsidRDefault="00686A62">
            <w:pPr>
              <w:pStyle w:val="P68B1DB1-Normal8"/>
              <w:spacing w:after="0" w:line="240" w:lineRule="auto"/>
              <w:jc w:val="center"/>
              <w:rPr>
                <w:rFonts w:eastAsia="Times New Roman" w:cs="Calibri"/>
                <w:noProof/>
              </w:rPr>
            </w:pPr>
            <w:r>
              <w:rPr>
                <w:noProof/>
              </w:rPr>
              <w:t> </w:t>
            </w:r>
          </w:p>
        </w:tc>
        <w:tc>
          <w:tcPr>
            <w:tcW w:w="1134" w:type="dxa"/>
            <w:shd w:val="clear" w:color="auto" w:fill="C4EFCE"/>
            <w:noWrap/>
            <w:vAlign w:val="center"/>
            <w:hideMark/>
          </w:tcPr>
          <w:p w14:paraId="00612396" w14:textId="77777777" w:rsidR="00A15990" w:rsidRDefault="00686A62">
            <w:pPr>
              <w:pStyle w:val="P68B1DB1-Normal8"/>
              <w:spacing w:after="0" w:line="240" w:lineRule="auto"/>
              <w:jc w:val="center"/>
              <w:rPr>
                <w:rFonts w:eastAsia="Times New Roman" w:cs="Calibri"/>
                <w:noProof/>
              </w:rPr>
            </w:pPr>
            <w:r>
              <w:rPr>
                <w:noProof/>
              </w:rPr>
              <w:t>Numărul</w:t>
            </w:r>
          </w:p>
        </w:tc>
        <w:tc>
          <w:tcPr>
            <w:tcW w:w="947" w:type="dxa"/>
            <w:shd w:val="clear" w:color="auto" w:fill="C4EFCE"/>
            <w:noWrap/>
            <w:vAlign w:val="center"/>
            <w:hideMark/>
          </w:tcPr>
          <w:p w14:paraId="299EDA1B" w14:textId="77777777" w:rsidR="00A15990" w:rsidRDefault="00686A62">
            <w:pPr>
              <w:pStyle w:val="P68B1DB1-Normal8"/>
              <w:spacing w:after="0" w:line="240" w:lineRule="auto"/>
              <w:jc w:val="center"/>
              <w:rPr>
                <w:rFonts w:eastAsia="Times New Roman" w:cs="Calibri"/>
                <w:noProof/>
              </w:rPr>
            </w:pPr>
            <w:r>
              <w:rPr>
                <w:noProof/>
              </w:rPr>
              <w:t>0</w:t>
            </w:r>
          </w:p>
        </w:tc>
        <w:tc>
          <w:tcPr>
            <w:tcW w:w="682" w:type="dxa"/>
            <w:shd w:val="clear" w:color="auto" w:fill="C4EFCE"/>
            <w:noWrap/>
            <w:vAlign w:val="center"/>
            <w:hideMark/>
          </w:tcPr>
          <w:p w14:paraId="4E220285" w14:textId="3C6BE53E" w:rsidR="00A15990" w:rsidRDefault="00686A62">
            <w:pPr>
              <w:pStyle w:val="P68B1DB1-Normal8"/>
              <w:spacing w:after="0" w:line="240" w:lineRule="auto"/>
              <w:jc w:val="center"/>
              <w:rPr>
                <w:rFonts w:eastAsia="Times New Roman" w:cs="Calibri"/>
                <w:noProof/>
              </w:rPr>
            </w:pPr>
            <w:r>
              <w:rPr>
                <w:noProof/>
              </w:rPr>
              <w:t>96 400</w:t>
            </w:r>
          </w:p>
        </w:tc>
        <w:tc>
          <w:tcPr>
            <w:tcW w:w="550" w:type="dxa"/>
            <w:shd w:val="clear" w:color="auto" w:fill="C4EFCE"/>
            <w:noWrap/>
            <w:vAlign w:val="center"/>
            <w:hideMark/>
          </w:tcPr>
          <w:p w14:paraId="09C77FD6" w14:textId="77777777" w:rsidR="00A15990" w:rsidRDefault="00686A62">
            <w:pPr>
              <w:pStyle w:val="P68B1DB1-Normal8"/>
              <w:spacing w:after="0" w:line="240" w:lineRule="auto"/>
              <w:jc w:val="center"/>
              <w:rPr>
                <w:rFonts w:eastAsia="Times New Roman" w:cs="Calibri"/>
                <w:noProof/>
              </w:rPr>
            </w:pPr>
            <w:r>
              <w:rPr>
                <w:noProof/>
              </w:rPr>
              <w:t>TRIMESTRUL 1</w:t>
            </w:r>
          </w:p>
        </w:tc>
        <w:tc>
          <w:tcPr>
            <w:tcW w:w="682" w:type="dxa"/>
            <w:shd w:val="clear" w:color="auto" w:fill="C4EFCE"/>
            <w:noWrap/>
            <w:vAlign w:val="center"/>
            <w:hideMark/>
          </w:tcPr>
          <w:p w14:paraId="457FEE36" w14:textId="77777777" w:rsidR="00A15990" w:rsidRDefault="00686A62">
            <w:pPr>
              <w:pStyle w:val="P68B1DB1-Normal8"/>
              <w:spacing w:after="0" w:line="240" w:lineRule="auto"/>
              <w:jc w:val="center"/>
              <w:rPr>
                <w:rFonts w:eastAsia="Times New Roman" w:cs="Calibri"/>
                <w:noProof/>
              </w:rPr>
            </w:pPr>
            <w:r>
              <w:rPr>
                <w:noProof/>
              </w:rPr>
              <w:t>2026</w:t>
            </w:r>
          </w:p>
        </w:tc>
        <w:tc>
          <w:tcPr>
            <w:tcW w:w="4458" w:type="dxa"/>
            <w:shd w:val="clear" w:color="auto" w:fill="C4EFCE"/>
            <w:vAlign w:val="center"/>
            <w:hideMark/>
          </w:tcPr>
          <w:p w14:paraId="5E2A4ED8" w14:textId="77777777" w:rsidR="00A15990" w:rsidRDefault="00686A62">
            <w:pPr>
              <w:pStyle w:val="P68B1DB1-Normal8"/>
              <w:spacing w:after="0" w:line="240" w:lineRule="auto"/>
              <w:jc w:val="both"/>
              <w:rPr>
                <w:rFonts w:eastAsia="Times New Roman" w:cs="Calibri"/>
                <w:noProof/>
              </w:rPr>
            </w:pPr>
            <w:r>
              <w:rPr>
                <w:noProof/>
              </w:rPr>
              <w:t>Numărul de participanți la formare în cadrul următoarelor programe de consolidare a capacităților:</w:t>
            </w:r>
          </w:p>
          <w:p w14:paraId="3545F647" w14:textId="77777777" w:rsidR="00A15990" w:rsidRDefault="00686A62">
            <w:pPr>
              <w:pStyle w:val="P68B1DB1-Normal8"/>
              <w:spacing w:after="0" w:line="240" w:lineRule="auto"/>
              <w:jc w:val="both"/>
              <w:rPr>
                <w:rFonts w:eastAsia="Times New Roman" w:cs="Calibri"/>
                <w:noProof/>
              </w:rPr>
            </w:pPr>
            <w:r>
              <w:rPr>
                <w:i/>
                <w:noProof/>
              </w:rPr>
              <w:t>Programa de capacitação digital</w:t>
            </w:r>
            <w:r>
              <w:rPr>
                <w:noProof/>
              </w:rPr>
              <w:t xml:space="preserve"> </w:t>
            </w:r>
          </w:p>
          <w:p w14:paraId="4161D919" w14:textId="77777777" w:rsidR="00A15990" w:rsidRDefault="00686A62">
            <w:pPr>
              <w:pStyle w:val="P68B1DB1-Normal8"/>
              <w:spacing w:after="0" w:line="240" w:lineRule="auto"/>
              <w:jc w:val="both"/>
              <w:rPr>
                <w:rFonts w:eastAsia="Times New Roman" w:cs="Calibri"/>
                <w:noProof/>
              </w:rPr>
            </w:pPr>
            <w:r>
              <w:rPr>
                <w:noProof/>
              </w:rPr>
              <w:t xml:space="preserve">Învățământ avansat și superior în management </w:t>
            </w:r>
          </w:p>
          <w:p w14:paraId="6D3A99C1" w14:textId="77777777" w:rsidR="00A15990" w:rsidRDefault="00686A62">
            <w:pPr>
              <w:pStyle w:val="P68B1DB1-Normal8"/>
              <w:spacing w:after="0" w:line="240" w:lineRule="auto"/>
              <w:jc w:val="both"/>
              <w:rPr>
                <w:rFonts w:eastAsia="Times New Roman" w:cs="Calibri"/>
                <w:i/>
                <w:noProof/>
              </w:rPr>
            </w:pPr>
            <w:r>
              <w:rPr>
                <w:noProof/>
              </w:rPr>
              <w:t xml:space="preserve">Formare pentru </w:t>
            </w:r>
            <w:r>
              <w:rPr>
                <w:i/>
                <w:noProof/>
              </w:rPr>
              <w:t xml:space="preserve">Lojas do Cidadão/Espaços Cidadão </w:t>
            </w:r>
          </w:p>
          <w:p w14:paraId="0F98079D" w14:textId="77777777" w:rsidR="00A15990" w:rsidRDefault="00686A62">
            <w:pPr>
              <w:pStyle w:val="P68B1DB1-Normal8"/>
              <w:spacing w:after="0" w:line="240" w:lineRule="auto"/>
              <w:jc w:val="both"/>
              <w:rPr>
                <w:rFonts w:eastAsia="Times New Roman" w:cs="Calibri"/>
                <w:noProof/>
              </w:rPr>
            </w:pPr>
            <w:r>
              <w:rPr>
                <w:noProof/>
              </w:rPr>
              <w:t>Programul</w:t>
            </w:r>
            <w:r>
              <w:rPr>
                <w:i/>
                <w:noProof/>
              </w:rPr>
              <w:t>AP „Qualifica AP</w:t>
            </w:r>
            <w:r>
              <w:rPr>
                <w:noProof/>
              </w:rPr>
              <w:t xml:space="preserve">” </w:t>
            </w:r>
          </w:p>
          <w:p w14:paraId="6471EAAE" w14:textId="77777777" w:rsidR="00A15990" w:rsidRDefault="00686A62">
            <w:pPr>
              <w:pStyle w:val="P68B1DB1-Normal8"/>
              <w:spacing w:after="0" w:line="240" w:lineRule="auto"/>
              <w:jc w:val="both"/>
              <w:rPr>
                <w:rFonts w:eastAsia="Times New Roman" w:cs="Calibri"/>
                <w:noProof/>
              </w:rPr>
            </w:pPr>
            <w:r>
              <w:rPr>
                <w:noProof/>
              </w:rPr>
              <w:t>PlanAPP – proiect privind competențele de planificare și prospectivă</w:t>
            </w:r>
          </w:p>
          <w:p w14:paraId="57E273AB" w14:textId="2AC231AE" w:rsidR="00A15990" w:rsidRDefault="00686A62">
            <w:pPr>
              <w:pStyle w:val="P68B1DB1-Normal8"/>
              <w:spacing w:after="0" w:line="240" w:lineRule="auto"/>
              <w:jc w:val="both"/>
              <w:rPr>
                <w:rFonts w:eastAsia="Times New Roman" w:cs="Calibri"/>
                <w:noProof/>
              </w:rPr>
            </w:pPr>
            <w:r>
              <w:rPr>
                <w:noProof/>
              </w:rPr>
              <w:t>SIADAP</w:t>
            </w:r>
          </w:p>
        </w:tc>
      </w:tr>
      <w:tr w:rsidR="00A15990" w14:paraId="7FBC13AB" w14:textId="77777777">
        <w:trPr>
          <w:trHeight w:val="290"/>
        </w:trPr>
        <w:tc>
          <w:tcPr>
            <w:tcW w:w="1082" w:type="dxa"/>
            <w:shd w:val="clear" w:color="auto" w:fill="C4EFCE"/>
            <w:vAlign w:val="center"/>
          </w:tcPr>
          <w:p w14:paraId="58D022BD" w14:textId="64345F0E" w:rsidR="00A15990" w:rsidRDefault="00686A62">
            <w:pPr>
              <w:pStyle w:val="P68B1DB1-Normal7"/>
              <w:spacing w:after="0" w:line="240" w:lineRule="auto"/>
              <w:jc w:val="center"/>
              <w:rPr>
                <w:rFonts w:eastAsia="Times New Roman" w:cs="Calibri"/>
                <w:noProof/>
              </w:rPr>
            </w:pPr>
            <w:r>
              <w:rPr>
                <w:noProof/>
              </w:rPr>
              <w:t>19.22</w:t>
            </w:r>
          </w:p>
        </w:tc>
        <w:tc>
          <w:tcPr>
            <w:tcW w:w="1211" w:type="dxa"/>
            <w:shd w:val="clear" w:color="auto" w:fill="C4EFCE"/>
            <w:noWrap/>
            <w:vAlign w:val="center"/>
          </w:tcPr>
          <w:p w14:paraId="43D1A15C" w14:textId="13068CEA" w:rsidR="00A15990" w:rsidRDefault="00686A62">
            <w:pPr>
              <w:pStyle w:val="P68B1DB1-Normal8"/>
              <w:spacing w:after="0" w:line="240" w:lineRule="auto"/>
              <w:jc w:val="center"/>
              <w:rPr>
                <w:rFonts w:eastAsia="Times New Roman" w:cs="Calibri"/>
                <w:noProof/>
              </w:rPr>
            </w:pPr>
            <w:r>
              <w:rPr>
                <w:noProof/>
              </w:rPr>
              <w:t>TD-C19-r34</w:t>
            </w:r>
          </w:p>
        </w:tc>
        <w:tc>
          <w:tcPr>
            <w:tcW w:w="1080" w:type="dxa"/>
            <w:shd w:val="clear" w:color="auto" w:fill="C4EFCE"/>
            <w:noWrap/>
            <w:vAlign w:val="center"/>
          </w:tcPr>
          <w:p w14:paraId="5C282FC5" w14:textId="21349B74"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tcPr>
          <w:p w14:paraId="0CBD813F" w14:textId="660102B3" w:rsidR="00A15990" w:rsidRDefault="00686A62">
            <w:pPr>
              <w:pStyle w:val="P68B1DB1-Normal8"/>
              <w:spacing w:after="0" w:line="240" w:lineRule="auto"/>
              <w:jc w:val="center"/>
              <w:rPr>
                <w:rFonts w:eastAsia="Times New Roman" w:cs="Calibri"/>
                <w:noProof/>
              </w:rPr>
            </w:pPr>
            <w:r>
              <w:rPr>
                <w:noProof/>
              </w:rPr>
              <w:t>Intrarea în vigoare a cadrului juridic pentru transformarea digitală a administrației publice</w:t>
            </w:r>
          </w:p>
        </w:tc>
        <w:tc>
          <w:tcPr>
            <w:tcW w:w="1343" w:type="dxa"/>
            <w:shd w:val="clear" w:color="auto" w:fill="C4EFCE"/>
            <w:noWrap/>
            <w:vAlign w:val="center"/>
          </w:tcPr>
          <w:p w14:paraId="5D13F7D8" w14:textId="7CE7177C" w:rsidR="00A15990" w:rsidRDefault="00686A62">
            <w:pPr>
              <w:pStyle w:val="P68B1DB1-Normal8"/>
              <w:spacing w:after="0" w:line="240" w:lineRule="auto"/>
              <w:jc w:val="center"/>
              <w:rPr>
                <w:rFonts w:eastAsia="Times New Roman" w:cs="Calibri"/>
                <w:noProof/>
              </w:rPr>
            </w:pPr>
            <w:r>
              <w:rPr>
                <w:noProof/>
              </w:rPr>
              <w:t>Intrarea în vigoare a cadrului juridic pentru transformarea digitală a administrației publice</w:t>
            </w:r>
          </w:p>
        </w:tc>
        <w:tc>
          <w:tcPr>
            <w:tcW w:w="1134" w:type="dxa"/>
            <w:shd w:val="clear" w:color="auto" w:fill="C4EFCE"/>
            <w:noWrap/>
            <w:vAlign w:val="center"/>
          </w:tcPr>
          <w:p w14:paraId="62180EE1" w14:textId="77777777" w:rsidR="00A15990" w:rsidRDefault="00A15990">
            <w:pPr>
              <w:spacing w:after="0" w:line="240" w:lineRule="auto"/>
              <w:jc w:val="center"/>
              <w:rPr>
                <w:rFonts w:ascii="Calibri" w:eastAsia="Times New Roman" w:hAnsi="Calibri" w:cs="Calibri"/>
                <w:noProof/>
                <w:sz w:val="16"/>
              </w:rPr>
            </w:pPr>
          </w:p>
        </w:tc>
        <w:tc>
          <w:tcPr>
            <w:tcW w:w="947" w:type="dxa"/>
            <w:shd w:val="clear" w:color="auto" w:fill="C4EFCE"/>
            <w:noWrap/>
            <w:vAlign w:val="center"/>
          </w:tcPr>
          <w:p w14:paraId="4FFFBFC7" w14:textId="77777777" w:rsidR="00A15990" w:rsidRDefault="00A15990">
            <w:pPr>
              <w:spacing w:after="0" w:line="240" w:lineRule="auto"/>
              <w:jc w:val="center"/>
              <w:rPr>
                <w:rFonts w:ascii="Calibri" w:eastAsia="Times New Roman" w:hAnsi="Calibri" w:cs="Calibri"/>
                <w:noProof/>
                <w:sz w:val="16"/>
              </w:rPr>
            </w:pPr>
          </w:p>
        </w:tc>
        <w:tc>
          <w:tcPr>
            <w:tcW w:w="682" w:type="dxa"/>
            <w:shd w:val="clear" w:color="auto" w:fill="C4EFCE"/>
            <w:noWrap/>
            <w:vAlign w:val="center"/>
          </w:tcPr>
          <w:p w14:paraId="216D20AB" w14:textId="77777777" w:rsidR="00A15990" w:rsidRDefault="00A15990">
            <w:pPr>
              <w:spacing w:after="0" w:line="240" w:lineRule="auto"/>
              <w:jc w:val="center"/>
              <w:rPr>
                <w:rFonts w:ascii="Calibri" w:eastAsia="Times New Roman" w:hAnsi="Calibri" w:cs="Calibri"/>
                <w:noProof/>
                <w:sz w:val="16"/>
                <w:highlight w:val="yellow"/>
              </w:rPr>
            </w:pPr>
          </w:p>
        </w:tc>
        <w:tc>
          <w:tcPr>
            <w:tcW w:w="550" w:type="dxa"/>
            <w:shd w:val="clear" w:color="auto" w:fill="C4EFCE"/>
            <w:noWrap/>
            <w:vAlign w:val="center"/>
          </w:tcPr>
          <w:p w14:paraId="728AFEC2" w14:textId="63AE4ED8" w:rsidR="00A15990" w:rsidRDefault="00686A62">
            <w:pPr>
              <w:pStyle w:val="P68B1DB1-Normal8"/>
              <w:spacing w:after="0" w:line="240" w:lineRule="auto"/>
              <w:jc w:val="center"/>
              <w:rPr>
                <w:rFonts w:eastAsia="Times New Roman" w:cs="Calibri"/>
                <w:noProof/>
              </w:rPr>
            </w:pPr>
            <w:r>
              <w:rPr>
                <w:noProof/>
              </w:rPr>
              <w:t>TRIMESTRUL 3</w:t>
            </w:r>
          </w:p>
        </w:tc>
        <w:tc>
          <w:tcPr>
            <w:tcW w:w="682" w:type="dxa"/>
            <w:shd w:val="clear" w:color="auto" w:fill="C4EFCE"/>
            <w:noWrap/>
            <w:vAlign w:val="center"/>
          </w:tcPr>
          <w:p w14:paraId="595C52FC" w14:textId="2C811559" w:rsidR="00A15990" w:rsidRDefault="00686A62">
            <w:pPr>
              <w:pStyle w:val="P68B1DB1-Normal8"/>
              <w:spacing w:after="0" w:line="240" w:lineRule="auto"/>
              <w:jc w:val="center"/>
              <w:rPr>
                <w:rFonts w:eastAsia="Times New Roman" w:cs="Calibri"/>
                <w:noProof/>
              </w:rPr>
            </w:pPr>
            <w:r>
              <w:rPr>
                <w:noProof/>
              </w:rPr>
              <w:t>2021</w:t>
            </w:r>
          </w:p>
        </w:tc>
        <w:tc>
          <w:tcPr>
            <w:tcW w:w="4458" w:type="dxa"/>
            <w:shd w:val="clear" w:color="auto" w:fill="C4EFCE"/>
            <w:vAlign w:val="center"/>
          </w:tcPr>
          <w:p w14:paraId="1CD11544" w14:textId="77777777" w:rsidR="00A15990" w:rsidRDefault="00686A62">
            <w:pPr>
              <w:pStyle w:val="P68B1DB1-Normal8"/>
              <w:spacing w:after="0" w:line="240" w:lineRule="auto"/>
              <w:jc w:val="both"/>
              <w:rPr>
                <w:rFonts w:eastAsia="Times New Roman" w:cs="Calibri"/>
                <w:noProof/>
              </w:rPr>
            </w:pPr>
            <w:r>
              <w:rPr>
                <w:noProof/>
              </w:rPr>
              <w:t xml:space="preserve">Intrarea în vigoare a cadrului juridic pentru transformarea digitală a administrației publice: </w:t>
            </w:r>
          </w:p>
          <w:p w14:paraId="42F64203" w14:textId="77777777" w:rsidR="00A15990" w:rsidRDefault="00686A62">
            <w:pPr>
              <w:pStyle w:val="P68B1DB1-Normal8"/>
              <w:spacing w:after="0" w:line="240" w:lineRule="auto"/>
              <w:jc w:val="both"/>
              <w:rPr>
                <w:rFonts w:eastAsia="Times New Roman" w:cs="Calibri"/>
                <w:noProof/>
              </w:rPr>
            </w:pPr>
            <w:r>
              <w:rPr>
                <w:noProof/>
              </w:rPr>
              <w:t xml:space="preserve">I) Strategia și planul de acțiune transversal pentru transformarea digitală a administrației publice și </w:t>
            </w:r>
          </w:p>
          <w:p w14:paraId="45E866C9" w14:textId="2B06E7C5" w:rsidR="00A15990" w:rsidRDefault="00686A62">
            <w:pPr>
              <w:pStyle w:val="P68B1DB1-Normal8"/>
              <w:spacing w:after="0" w:line="240" w:lineRule="auto"/>
              <w:jc w:val="both"/>
              <w:rPr>
                <w:rFonts w:eastAsia="Times New Roman" w:cs="Calibri"/>
                <w:noProof/>
              </w:rPr>
            </w:pPr>
            <w:r>
              <w:rPr>
                <w:noProof/>
              </w:rPr>
              <w:t xml:space="preserve">pachetul legislativ (inclusiv regulamentul privind CNCS) referitor la cadrul național de securitate cibernetică, pe baza Legii nr. 46/2018  </w:t>
            </w:r>
          </w:p>
        </w:tc>
      </w:tr>
      <w:tr w:rsidR="00A15990" w14:paraId="6ACE826A" w14:textId="77777777">
        <w:trPr>
          <w:trHeight w:val="640"/>
        </w:trPr>
        <w:tc>
          <w:tcPr>
            <w:tcW w:w="1082" w:type="dxa"/>
            <w:shd w:val="clear" w:color="auto" w:fill="C4EFCE"/>
            <w:vAlign w:val="center"/>
            <w:hideMark/>
          </w:tcPr>
          <w:p w14:paraId="5C1ED785" w14:textId="77777777" w:rsidR="00A15990" w:rsidRDefault="00686A62">
            <w:pPr>
              <w:pStyle w:val="P68B1DB1-Normal7"/>
              <w:spacing w:after="0" w:line="240" w:lineRule="auto"/>
              <w:jc w:val="center"/>
              <w:rPr>
                <w:rFonts w:eastAsia="Times New Roman" w:cs="Calibri"/>
                <w:noProof/>
              </w:rPr>
            </w:pPr>
            <w:r>
              <w:rPr>
                <w:noProof/>
              </w:rPr>
              <w:t>19.23</w:t>
            </w:r>
          </w:p>
        </w:tc>
        <w:tc>
          <w:tcPr>
            <w:tcW w:w="1211" w:type="dxa"/>
            <w:shd w:val="clear" w:color="auto" w:fill="C4EFCE"/>
            <w:noWrap/>
            <w:vAlign w:val="center"/>
            <w:hideMark/>
          </w:tcPr>
          <w:p w14:paraId="263EFDAF" w14:textId="77777777" w:rsidR="00A15990" w:rsidRDefault="00686A62">
            <w:pPr>
              <w:pStyle w:val="P68B1DB1-Normal8"/>
              <w:spacing w:after="0" w:line="240" w:lineRule="auto"/>
              <w:jc w:val="center"/>
              <w:rPr>
                <w:rFonts w:eastAsia="Times New Roman" w:cs="Calibri"/>
                <w:noProof/>
              </w:rPr>
            </w:pPr>
            <w:r>
              <w:rPr>
                <w:noProof/>
              </w:rPr>
              <w:t>TD-C19-r35</w:t>
            </w:r>
          </w:p>
        </w:tc>
        <w:tc>
          <w:tcPr>
            <w:tcW w:w="1080" w:type="dxa"/>
            <w:shd w:val="clear" w:color="auto" w:fill="C4EFCE"/>
            <w:noWrap/>
            <w:vAlign w:val="center"/>
            <w:hideMark/>
          </w:tcPr>
          <w:p w14:paraId="5996D96C"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0B1FDC94" w14:textId="77777777" w:rsidR="00A15990" w:rsidRDefault="00686A62">
            <w:pPr>
              <w:pStyle w:val="P68B1DB1-Normal8"/>
              <w:spacing w:after="0" w:line="240" w:lineRule="auto"/>
              <w:jc w:val="center"/>
              <w:rPr>
                <w:rFonts w:eastAsia="Times New Roman" w:cs="Calibri"/>
                <w:noProof/>
              </w:rPr>
            </w:pPr>
            <w:r>
              <w:rPr>
                <w:noProof/>
              </w:rPr>
              <w:t>Intrarea în vigoare a pachetului legislativ pentru reorganizarea administrației publice</w:t>
            </w:r>
          </w:p>
        </w:tc>
        <w:tc>
          <w:tcPr>
            <w:tcW w:w="1343" w:type="dxa"/>
            <w:shd w:val="clear" w:color="auto" w:fill="C4EFCE"/>
            <w:noWrap/>
            <w:vAlign w:val="center"/>
            <w:hideMark/>
          </w:tcPr>
          <w:p w14:paraId="605DD329" w14:textId="77777777" w:rsidR="00A15990" w:rsidRDefault="00686A62">
            <w:pPr>
              <w:pStyle w:val="P68B1DB1-Normal8"/>
              <w:spacing w:after="0" w:line="240" w:lineRule="auto"/>
              <w:jc w:val="center"/>
              <w:rPr>
                <w:rFonts w:eastAsia="Times New Roman" w:cs="Calibri"/>
                <w:noProof/>
              </w:rPr>
            </w:pPr>
            <w:r>
              <w:rPr>
                <w:noProof/>
              </w:rPr>
              <w:t>Intrarea în vigoare a pachetului legislativ pentru reorganizarea administrației publice</w:t>
            </w:r>
          </w:p>
        </w:tc>
        <w:tc>
          <w:tcPr>
            <w:tcW w:w="1134" w:type="dxa"/>
            <w:shd w:val="clear" w:color="auto" w:fill="C4EFCE"/>
            <w:noWrap/>
            <w:vAlign w:val="center"/>
            <w:hideMark/>
          </w:tcPr>
          <w:p w14:paraId="0A7AAAFB" w14:textId="77777777" w:rsidR="00A15990" w:rsidRDefault="00686A62">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1EFE25EB" w14:textId="77777777" w:rsidR="00A15990" w:rsidRDefault="00686A62">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17016DD5" w14:textId="77777777" w:rsidR="00A15990" w:rsidRDefault="00686A62">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2CDF4678" w14:textId="77777777" w:rsidR="00A15990" w:rsidRDefault="00686A62">
            <w:pPr>
              <w:pStyle w:val="P68B1DB1-Normal8"/>
              <w:spacing w:after="0" w:line="240" w:lineRule="auto"/>
              <w:jc w:val="center"/>
              <w:rPr>
                <w:rFonts w:eastAsia="Times New Roman" w:cs="Calibri"/>
                <w:noProof/>
              </w:rPr>
            </w:pPr>
            <w:r>
              <w:rPr>
                <w:noProof/>
              </w:rPr>
              <w:t>TRIMESTRUL 4</w:t>
            </w:r>
          </w:p>
        </w:tc>
        <w:tc>
          <w:tcPr>
            <w:tcW w:w="682" w:type="dxa"/>
            <w:shd w:val="clear" w:color="auto" w:fill="C4EFCE"/>
            <w:noWrap/>
            <w:vAlign w:val="center"/>
            <w:hideMark/>
          </w:tcPr>
          <w:p w14:paraId="0C9F2504" w14:textId="77777777" w:rsidR="00A15990" w:rsidRDefault="00686A62">
            <w:pPr>
              <w:pStyle w:val="P68B1DB1-Normal8"/>
              <w:spacing w:after="0" w:line="240" w:lineRule="auto"/>
              <w:jc w:val="center"/>
              <w:rPr>
                <w:rFonts w:eastAsia="Times New Roman" w:cs="Calibri"/>
                <w:noProof/>
              </w:rPr>
            </w:pPr>
            <w:r>
              <w:rPr>
                <w:noProof/>
              </w:rPr>
              <w:t>2023</w:t>
            </w:r>
          </w:p>
        </w:tc>
        <w:tc>
          <w:tcPr>
            <w:tcW w:w="4458" w:type="dxa"/>
            <w:shd w:val="clear" w:color="auto" w:fill="C4EFCE"/>
            <w:vAlign w:val="center"/>
            <w:hideMark/>
          </w:tcPr>
          <w:p w14:paraId="505BBF80" w14:textId="77777777" w:rsidR="00A15990" w:rsidRDefault="00686A62">
            <w:pPr>
              <w:pStyle w:val="P68B1DB1-Normal8"/>
              <w:spacing w:after="0" w:line="240" w:lineRule="auto"/>
              <w:jc w:val="both"/>
              <w:rPr>
                <w:rFonts w:eastAsia="Times New Roman" w:cs="Calibri"/>
                <w:noProof/>
              </w:rPr>
            </w:pPr>
            <w:r>
              <w:rPr>
                <w:noProof/>
              </w:rPr>
              <w:t xml:space="preserve">Intrarea în vigoare a legislației necesare pentru punerea în aplicare a modificărilor funcționale și organizaționale ale administrației publice centrale pe baza raportului elaborat de </w:t>
            </w:r>
            <w:r>
              <w:rPr>
                <w:i/>
                <w:noProof/>
              </w:rPr>
              <w:t>Estrutura de missão</w:t>
            </w:r>
            <w:r>
              <w:rPr>
                <w:noProof/>
              </w:rPr>
              <w:t xml:space="preserve"> creat prin rezoluția Consiliului de Miniștri </w:t>
            </w:r>
          </w:p>
        </w:tc>
      </w:tr>
      <w:tr w:rsidR="00A15990" w14:paraId="3BEC967D" w14:textId="77777777">
        <w:trPr>
          <w:trHeight w:val="430"/>
        </w:trPr>
        <w:tc>
          <w:tcPr>
            <w:tcW w:w="1082" w:type="dxa"/>
            <w:shd w:val="clear" w:color="auto" w:fill="C4EFCE"/>
            <w:vAlign w:val="center"/>
            <w:hideMark/>
          </w:tcPr>
          <w:p w14:paraId="0F6E1273" w14:textId="77777777" w:rsidR="00A15990" w:rsidRDefault="00686A62">
            <w:pPr>
              <w:pStyle w:val="P68B1DB1-Normal7"/>
              <w:spacing w:after="0" w:line="240" w:lineRule="auto"/>
              <w:jc w:val="center"/>
              <w:rPr>
                <w:rFonts w:eastAsia="Times New Roman" w:cs="Calibri"/>
                <w:noProof/>
              </w:rPr>
            </w:pPr>
            <w:r>
              <w:rPr>
                <w:noProof/>
              </w:rPr>
              <w:t>19.24</w:t>
            </w:r>
          </w:p>
        </w:tc>
        <w:tc>
          <w:tcPr>
            <w:tcW w:w="1211" w:type="dxa"/>
            <w:shd w:val="clear" w:color="auto" w:fill="C4EFCE"/>
            <w:noWrap/>
            <w:vAlign w:val="center"/>
            <w:hideMark/>
          </w:tcPr>
          <w:p w14:paraId="0CC675A9" w14:textId="77777777" w:rsidR="00A15990" w:rsidRDefault="00686A62">
            <w:pPr>
              <w:pStyle w:val="P68B1DB1-Normal8"/>
              <w:spacing w:after="0" w:line="240" w:lineRule="auto"/>
              <w:jc w:val="center"/>
              <w:rPr>
                <w:rFonts w:eastAsia="Times New Roman" w:cs="Calibri"/>
                <w:noProof/>
              </w:rPr>
            </w:pPr>
            <w:r>
              <w:rPr>
                <w:noProof/>
              </w:rPr>
              <w:t>TD-C19-r36</w:t>
            </w:r>
          </w:p>
        </w:tc>
        <w:tc>
          <w:tcPr>
            <w:tcW w:w="1080" w:type="dxa"/>
            <w:shd w:val="clear" w:color="auto" w:fill="C4EFCE"/>
            <w:noWrap/>
            <w:vAlign w:val="center"/>
            <w:hideMark/>
          </w:tcPr>
          <w:p w14:paraId="349C8A7E" w14:textId="77777777" w:rsidR="00A15990" w:rsidRDefault="00686A62">
            <w:pPr>
              <w:pStyle w:val="P68B1DB1-Normal8"/>
              <w:spacing w:after="0" w:line="240" w:lineRule="auto"/>
              <w:jc w:val="center"/>
              <w:rPr>
                <w:rFonts w:eastAsia="Times New Roman" w:cs="Calibri"/>
                <w:noProof/>
              </w:rPr>
            </w:pPr>
            <w:r>
              <w:rPr>
                <w:noProof/>
              </w:rPr>
              <w:t>M</w:t>
            </w:r>
          </w:p>
        </w:tc>
        <w:tc>
          <w:tcPr>
            <w:tcW w:w="1609" w:type="dxa"/>
            <w:shd w:val="clear" w:color="auto" w:fill="C4EFCE"/>
            <w:noWrap/>
            <w:vAlign w:val="center"/>
            <w:hideMark/>
          </w:tcPr>
          <w:p w14:paraId="7479E327" w14:textId="77777777" w:rsidR="00A15990" w:rsidRDefault="00686A62">
            <w:pPr>
              <w:pStyle w:val="P68B1DB1-Normal8"/>
              <w:spacing w:after="0" w:line="240" w:lineRule="auto"/>
              <w:jc w:val="center"/>
              <w:rPr>
                <w:rFonts w:eastAsia="Times New Roman" w:cs="Calibri"/>
                <w:noProof/>
              </w:rPr>
            </w:pPr>
            <w:r>
              <w:rPr>
                <w:noProof/>
              </w:rPr>
              <w:t xml:space="preserve"> Înființarea Institutului Național de Administrație, I.P.</w:t>
            </w:r>
          </w:p>
        </w:tc>
        <w:tc>
          <w:tcPr>
            <w:tcW w:w="1343" w:type="dxa"/>
            <w:shd w:val="clear" w:color="auto" w:fill="C4EFCE"/>
            <w:noWrap/>
            <w:vAlign w:val="center"/>
            <w:hideMark/>
          </w:tcPr>
          <w:p w14:paraId="030C5824" w14:textId="77777777" w:rsidR="00A15990" w:rsidRDefault="00686A62">
            <w:pPr>
              <w:pStyle w:val="P68B1DB1-Normal8"/>
              <w:spacing w:after="0" w:line="240" w:lineRule="auto"/>
              <w:jc w:val="center"/>
              <w:rPr>
                <w:rFonts w:eastAsia="Times New Roman" w:cs="Calibri"/>
                <w:noProof/>
              </w:rPr>
            </w:pPr>
            <w:r>
              <w:rPr>
                <w:noProof/>
              </w:rPr>
              <w:t>Înființarea Institutului Național de Administrație, I.P. prin act juridic</w:t>
            </w:r>
          </w:p>
        </w:tc>
        <w:tc>
          <w:tcPr>
            <w:tcW w:w="1134" w:type="dxa"/>
            <w:shd w:val="clear" w:color="auto" w:fill="C4EFCE"/>
            <w:noWrap/>
            <w:vAlign w:val="center"/>
            <w:hideMark/>
          </w:tcPr>
          <w:p w14:paraId="0B9E120E" w14:textId="77777777" w:rsidR="00A15990" w:rsidRDefault="00686A62">
            <w:pPr>
              <w:pStyle w:val="P68B1DB1-Normal8"/>
              <w:spacing w:after="0" w:line="240" w:lineRule="auto"/>
              <w:jc w:val="center"/>
              <w:rPr>
                <w:rFonts w:eastAsia="Times New Roman" w:cs="Calibri"/>
                <w:noProof/>
              </w:rPr>
            </w:pPr>
            <w:r>
              <w:rPr>
                <w:noProof/>
              </w:rPr>
              <w:t> </w:t>
            </w:r>
          </w:p>
        </w:tc>
        <w:tc>
          <w:tcPr>
            <w:tcW w:w="947" w:type="dxa"/>
            <w:shd w:val="clear" w:color="auto" w:fill="C4EFCE"/>
            <w:noWrap/>
            <w:vAlign w:val="center"/>
            <w:hideMark/>
          </w:tcPr>
          <w:p w14:paraId="4A2766AC" w14:textId="77777777" w:rsidR="00A15990" w:rsidRDefault="00686A62">
            <w:pPr>
              <w:pStyle w:val="P68B1DB1-Normal8"/>
              <w:spacing w:after="0" w:line="240" w:lineRule="auto"/>
              <w:jc w:val="center"/>
              <w:rPr>
                <w:rFonts w:eastAsia="Times New Roman" w:cs="Calibri"/>
                <w:noProof/>
              </w:rPr>
            </w:pPr>
            <w:r>
              <w:rPr>
                <w:noProof/>
              </w:rPr>
              <w:t> </w:t>
            </w:r>
          </w:p>
        </w:tc>
        <w:tc>
          <w:tcPr>
            <w:tcW w:w="682" w:type="dxa"/>
            <w:shd w:val="clear" w:color="auto" w:fill="C4EFCE"/>
            <w:noWrap/>
            <w:vAlign w:val="center"/>
            <w:hideMark/>
          </w:tcPr>
          <w:p w14:paraId="649ABF2C" w14:textId="77777777" w:rsidR="00A15990" w:rsidRDefault="00686A62">
            <w:pPr>
              <w:pStyle w:val="P68B1DB1-Normal8"/>
              <w:spacing w:after="0" w:line="240" w:lineRule="auto"/>
              <w:jc w:val="center"/>
              <w:rPr>
                <w:rFonts w:eastAsia="Times New Roman" w:cs="Calibri"/>
                <w:noProof/>
              </w:rPr>
            </w:pPr>
            <w:r>
              <w:rPr>
                <w:noProof/>
              </w:rPr>
              <w:t> </w:t>
            </w:r>
          </w:p>
        </w:tc>
        <w:tc>
          <w:tcPr>
            <w:tcW w:w="550" w:type="dxa"/>
            <w:shd w:val="clear" w:color="auto" w:fill="C4EFCE"/>
            <w:noWrap/>
            <w:vAlign w:val="center"/>
            <w:hideMark/>
          </w:tcPr>
          <w:p w14:paraId="1FA4DEB7" w14:textId="77777777" w:rsidR="00A15990" w:rsidRDefault="00686A62">
            <w:pPr>
              <w:pStyle w:val="P68B1DB1-Normal8"/>
              <w:spacing w:after="0" w:line="240" w:lineRule="auto"/>
              <w:jc w:val="center"/>
              <w:rPr>
                <w:rFonts w:eastAsia="Times New Roman" w:cs="Calibri"/>
                <w:noProof/>
              </w:rPr>
            </w:pPr>
            <w:r>
              <w:rPr>
                <w:noProof/>
              </w:rPr>
              <w:t>TRIMESTRUL 2</w:t>
            </w:r>
          </w:p>
        </w:tc>
        <w:tc>
          <w:tcPr>
            <w:tcW w:w="682" w:type="dxa"/>
            <w:shd w:val="clear" w:color="auto" w:fill="C4EFCE"/>
            <w:noWrap/>
            <w:vAlign w:val="center"/>
            <w:hideMark/>
          </w:tcPr>
          <w:p w14:paraId="1300E342" w14:textId="77777777" w:rsidR="00A15990" w:rsidRDefault="00686A62">
            <w:pPr>
              <w:pStyle w:val="P68B1DB1-Normal8"/>
              <w:spacing w:after="0" w:line="240" w:lineRule="auto"/>
              <w:jc w:val="center"/>
              <w:rPr>
                <w:rFonts w:eastAsia="Times New Roman" w:cs="Calibri"/>
                <w:noProof/>
              </w:rPr>
            </w:pPr>
            <w:r>
              <w:rPr>
                <w:noProof/>
              </w:rPr>
              <w:t>2021</w:t>
            </w:r>
          </w:p>
        </w:tc>
        <w:tc>
          <w:tcPr>
            <w:tcW w:w="4458" w:type="dxa"/>
            <w:shd w:val="clear" w:color="auto" w:fill="C4EFCE"/>
            <w:vAlign w:val="center"/>
            <w:hideMark/>
          </w:tcPr>
          <w:p w14:paraId="241B071D" w14:textId="77777777" w:rsidR="00A15990" w:rsidRDefault="00686A62">
            <w:pPr>
              <w:pStyle w:val="P68B1DB1-Normal8"/>
              <w:spacing w:after="0" w:line="240" w:lineRule="auto"/>
              <w:jc w:val="both"/>
              <w:rPr>
                <w:rFonts w:eastAsia="Times New Roman" w:cs="Calibri"/>
                <w:noProof/>
              </w:rPr>
            </w:pPr>
            <w:r>
              <w:rPr>
                <w:noProof/>
              </w:rPr>
              <w:t xml:space="preserve">Înființarea prin act juridic a </w:t>
            </w:r>
            <w:r>
              <w:rPr>
                <w:i/>
                <w:noProof/>
              </w:rPr>
              <w:t>Instituto Nacional de Administração, IP,</w:t>
            </w:r>
            <w:r>
              <w:rPr>
                <w:noProof/>
              </w:rPr>
              <w:t xml:space="preserve"> care să permită activitățile de formare pentru administrația publică</w:t>
            </w:r>
          </w:p>
        </w:tc>
      </w:tr>
      <w:tr w:rsidR="00A15990" w14:paraId="7E83CB0B" w14:textId="77777777">
        <w:trPr>
          <w:trHeight w:val="430"/>
        </w:trPr>
        <w:tc>
          <w:tcPr>
            <w:tcW w:w="1082" w:type="dxa"/>
            <w:shd w:val="clear" w:color="auto" w:fill="C4EFCE"/>
            <w:vAlign w:val="center"/>
          </w:tcPr>
          <w:p w14:paraId="18E9975D" w14:textId="11D15DFC" w:rsidR="00A15990" w:rsidRDefault="00686A62">
            <w:pPr>
              <w:pStyle w:val="P68B1DB1-Normal11"/>
              <w:spacing w:after="0" w:line="240" w:lineRule="auto"/>
              <w:jc w:val="center"/>
              <w:rPr>
                <w:rFonts w:eastAsia="Times New Roman" w:cstheme="minorHAnsi"/>
                <w:noProof/>
              </w:rPr>
            </w:pPr>
            <w:r>
              <w:rPr>
                <w:noProof/>
              </w:rPr>
              <w:t>19.30</w:t>
            </w:r>
          </w:p>
        </w:tc>
        <w:tc>
          <w:tcPr>
            <w:tcW w:w="1211" w:type="dxa"/>
            <w:shd w:val="clear" w:color="auto" w:fill="C4EFCE"/>
            <w:noWrap/>
            <w:vAlign w:val="center"/>
          </w:tcPr>
          <w:p w14:paraId="5460871A" w14:textId="02F65AC9" w:rsidR="00A15990" w:rsidRDefault="00686A62">
            <w:pPr>
              <w:pStyle w:val="P68B1DB1-Normal12"/>
              <w:spacing w:after="0" w:line="240" w:lineRule="auto"/>
              <w:jc w:val="center"/>
              <w:rPr>
                <w:rFonts w:eastAsia="Times New Roman" w:cstheme="minorHAnsi"/>
                <w:noProof/>
              </w:rPr>
            </w:pPr>
            <w:r>
              <w:rPr>
                <w:noProof/>
              </w:rPr>
              <w:t>TD-C19-r41</w:t>
            </w:r>
          </w:p>
        </w:tc>
        <w:tc>
          <w:tcPr>
            <w:tcW w:w="1080" w:type="dxa"/>
            <w:shd w:val="clear" w:color="auto" w:fill="C4EFCE"/>
            <w:noWrap/>
            <w:vAlign w:val="center"/>
          </w:tcPr>
          <w:p w14:paraId="162BD2C1" w14:textId="67F68A48" w:rsidR="00A15990" w:rsidRDefault="00686A62">
            <w:pPr>
              <w:pStyle w:val="P68B1DB1-Normal12"/>
              <w:spacing w:after="0" w:line="240" w:lineRule="auto"/>
              <w:jc w:val="center"/>
              <w:rPr>
                <w:rFonts w:eastAsia="Times New Roman" w:cstheme="minorHAnsi"/>
                <w:noProof/>
              </w:rPr>
            </w:pPr>
            <w:r>
              <w:rPr>
                <w:noProof/>
              </w:rPr>
              <w:t>M</w:t>
            </w:r>
          </w:p>
        </w:tc>
        <w:tc>
          <w:tcPr>
            <w:tcW w:w="1609" w:type="dxa"/>
            <w:shd w:val="clear" w:color="auto" w:fill="C4EFCE"/>
            <w:noWrap/>
            <w:vAlign w:val="center"/>
          </w:tcPr>
          <w:p w14:paraId="2A40F594" w14:textId="7823E16A" w:rsidR="00A15990" w:rsidRDefault="00686A62">
            <w:pPr>
              <w:pStyle w:val="P68B1DB1-Normal12"/>
              <w:spacing w:after="0" w:line="240" w:lineRule="auto"/>
              <w:jc w:val="center"/>
              <w:rPr>
                <w:rFonts w:eastAsia="Times New Roman" w:cstheme="minorHAnsi"/>
                <w:noProof/>
              </w:rPr>
            </w:pPr>
            <w:r>
              <w:rPr>
                <w:noProof/>
              </w:rPr>
              <w:t>Intrarea în vigoare a actului normativ privind accesul la serviciile publice</w:t>
            </w:r>
          </w:p>
        </w:tc>
        <w:tc>
          <w:tcPr>
            <w:tcW w:w="1343" w:type="dxa"/>
            <w:shd w:val="clear" w:color="auto" w:fill="C4EFCE"/>
            <w:noWrap/>
            <w:vAlign w:val="center"/>
          </w:tcPr>
          <w:p w14:paraId="191A02D6" w14:textId="280F4306" w:rsidR="00A15990" w:rsidRDefault="00686A62">
            <w:pPr>
              <w:pStyle w:val="P68B1DB1-Normal12"/>
              <w:spacing w:after="0" w:line="240" w:lineRule="auto"/>
              <w:jc w:val="center"/>
              <w:rPr>
                <w:rFonts w:eastAsia="Times New Roman" w:cstheme="minorHAnsi"/>
                <w:noProof/>
              </w:rPr>
            </w:pPr>
            <w:r>
              <w:rPr>
                <w:noProof/>
              </w:rPr>
              <w:t xml:space="preserve">Dispoziție din legislație care indică data de intrare în vigoare a legislației </w:t>
            </w:r>
          </w:p>
        </w:tc>
        <w:tc>
          <w:tcPr>
            <w:tcW w:w="1134" w:type="dxa"/>
            <w:shd w:val="clear" w:color="auto" w:fill="C4EFCE"/>
            <w:noWrap/>
            <w:vAlign w:val="center"/>
          </w:tcPr>
          <w:p w14:paraId="15EB9DF1" w14:textId="77777777" w:rsidR="00A15990" w:rsidRDefault="00A15990">
            <w:pPr>
              <w:spacing w:after="0" w:line="240" w:lineRule="auto"/>
              <w:jc w:val="center"/>
              <w:rPr>
                <w:rFonts w:eastAsia="Times New Roman" w:cstheme="minorHAnsi"/>
                <w:noProof/>
                <w:sz w:val="16"/>
              </w:rPr>
            </w:pPr>
          </w:p>
        </w:tc>
        <w:tc>
          <w:tcPr>
            <w:tcW w:w="947" w:type="dxa"/>
            <w:shd w:val="clear" w:color="auto" w:fill="C4EFCE"/>
            <w:noWrap/>
            <w:vAlign w:val="center"/>
          </w:tcPr>
          <w:p w14:paraId="0B16E3FF" w14:textId="77777777" w:rsidR="00A15990" w:rsidRDefault="00A15990">
            <w:pPr>
              <w:spacing w:after="0" w:line="240" w:lineRule="auto"/>
              <w:jc w:val="center"/>
              <w:rPr>
                <w:rFonts w:eastAsia="Times New Roman" w:cstheme="minorHAnsi"/>
                <w:noProof/>
                <w:sz w:val="16"/>
              </w:rPr>
            </w:pPr>
          </w:p>
        </w:tc>
        <w:tc>
          <w:tcPr>
            <w:tcW w:w="682" w:type="dxa"/>
            <w:shd w:val="clear" w:color="auto" w:fill="C4EFCE"/>
            <w:noWrap/>
            <w:vAlign w:val="center"/>
          </w:tcPr>
          <w:p w14:paraId="08355F05" w14:textId="77777777" w:rsidR="00A15990" w:rsidRDefault="00A15990">
            <w:pPr>
              <w:spacing w:after="0" w:line="240" w:lineRule="auto"/>
              <w:jc w:val="center"/>
              <w:rPr>
                <w:rFonts w:eastAsia="Times New Roman" w:cstheme="minorHAnsi"/>
                <w:noProof/>
                <w:sz w:val="16"/>
              </w:rPr>
            </w:pPr>
          </w:p>
        </w:tc>
        <w:tc>
          <w:tcPr>
            <w:tcW w:w="550" w:type="dxa"/>
            <w:shd w:val="clear" w:color="auto" w:fill="C4EFCE"/>
            <w:noWrap/>
            <w:vAlign w:val="center"/>
          </w:tcPr>
          <w:p w14:paraId="028AEAD5" w14:textId="7004A912" w:rsidR="00A15990" w:rsidRDefault="00686A62">
            <w:pPr>
              <w:pStyle w:val="P68B1DB1-Normal12"/>
              <w:spacing w:after="0" w:line="240" w:lineRule="auto"/>
              <w:jc w:val="center"/>
              <w:rPr>
                <w:rFonts w:eastAsia="Times New Roman" w:cstheme="minorHAnsi"/>
                <w:noProof/>
              </w:rPr>
            </w:pPr>
            <w:r>
              <w:rPr>
                <w:noProof/>
              </w:rPr>
              <w:t>TRIMESTRUL 3</w:t>
            </w:r>
          </w:p>
        </w:tc>
        <w:tc>
          <w:tcPr>
            <w:tcW w:w="682" w:type="dxa"/>
            <w:shd w:val="clear" w:color="auto" w:fill="C4EFCE"/>
            <w:noWrap/>
            <w:vAlign w:val="center"/>
          </w:tcPr>
          <w:p w14:paraId="265FA0B5" w14:textId="7DD6FBCA" w:rsidR="00A15990" w:rsidRDefault="00686A62">
            <w:pPr>
              <w:pStyle w:val="P68B1DB1-Normal12"/>
              <w:spacing w:after="0" w:line="240" w:lineRule="auto"/>
              <w:jc w:val="center"/>
              <w:rPr>
                <w:rFonts w:eastAsia="Times New Roman" w:cstheme="minorHAnsi"/>
                <w:noProof/>
              </w:rPr>
            </w:pPr>
            <w:r>
              <w:rPr>
                <w:noProof/>
              </w:rPr>
              <w:t>2025</w:t>
            </w:r>
          </w:p>
        </w:tc>
        <w:tc>
          <w:tcPr>
            <w:tcW w:w="4458" w:type="dxa"/>
            <w:shd w:val="clear" w:color="auto" w:fill="C4EFCE"/>
            <w:vAlign w:val="center"/>
          </w:tcPr>
          <w:p w14:paraId="3DA5037E" w14:textId="298CCB37" w:rsidR="00A15990" w:rsidRDefault="00686A62">
            <w:pPr>
              <w:pStyle w:val="P68B1DB1-Normal12"/>
              <w:spacing w:after="0" w:line="240" w:lineRule="auto"/>
              <w:jc w:val="both"/>
              <w:rPr>
                <w:rFonts w:eastAsia="Times New Roman" w:cstheme="minorHAnsi"/>
                <w:noProof/>
              </w:rPr>
            </w:pPr>
            <w:r>
              <w:rPr>
                <w:noProof/>
              </w:rPr>
              <w:t xml:space="preserve">Intrarea în vigoare a actului normativ care armonizează și consolidează accesul fizic și online la serviciile publice, precum și creșterea numărului de servicii disponibile pe portalul unic al serviciilor publice.   </w:t>
            </w:r>
          </w:p>
        </w:tc>
      </w:tr>
      <w:tr w:rsidR="00A15990" w14:paraId="70FA8B5F" w14:textId="77777777">
        <w:trPr>
          <w:trHeight w:val="430"/>
        </w:trPr>
        <w:tc>
          <w:tcPr>
            <w:tcW w:w="1082" w:type="dxa"/>
            <w:shd w:val="clear" w:color="auto" w:fill="C4EFCE"/>
            <w:vAlign w:val="center"/>
          </w:tcPr>
          <w:p w14:paraId="5D5EB9E9" w14:textId="2177C7F7" w:rsidR="00A15990" w:rsidRDefault="00686A62">
            <w:pPr>
              <w:pStyle w:val="P68B1DB1-Normal11"/>
              <w:spacing w:after="0" w:line="240" w:lineRule="auto"/>
              <w:jc w:val="center"/>
              <w:rPr>
                <w:rFonts w:eastAsia="Times New Roman" w:cstheme="minorHAnsi"/>
                <w:noProof/>
              </w:rPr>
            </w:pPr>
            <w:r>
              <w:rPr>
                <w:noProof/>
              </w:rPr>
              <w:t>19.31</w:t>
            </w:r>
          </w:p>
        </w:tc>
        <w:tc>
          <w:tcPr>
            <w:tcW w:w="1211" w:type="dxa"/>
            <w:shd w:val="clear" w:color="auto" w:fill="C4EFCE"/>
            <w:noWrap/>
            <w:vAlign w:val="center"/>
          </w:tcPr>
          <w:p w14:paraId="160F0E2B" w14:textId="668FB811" w:rsidR="00A15990" w:rsidRDefault="00686A62">
            <w:pPr>
              <w:pStyle w:val="P68B1DB1-Bodytext1013"/>
              <w:spacing w:after="0"/>
              <w:jc w:val="center"/>
              <w:rPr>
                <w:rFonts w:cstheme="minorHAnsi"/>
                <w:noProof/>
              </w:rPr>
            </w:pPr>
            <w:r>
              <w:rPr>
                <w:noProof/>
              </w:rPr>
              <w:t>TD-C19-r42</w:t>
            </w:r>
          </w:p>
        </w:tc>
        <w:tc>
          <w:tcPr>
            <w:tcW w:w="1080" w:type="dxa"/>
            <w:shd w:val="clear" w:color="auto" w:fill="C4EFCE"/>
            <w:noWrap/>
            <w:vAlign w:val="center"/>
          </w:tcPr>
          <w:p w14:paraId="5A9F3806" w14:textId="793E38CA" w:rsidR="00A15990" w:rsidRDefault="00686A62">
            <w:pPr>
              <w:pStyle w:val="P68B1DB1-Normal12"/>
              <w:spacing w:after="0" w:line="240" w:lineRule="auto"/>
              <w:jc w:val="center"/>
              <w:rPr>
                <w:rFonts w:eastAsia="Times New Roman" w:cstheme="minorHAnsi"/>
                <w:noProof/>
              </w:rPr>
            </w:pPr>
            <w:r>
              <w:rPr>
                <w:noProof/>
              </w:rPr>
              <w:t xml:space="preserve"> M</w:t>
            </w:r>
          </w:p>
        </w:tc>
        <w:tc>
          <w:tcPr>
            <w:tcW w:w="1609" w:type="dxa"/>
            <w:shd w:val="clear" w:color="auto" w:fill="C4EFCE"/>
            <w:noWrap/>
            <w:vAlign w:val="center"/>
          </w:tcPr>
          <w:p w14:paraId="2935250F" w14:textId="2D44B127" w:rsidR="00A15990" w:rsidRDefault="00686A62">
            <w:pPr>
              <w:pStyle w:val="P68B1DB1-Bodytext1013"/>
              <w:jc w:val="center"/>
              <w:rPr>
                <w:rFonts w:cstheme="minorHAnsi"/>
                <w:noProof/>
              </w:rPr>
            </w:pPr>
            <w:r>
              <w:rPr>
                <w:noProof/>
              </w:rPr>
              <w:t>Intrarea în vigoare a actului normativ care revizuiește SIADAP</w:t>
            </w:r>
          </w:p>
        </w:tc>
        <w:tc>
          <w:tcPr>
            <w:tcW w:w="1343" w:type="dxa"/>
            <w:shd w:val="clear" w:color="auto" w:fill="C4EFCE"/>
            <w:noWrap/>
            <w:vAlign w:val="center"/>
          </w:tcPr>
          <w:p w14:paraId="76DB72FC" w14:textId="202A9E7E" w:rsidR="00A15990" w:rsidRDefault="00686A62">
            <w:pPr>
              <w:pStyle w:val="P68B1DB1-Normal12"/>
              <w:spacing w:after="0" w:line="240" w:lineRule="auto"/>
              <w:jc w:val="center"/>
              <w:rPr>
                <w:rFonts w:eastAsia="Times New Roman" w:cstheme="minorHAnsi"/>
                <w:noProof/>
              </w:rPr>
            </w:pPr>
            <w:r>
              <w:rPr>
                <w:noProof/>
              </w:rPr>
              <w:t xml:space="preserve">Dispoziție din actul normativ care indică data de intrare în vigoare a actului normativ </w:t>
            </w:r>
          </w:p>
        </w:tc>
        <w:tc>
          <w:tcPr>
            <w:tcW w:w="1134" w:type="dxa"/>
            <w:shd w:val="clear" w:color="auto" w:fill="C4EFCE"/>
            <w:noWrap/>
            <w:vAlign w:val="center"/>
          </w:tcPr>
          <w:p w14:paraId="5BD712C6" w14:textId="68D529B9" w:rsidR="00A15990" w:rsidRDefault="00686A62">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64F81F0D" w14:textId="54AE8BAD" w:rsidR="00A15990" w:rsidRDefault="00686A62">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1DCC2FDC" w14:textId="47315426" w:rsidR="00A15990" w:rsidRDefault="00686A62">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3D54C13F" w14:textId="4A7609A6" w:rsidR="00A15990" w:rsidRDefault="00686A62">
            <w:pPr>
              <w:pStyle w:val="P68B1DB1-Normal12"/>
              <w:spacing w:after="0" w:line="240" w:lineRule="auto"/>
              <w:jc w:val="center"/>
              <w:rPr>
                <w:rFonts w:eastAsia="Times New Roman" w:cstheme="minorHAnsi"/>
                <w:noProof/>
              </w:rPr>
            </w:pPr>
            <w:r>
              <w:rPr>
                <w:noProof/>
              </w:rPr>
              <w:t xml:space="preserve">TRIMESTRUL 1 </w:t>
            </w:r>
          </w:p>
        </w:tc>
        <w:tc>
          <w:tcPr>
            <w:tcW w:w="682" w:type="dxa"/>
            <w:shd w:val="clear" w:color="auto" w:fill="C4EFCE"/>
            <w:noWrap/>
            <w:vAlign w:val="center"/>
          </w:tcPr>
          <w:p w14:paraId="77865BCF" w14:textId="2D5D08F6" w:rsidR="00A15990" w:rsidRDefault="00686A62">
            <w:pPr>
              <w:pStyle w:val="P68B1DB1-Normal12"/>
              <w:spacing w:after="0" w:line="240" w:lineRule="auto"/>
              <w:jc w:val="center"/>
              <w:rPr>
                <w:rFonts w:eastAsia="Times New Roman" w:cstheme="minorHAnsi"/>
                <w:noProof/>
              </w:rPr>
            </w:pPr>
            <w:r>
              <w:rPr>
                <w:noProof/>
              </w:rPr>
              <w:t xml:space="preserve"> 2024</w:t>
            </w:r>
          </w:p>
        </w:tc>
        <w:tc>
          <w:tcPr>
            <w:tcW w:w="4458" w:type="dxa"/>
            <w:shd w:val="clear" w:color="auto" w:fill="C4EFCE"/>
            <w:vAlign w:val="center"/>
          </w:tcPr>
          <w:p w14:paraId="787D10CD" w14:textId="30D960C1" w:rsidR="00A15990" w:rsidRDefault="00686A62">
            <w:pPr>
              <w:pStyle w:val="P68B1DB1-Normal12"/>
              <w:spacing w:after="0" w:line="240" w:lineRule="auto"/>
              <w:jc w:val="both"/>
              <w:rPr>
                <w:rFonts w:eastAsia="Times New Roman" w:cstheme="minorHAnsi"/>
                <w:noProof/>
              </w:rPr>
            </w:pPr>
            <w:r>
              <w:rPr>
                <w:noProof/>
              </w:rPr>
              <w:t xml:space="preserve">Intrarea în vigoare a actului normativ care va revizui Sistemul integrat de gestionare și evaluare a performanței administrației publice (SIADAP) în conformitate cu caracteristicile descrise în descrierea măsurii. </w:t>
            </w:r>
          </w:p>
        </w:tc>
      </w:tr>
      <w:tr w:rsidR="00A15990" w14:paraId="595052CD" w14:textId="77777777">
        <w:trPr>
          <w:trHeight w:val="430"/>
        </w:trPr>
        <w:tc>
          <w:tcPr>
            <w:tcW w:w="1082" w:type="dxa"/>
            <w:shd w:val="clear" w:color="auto" w:fill="C4EFCE"/>
            <w:vAlign w:val="center"/>
          </w:tcPr>
          <w:p w14:paraId="6673DA96" w14:textId="12B6BD26" w:rsidR="00A15990" w:rsidRDefault="00686A62">
            <w:pPr>
              <w:pStyle w:val="P68B1DB1-Normal11"/>
              <w:spacing w:after="0" w:line="240" w:lineRule="auto"/>
              <w:jc w:val="center"/>
              <w:rPr>
                <w:rFonts w:eastAsia="Times New Roman" w:cstheme="minorHAnsi"/>
                <w:noProof/>
              </w:rPr>
            </w:pPr>
            <w:r>
              <w:rPr>
                <w:noProof/>
              </w:rPr>
              <w:t>19.32</w:t>
            </w:r>
          </w:p>
        </w:tc>
        <w:tc>
          <w:tcPr>
            <w:tcW w:w="1211" w:type="dxa"/>
            <w:shd w:val="clear" w:color="auto" w:fill="C4EFCE"/>
            <w:noWrap/>
            <w:vAlign w:val="center"/>
          </w:tcPr>
          <w:p w14:paraId="0595A2A8" w14:textId="3B184232" w:rsidR="00A15990" w:rsidRDefault="00686A62">
            <w:pPr>
              <w:pStyle w:val="P68B1DB1-Normal12"/>
              <w:spacing w:after="0" w:line="240" w:lineRule="auto"/>
              <w:jc w:val="center"/>
              <w:rPr>
                <w:rFonts w:eastAsia="Times New Roman" w:cstheme="minorHAnsi"/>
                <w:noProof/>
              </w:rPr>
            </w:pPr>
            <w:r>
              <w:rPr>
                <w:noProof/>
              </w:rPr>
              <w:t>TD-C19-r42</w:t>
            </w:r>
          </w:p>
        </w:tc>
        <w:tc>
          <w:tcPr>
            <w:tcW w:w="1080" w:type="dxa"/>
            <w:shd w:val="clear" w:color="auto" w:fill="C4EFCE"/>
            <w:noWrap/>
            <w:vAlign w:val="center"/>
          </w:tcPr>
          <w:p w14:paraId="588DCBAA" w14:textId="2DD3035E" w:rsidR="00A15990" w:rsidRDefault="00686A62">
            <w:pPr>
              <w:pStyle w:val="P68B1DB1-Normal12"/>
              <w:spacing w:after="0" w:line="240" w:lineRule="auto"/>
              <w:jc w:val="center"/>
              <w:rPr>
                <w:rFonts w:eastAsia="Times New Roman" w:cstheme="minorHAnsi"/>
                <w:noProof/>
              </w:rPr>
            </w:pPr>
            <w:r>
              <w:rPr>
                <w:noProof/>
              </w:rPr>
              <w:t>M</w:t>
            </w:r>
          </w:p>
        </w:tc>
        <w:tc>
          <w:tcPr>
            <w:tcW w:w="1609" w:type="dxa"/>
            <w:shd w:val="clear" w:color="auto" w:fill="C4EFCE"/>
            <w:noWrap/>
            <w:vAlign w:val="center"/>
          </w:tcPr>
          <w:p w14:paraId="52CB2148" w14:textId="13350A36" w:rsidR="00A15990" w:rsidRDefault="00686A62">
            <w:pPr>
              <w:pStyle w:val="P68B1DB1-Normal12"/>
              <w:spacing w:after="0" w:line="240" w:lineRule="auto"/>
              <w:jc w:val="center"/>
              <w:rPr>
                <w:rFonts w:eastAsia="Times New Roman" w:cstheme="minorHAnsi"/>
                <w:noProof/>
              </w:rPr>
            </w:pPr>
            <w:r>
              <w:rPr>
                <w:noProof/>
              </w:rPr>
              <w:t>Intrarea în vigoare a actului legislativ care revizuiește profilul competențelor în administrația publică</w:t>
            </w:r>
          </w:p>
        </w:tc>
        <w:tc>
          <w:tcPr>
            <w:tcW w:w="1343" w:type="dxa"/>
            <w:shd w:val="clear" w:color="auto" w:fill="C4EFCE"/>
            <w:noWrap/>
            <w:vAlign w:val="center"/>
          </w:tcPr>
          <w:p w14:paraId="55C8AFE8" w14:textId="078306F1" w:rsidR="00A15990" w:rsidRDefault="00686A62">
            <w:pPr>
              <w:pStyle w:val="P68B1DB1-Normal12"/>
              <w:spacing w:after="0" w:line="240" w:lineRule="auto"/>
              <w:jc w:val="center"/>
              <w:rPr>
                <w:rFonts w:eastAsia="Times New Roman" w:cstheme="minorHAnsi"/>
                <w:noProof/>
              </w:rPr>
            </w:pPr>
            <w:r>
              <w:rPr>
                <w:noProof/>
              </w:rPr>
              <w:t xml:space="preserve">Dispoziție din actul normativ care indică data de intrare în vigoare a actului normativ </w:t>
            </w:r>
          </w:p>
        </w:tc>
        <w:tc>
          <w:tcPr>
            <w:tcW w:w="1134" w:type="dxa"/>
            <w:shd w:val="clear" w:color="auto" w:fill="C4EFCE"/>
            <w:noWrap/>
            <w:vAlign w:val="center"/>
          </w:tcPr>
          <w:p w14:paraId="0F112E93" w14:textId="3E369BD1" w:rsidR="00A15990" w:rsidRDefault="00686A62">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21348855" w14:textId="50047F43" w:rsidR="00A15990" w:rsidRDefault="00686A62">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775EF0EE" w14:textId="5792FB1D" w:rsidR="00A15990" w:rsidRDefault="00686A62">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104DC251" w14:textId="3CB87634" w:rsidR="00A15990" w:rsidRDefault="00686A62">
            <w:pPr>
              <w:pStyle w:val="P68B1DB1-Normal12"/>
              <w:spacing w:after="0" w:line="240" w:lineRule="auto"/>
              <w:jc w:val="center"/>
              <w:rPr>
                <w:rFonts w:eastAsia="Times New Roman" w:cstheme="minorHAnsi"/>
                <w:noProof/>
              </w:rPr>
            </w:pPr>
            <w:r>
              <w:rPr>
                <w:noProof/>
              </w:rPr>
              <w:t>TRIMESTRUL 1</w:t>
            </w:r>
          </w:p>
        </w:tc>
        <w:tc>
          <w:tcPr>
            <w:tcW w:w="682" w:type="dxa"/>
            <w:shd w:val="clear" w:color="auto" w:fill="C4EFCE"/>
            <w:noWrap/>
            <w:vAlign w:val="center"/>
          </w:tcPr>
          <w:p w14:paraId="1224479D" w14:textId="0B9B8D99" w:rsidR="00A15990" w:rsidRDefault="00686A62">
            <w:pPr>
              <w:pStyle w:val="P68B1DB1-Normal12"/>
              <w:spacing w:after="0" w:line="240" w:lineRule="auto"/>
              <w:jc w:val="center"/>
              <w:rPr>
                <w:rFonts w:eastAsia="Times New Roman" w:cstheme="minorHAnsi"/>
                <w:noProof/>
              </w:rPr>
            </w:pPr>
            <w:r>
              <w:rPr>
                <w:noProof/>
              </w:rPr>
              <w:t>2024</w:t>
            </w:r>
          </w:p>
        </w:tc>
        <w:tc>
          <w:tcPr>
            <w:tcW w:w="4458" w:type="dxa"/>
            <w:shd w:val="clear" w:color="auto" w:fill="C4EFCE"/>
            <w:vAlign w:val="center"/>
          </w:tcPr>
          <w:p w14:paraId="14DC0FA1" w14:textId="48ADFE80" w:rsidR="00A15990" w:rsidRDefault="00686A62">
            <w:pPr>
              <w:pStyle w:val="P68B1DB1-Normal12"/>
              <w:spacing w:after="0" w:line="240" w:lineRule="auto"/>
              <w:jc w:val="both"/>
              <w:rPr>
                <w:rFonts w:eastAsia="Times New Roman" w:cstheme="minorHAnsi"/>
                <w:noProof/>
              </w:rPr>
            </w:pPr>
            <w:r>
              <w:rPr>
                <w:noProof/>
              </w:rPr>
              <w:t xml:space="preserve">Profilul revizuit de competențe în administrația publică intră în vigoare. </w:t>
            </w:r>
          </w:p>
        </w:tc>
      </w:tr>
      <w:tr w:rsidR="00A15990" w14:paraId="68DA236C" w14:textId="77777777">
        <w:trPr>
          <w:trHeight w:val="430"/>
        </w:trPr>
        <w:tc>
          <w:tcPr>
            <w:tcW w:w="1082" w:type="dxa"/>
            <w:shd w:val="clear" w:color="auto" w:fill="C4EFCE"/>
            <w:vAlign w:val="center"/>
          </w:tcPr>
          <w:p w14:paraId="21E8FF8C" w14:textId="4DFC5787" w:rsidR="00A15990" w:rsidRDefault="00686A62">
            <w:pPr>
              <w:pStyle w:val="P68B1DB1-Normal11"/>
              <w:spacing w:after="0" w:line="240" w:lineRule="auto"/>
              <w:jc w:val="center"/>
              <w:rPr>
                <w:rFonts w:eastAsia="Times New Roman" w:cstheme="minorHAnsi"/>
                <w:noProof/>
              </w:rPr>
            </w:pPr>
            <w:r>
              <w:rPr>
                <w:noProof/>
              </w:rPr>
              <w:t>19.33</w:t>
            </w:r>
          </w:p>
        </w:tc>
        <w:tc>
          <w:tcPr>
            <w:tcW w:w="1211" w:type="dxa"/>
            <w:shd w:val="clear" w:color="auto" w:fill="C4EFCE"/>
            <w:noWrap/>
            <w:vAlign w:val="center"/>
          </w:tcPr>
          <w:p w14:paraId="02A0505D" w14:textId="6C5C6A0A" w:rsidR="00A15990" w:rsidRDefault="00686A62">
            <w:pPr>
              <w:pStyle w:val="P68B1DB1-Normal12"/>
              <w:spacing w:after="0" w:line="240" w:lineRule="auto"/>
              <w:jc w:val="center"/>
              <w:rPr>
                <w:rFonts w:eastAsia="Times New Roman" w:cstheme="minorHAnsi"/>
                <w:noProof/>
              </w:rPr>
            </w:pPr>
            <w:r>
              <w:rPr>
                <w:noProof/>
              </w:rPr>
              <w:t>TD-C19-r42</w:t>
            </w:r>
          </w:p>
        </w:tc>
        <w:tc>
          <w:tcPr>
            <w:tcW w:w="1080" w:type="dxa"/>
            <w:shd w:val="clear" w:color="auto" w:fill="C4EFCE"/>
            <w:noWrap/>
            <w:vAlign w:val="center"/>
          </w:tcPr>
          <w:p w14:paraId="5B37C398" w14:textId="29DD42DF" w:rsidR="00A15990" w:rsidRDefault="00686A62">
            <w:pPr>
              <w:pStyle w:val="P68B1DB1-Normal12"/>
              <w:spacing w:after="0" w:line="240" w:lineRule="auto"/>
              <w:jc w:val="center"/>
              <w:rPr>
                <w:rFonts w:eastAsia="Times New Roman" w:cstheme="minorHAnsi"/>
                <w:noProof/>
              </w:rPr>
            </w:pPr>
            <w:r>
              <w:rPr>
                <w:noProof/>
              </w:rPr>
              <w:t>T</w:t>
            </w:r>
          </w:p>
        </w:tc>
        <w:tc>
          <w:tcPr>
            <w:tcW w:w="1609" w:type="dxa"/>
            <w:shd w:val="clear" w:color="auto" w:fill="C4EFCE"/>
            <w:noWrap/>
            <w:vAlign w:val="center"/>
          </w:tcPr>
          <w:p w14:paraId="055786D3" w14:textId="285B3590" w:rsidR="00A15990" w:rsidRDefault="00686A62">
            <w:pPr>
              <w:pStyle w:val="P68B1DB1-Normal12"/>
              <w:spacing w:after="0" w:line="240" w:lineRule="auto"/>
              <w:jc w:val="center"/>
              <w:rPr>
                <w:rFonts w:eastAsia="Times New Roman" w:cstheme="minorHAnsi"/>
                <w:noProof/>
              </w:rPr>
            </w:pPr>
            <w:r>
              <w:rPr>
                <w:noProof/>
              </w:rPr>
              <w:t>Punerea în funcțiune a noului sistem SIADAP</w:t>
            </w:r>
          </w:p>
        </w:tc>
        <w:tc>
          <w:tcPr>
            <w:tcW w:w="1343" w:type="dxa"/>
            <w:shd w:val="clear" w:color="auto" w:fill="C4EFCE"/>
            <w:noWrap/>
            <w:vAlign w:val="center"/>
          </w:tcPr>
          <w:p w14:paraId="09DC06A7" w14:textId="64B6C469" w:rsidR="00A15990" w:rsidRDefault="00686A62">
            <w:pPr>
              <w:pStyle w:val="P68B1DB1-Normal12"/>
              <w:spacing w:after="0" w:line="240" w:lineRule="auto"/>
              <w:jc w:val="center"/>
              <w:rPr>
                <w:rFonts w:eastAsia="Times New Roman" w:cstheme="minorHAnsi"/>
                <w:noProof/>
              </w:rPr>
            </w:pPr>
            <w:r>
              <w:rPr>
                <w:noProof/>
              </w:rPr>
              <w:t xml:space="preserve">Punerea în funcțiune a noului sistem SIADAP </w:t>
            </w:r>
          </w:p>
        </w:tc>
        <w:tc>
          <w:tcPr>
            <w:tcW w:w="1134" w:type="dxa"/>
            <w:shd w:val="clear" w:color="auto" w:fill="C4EFCE"/>
            <w:noWrap/>
            <w:vAlign w:val="center"/>
          </w:tcPr>
          <w:p w14:paraId="58F7D868" w14:textId="1F6A8D99" w:rsidR="00A15990" w:rsidRDefault="00686A62">
            <w:pPr>
              <w:pStyle w:val="P68B1DB1-Normal12"/>
              <w:spacing w:after="0" w:line="240" w:lineRule="auto"/>
              <w:jc w:val="center"/>
              <w:rPr>
                <w:rFonts w:eastAsia="Times New Roman" w:cstheme="minorHAnsi"/>
                <w:noProof/>
              </w:rPr>
            </w:pPr>
            <w:r>
              <w:rPr>
                <w:noProof/>
              </w:rPr>
              <w:t xml:space="preserve"> </w:t>
            </w:r>
          </w:p>
        </w:tc>
        <w:tc>
          <w:tcPr>
            <w:tcW w:w="947" w:type="dxa"/>
            <w:shd w:val="clear" w:color="auto" w:fill="C4EFCE"/>
            <w:noWrap/>
            <w:vAlign w:val="center"/>
          </w:tcPr>
          <w:p w14:paraId="37360046" w14:textId="55C6ECB7" w:rsidR="00A15990" w:rsidRDefault="00686A62">
            <w:pPr>
              <w:pStyle w:val="P68B1DB1-Normal12"/>
              <w:spacing w:after="0" w:line="240" w:lineRule="auto"/>
              <w:jc w:val="center"/>
              <w:rPr>
                <w:rFonts w:eastAsia="Times New Roman" w:cstheme="minorHAnsi"/>
                <w:noProof/>
              </w:rPr>
            </w:pPr>
            <w:r>
              <w:rPr>
                <w:noProof/>
              </w:rPr>
              <w:t xml:space="preserve"> </w:t>
            </w:r>
          </w:p>
        </w:tc>
        <w:tc>
          <w:tcPr>
            <w:tcW w:w="682" w:type="dxa"/>
            <w:shd w:val="clear" w:color="auto" w:fill="C4EFCE"/>
            <w:noWrap/>
            <w:vAlign w:val="center"/>
          </w:tcPr>
          <w:p w14:paraId="2DB545E3" w14:textId="4B7402EB" w:rsidR="00A15990" w:rsidRDefault="00686A62">
            <w:pPr>
              <w:pStyle w:val="P68B1DB1-Normal12"/>
              <w:spacing w:after="0" w:line="240" w:lineRule="auto"/>
              <w:jc w:val="center"/>
              <w:rPr>
                <w:rFonts w:eastAsia="Times New Roman" w:cstheme="minorHAnsi"/>
                <w:noProof/>
              </w:rPr>
            </w:pPr>
            <w:r>
              <w:rPr>
                <w:noProof/>
              </w:rPr>
              <w:t xml:space="preserve"> </w:t>
            </w:r>
          </w:p>
        </w:tc>
        <w:tc>
          <w:tcPr>
            <w:tcW w:w="550" w:type="dxa"/>
            <w:shd w:val="clear" w:color="auto" w:fill="C4EFCE"/>
            <w:noWrap/>
            <w:vAlign w:val="center"/>
          </w:tcPr>
          <w:p w14:paraId="1E46E1BF" w14:textId="3CA0D46D" w:rsidR="00A15990" w:rsidRDefault="00686A62">
            <w:pPr>
              <w:pStyle w:val="P68B1DB1-Normal12"/>
              <w:spacing w:after="0" w:line="240" w:lineRule="auto"/>
              <w:jc w:val="center"/>
              <w:rPr>
                <w:rFonts w:eastAsia="Times New Roman" w:cstheme="minorHAnsi"/>
                <w:noProof/>
              </w:rPr>
            </w:pPr>
            <w:r>
              <w:rPr>
                <w:noProof/>
              </w:rPr>
              <w:t>TRIMESTRUL 1</w:t>
            </w:r>
          </w:p>
        </w:tc>
        <w:tc>
          <w:tcPr>
            <w:tcW w:w="682" w:type="dxa"/>
            <w:shd w:val="clear" w:color="auto" w:fill="C4EFCE"/>
            <w:noWrap/>
            <w:vAlign w:val="center"/>
          </w:tcPr>
          <w:p w14:paraId="204F0C6B" w14:textId="01023863" w:rsidR="00A15990" w:rsidRDefault="00686A62">
            <w:pPr>
              <w:pStyle w:val="P68B1DB1-Normal12"/>
              <w:spacing w:after="0" w:line="240" w:lineRule="auto"/>
              <w:jc w:val="center"/>
              <w:rPr>
                <w:rFonts w:eastAsia="Times New Roman" w:cstheme="minorHAnsi"/>
                <w:noProof/>
              </w:rPr>
            </w:pPr>
            <w:r>
              <w:rPr>
                <w:noProof/>
              </w:rPr>
              <w:t>2025</w:t>
            </w:r>
          </w:p>
        </w:tc>
        <w:tc>
          <w:tcPr>
            <w:tcW w:w="4458" w:type="dxa"/>
            <w:shd w:val="clear" w:color="auto" w:fill="C4EFCE"/>
            <w:vAlign w:val="center"/>
          </w:tcPr>
          <w:p w14:paraId="139C28E9" w14:textId="7E6818C1" w:rsidR="00A15990" w:rsidRDefault="00686A62">
            <w:pPr>
              <w:pStyle w:val="P68B1DB1-Bodytext1013"/>
              <w:spacing w:line="240" w:lineRule="auto"/>
              <w:jc w:val="both"/>
              <w:rPr>
                <w:rFonts w:eastAsia="MS Mincho" w:cstheme="minorHAnsi"/>
                <w:noProof/>
              </w:rPr>
            </w:pPr>
            <w:r>
              <w:rPr>
                <w:noProof/>
              </w:rPr>
              <w:t>Punerea în funcțiune a noului sistem SIADAP, inclusiv a platformei informatice respective. Utilizatorii sistemului SIADAP au la dispoziție o formare specifică pentru a învăța cum să utilizeze platforma informatică.</w:t>
            </w:r>
          </w:p>
        </w:tc>
      </w:tr>
      <w:tr w:rsidR="00A15990" w14:paraId="3BD666CA" w14:textId="77777777">
        <w:trPr>
          <w:trHeight w:val="430"/>
        </w:trPr>
        <w:tc>
          <w:tcPr>
            <w:tcW w:w="1082" w:type="dxa"/>
            <w:shd w:val="clear" w:color="auto" w:fill="C4EFCE"/>
            <w:vAlign w:val="center"/>
          </w:tcPr>
          <w:p w14:paraId="1A621731" w14:textId="4130020B" w:rsidR="00A15990" w:rsidRDefault="00686A62">
            <w:pPr>
              <w:pStyle w:val="P68B1DB1-Normal11"/>
              <w:spacing w:after="0" w:line="240" w:lineRule="auto"/>
              <w:jc w:val="center"/>
              <w:rPr>
                <w:rFonts w:cstheme="minorHAnsi"/>
                <w:noProof/>
              </w:rPr>
            </w:pPr>
            <w:r>
              <w:rPr>
                <w:noProof/>
              </w:rPr>
              <w:t>19.34</w:t>
            </w:r>
          </w:p>
        </w:tc>
        <w:tc>
          <w:tcPr>
            <w:tcW w:w="1211" w:type="dxa"/>
            <w:shd w:val="clear" w:color="auto" w:fill="C4EFCE"/>
            <w:noWrap/>
            <w:vAlign w:val="center"/>
          </w:tcPr>
          <w:p w14:paraId="40206F7E" w14:textId="2D382AD0" w:rsidR="00A15990" w:rsidRDefault="00686A62">
            <w:pPr>
              <w:pStyle w:val="P68B1DB1-Normal12"/>
              <w:spacing w:after="0" w:line="240" w:lineRule="auto"/>
              <w:jc w:val="center"/>
              <w:rPr>
                <w:rFonts w:cstheme="minorHAnsi"/>
                <w:noProof/>
              </w:rPr>
            </w:pPr>
            <w:r>
              <w:rPr>
                <w:noProof/>
              </w:rPr>
              <w:t>TD-C19-i08</w:t>
            </w:r>
          </w:p>
        </w:tc>
        <w:tc>
          <w:tcPr>
            <w:tcW w:w="1080" w:type="dxa"/>
            <w:shd w:val="clear" w:color="auto" w:fill="C4EFCE"/>
            <w:noWrap/>
            <w:vAlign w:val="center"/>
          </w:tcPr>
          <w:p w14:paraId="3762138F" w14:textId="70675931" w:rsidR="00A15990" w:rsidRDefault="00686A62">
            <w:pPr>
              <w:pStyle w:val="P68B1DB1-Normal12"/>
              <w:spacing w:after="0" w:line="240" w:lineRule="auto"/>
              <w:jc w:val="center"/>
              <w:rPr>
                <w:rFonts w:cstheme="minorHAnsi"/>
                <w:noProof/>
              </w:rPr>
            </w:pPr>
            <w:r>
              <w:rPr>
                <w:noProof/>
              </w:rPr>
              <w:t xml:space="preserve"> M</w:t>
            </w:r>
          </w:p>
        </w:tc>
        <w:tc>
          <w:tcPr>
            <w:tcW w:w="1609" w:type="dxa"/>
            <w:shd w:val="clear" w:color="auto" w:fill="C4EFCE"/>
            <w:noWrap/>
            <w:vAlign w:val="center"/>
          </w:tcPr>
          <w:p w14:paraId="4895262C" w14:textId="47D5ADE7" w:rsidR="00A15990" w:rsidRDefault="00686A62">
            <w:pPr>
              <w:pStyle w:val="P68B1DB1-Normal12"/>
              <w:spacing w:after="0" w:line="240" w:lineRule="auto"/>
              <w:jc w:val="center"/>
              <w:rPr>
                <w:rFonts w:cstheme="minorHAnsi"/>
                <w:noProof/>
              </w:rPr>
            </w:pPr>
            <w:r>
              <w:rPr>
                <w:noProof/>
              </w:rPr>
              <w:t>Lansarea Portalului pentru teritorii inteligente</w:t>
            </w:r>
          </w:p>
        </w:tc>
        <w:tc>
          <w:tcPr>
            <w:tcW w:w="1343" w:type="dxa"/>
            <w:shd w:val="clear" w:color="auto" w:fill="C4EFCE"/>
            <w:noWrap/>
            <w:vAlign w:val="center"/>
          </w:tcPr>
          <w:p w14:paraId="1CE63BEE" w14:textId="6B7D4F8E" w:rsidR="00A15990" w:rsidRDefault="00686A62">
            <w:pPr>
              <w:pStyle w:val="P68B1DB1-Normal12"/>
              <w:spacing w:after="0" w:line="240" w:lineRule="auto"/>
              <w:jc w:val="center"/>
              <w:rPr>
                <w:rFonts w:cstheme="minorHAnsi"/>
                <w:noProof/>
              </w:rPr>
            </w:pPr>
            <w:r>
              <w:rPr>
                <w:noProof/>
              </w:rPr>
              <w:t xml:space="preserve">Lansarea Portalului pentru teritorii inteligente  </w:t>
            </w:r>
          </w:p>
        </w:tc>
        <w:tc>
          <w:tcPr>
            <w:tcW w:w="1134" w:type="dxa"/>
            <w:shd w:val="clear" w:color="auto" w:fill="C4EFCE"/>
            <w:noWrap/>
            <w:vAlign w:val="center"/>
          </w:tcPr>
          <w:p w14:paraId="4795DA0D" w14:textId="4161F638" w:rsidR="00A15990" w:rsidRDefault="00686A62">
            <w:pPr>
              <w:pStyle w:val="P68B1DB1-Normal12"/>
              <w:spacing w:after="0" w:line="240" w:lineRule="auto"/>
              <w:jc w:val="center"/>
              <w:rPr>
                <w:rFonts w:cstheme="minorHAnsi"/>
                <w:noProof/>
              </w:rPr>
            </w:pPr>
            <w:r>
              <w:rPr>
                <w:noProof/>
              </w:rPr>
              <w:t xml:space="preserve"> </w:t>
            </w:r>
          </w:p>
        </w:tc>
        <w:tc>
          <w:tcPr>
            <w:tcW w:w="947" w:type="dxa"/>
            <w:shd w:val="clear" w:color="auto" w:fill="C4EFCE"/>
            <w:noWrap/>
            <w:vAlign w:val="center"/>
          </w:tcPr>
          <w:p w14:paraId="5ADAEE3A" w14:textId="662F9117" w:rsidR="00A15990" w:rsidRDefault="00686A62">
            <w:pPr>
              <w:pStyle w:val="P68B1DB1-Normal12"/>
              <w:spacing w:after="0" w:line="240" w:lineRule="auto"/>
              <w:jc w:val="center"/>
              <w:rPr>
                <w:rFonts w:cstheme="minorHAnsi"/>
                <w:noProof/>
              </w:rPr>
            </w:pPr>
            <w:r>
              <w:rPr>
                <w:noProof/>
              </w:rPr>
              <w:t xml:space="preserve"> </w:t>
            </w:r>
          </w:p>
        </w:tc>
        <w:tc>
          <w:tcPr>
            <w:tcW w:w="682" w:type="dxa"/>
            <w:shd w:val="clear" w:color="auto" w:fill="C4EFCE"/>
            <w:noWrap/>
            <w:vAlign w:val="center"/>
          </w:tcPr>
          <w:p w14:paraId="1BF2082E" w14:textId="49DE1BE3" w:rsidR="00A15990" w:rsidRDefault="00686A62">
            <w:pPr>
              <w:pStyle w:val="P68B1DB1-Normal12"/>
              <w:spacing w:after="0" w:line="240" w:lineRule="auto"/>
              <w:jc w:val="center"/>
              <w:rPr>
                <w:rFonts w:cstheme="minorHAnsi"/>
                <w:noProof/>
              </w:rPr>
            </w:pPr>
            <w:r>
              <w:rPr>
                <w:noProof/>
              </w:rPr>
              <w:t xml:space="preserve"> </w:t>
            </w:r>
          </w:p>
        </w:tc>
        <w:tc>
          <w:tcPr>
            <w:tcW w:w="550" w:type="dxa"/>
            <w:shd w:val="clear" w:color="auto" w:fill="C4EFCE"/>
            <w:noWrap/>
            <w:vAlign w:val="center"/>
          </w:tcPr>
          <w:p w14:paraId="2F308FC6" w14:textId="68E0A8F5" w:rsidR="00A15990" w:rsidRDefault="00686A62">
            <w:pPr>
              <w:pStyle w:val="P68B1DB1-Normal12"/>
              <w:spacing w:after="0" w:line="240" w:lineRule="auto"/>
              <w:jc w:val="center"/>
              <w:rPr>
                <w:rFonts w:cstheme="minorHAnsi"/>
                <w:noProof/>
              </w:rPr>
            </w:pPr>
            <w:r>
              <w:rPr>
                <w:noProof/>
              </w:rPr>
              <w:t>TRIMESTRUL 1</w:t>
            </w:r>
          </w:p>
        </w:tc>
        <w:tc>
          <w:tcPr>
            <w:tcW w:w="682" w:type="dxa"/>
            <w:shd w:val="clear" w:color="auto" w:fill="C4EFCE"/>
            <w:noWrap/>
            <w:vAlign w:val="center"/>
          </w:tcPr>
          <w:p w14:paraId="75086835" w14:textId="0DBEA283" w:rsidR="00A15990" w:rsidRDefault="00686A62">
            <w:pPr>
              <w:pStyle w:val="P68B1DB1-Normal12"/>
              <w:spacing w:after="0" w:line="240" w:lineRule="auto"/>
              <w:jc w:val="center"/>
              <w:rPr>
                <w:rFonts w:cstheme="minorHAnsi"/>
                <w:noProof/>
              </w:rPr>
            </w:pPr>
            <w:r>
              <w:rPr>
                <w:noProof/>
              </w:rPr>
              <w:t>2025</w:t>
            </w:r>
          </w:p>
        </w:tc>
        <w:tc>
          <w:tcPr>
            <w:tcW w:w="4458" w:type="dxa"/>
            <w:shd w:val="clear" w:color="auto" w:fill="C4EFCE"/>
            <w:vAlign w:val="center"/>
          </w:tcPr>
          <w:p w14:paraId="5E92ABD1" w14:textId="47D500D2" w:rsidR="00A15990" w:rsidRDefault="00686A62">
            <w:pPr>
              <w:pStyle w:val="P68B1DB1-Bodytext1013"/>
              <w:spacing w:after="0" w:line="240" w:lineRule="auto"/>
              <w:jc w:val="both"/>
              <w:rPr>
                <w:rFonts w:cstheme="minorHAnsi"/>
                <w:noProof/>
              </w:rPr>
            </w:pPr>
            <w:r>
              <w:rPr>
                <w:noProof/>
              </w:rPr>
              <w:t xml:space="preserve">Lansarea unui site web online (și anume un portal) care să ofere un registru online de informații la nivel local, regional și național.  </w:t>
            </w:r>
          </w:p>
        </w:tc>
      </w:tr>
      <w:tr w:rsidR="00A15990" w14:paraId="561E4208" w14:textId="77777777">
        <w:trPr>
          <w:trHeight w:val="430"/>
        </w:trPr>
        <w:tc>
          <w:tcPr>
            <w:tcW w:w="1082" w:type="dxa"/>
            <w:shd w:val="clear" w:color="auto" w:fill="C4EFCE"/>
            <w:vAlign w:val="center"/>
          </w:tcPr>
          <w:p w14:paraId="1C29C0D2" w14:textId="68CA64B4" w:rsidR="00A15990" w:rsidRDefault="00686A62">
            <w:pPr>
              <w:pStyle w:val="P68B1DB1-Normal11"/>
              <w:spacing w:after="0" w:line="240" w:lineRule="auto"/>
              <w:jc w:val="center"/>
              <w:rPr>
                <w:rFonts w:cstheme="minorHAnsi"/>
                <w:noProof/>
              </w:rPr>
            </w:pPr>
            <w:r>
              <w:rPr>
                <w:noProof/>
              </w:rPr>
              <w:t>19.35</w:t>
            </w:r>
          </w:p>
        </w:tc>
        <w:tc>
          <w:tcPr>
            <w:tcW w:w="1211" w:type="dxa"/>
            <w:shd w:val="clear" w:color="auto" w:fill="C4EFCE"/>
            <w:noWrap/>
            <w:vAlign w:val="center"/>
          </w:tcPr>
          <w:p w14:paraId="08D6F6EF" w14:textId="5FBF4181" w:rsidR="00A15990" w:rsidRDefault="00686A62">
            <w:pPr>
              <w:pStyle w:val="P68B1DB1-Bodytext1013"/>
              <w:spacing w:after="0"/>
              <w:jc w:val="center"/>
              <w:rPr>
                <w:rFonts w:cstheme="minorHAnsi"/>
                <w:noProof/>
              </w:rPr>
            </w:pPr>
            <w:r>
              <w:rPr>
                <w:noProof/>
              </w:rPr>
              <w:t>TD-C19-i08</w:t>
            </w:r>
          </w:p>
        </w:tc>
        <w:tc>
          <w:tcPr>
            <w:tcW w:w="1080" w:type="dxa"/>
            <w:shd w:val="clear" w:color="auto" w:fill="C4EFCE"/>
            <w:noWrap/>
            <w:vAlign w:val="center"/>
          </w:tcPr>
          <w:p w14:paraId="39CBDC9B" w14:textId="028DD878" w:rsidR="00A15990" w:rsidRDefault="00686A62">
            <w:pPr>
              <w:pStyle w:val="P68B1DB1-Normal12"/>
              <w:spacing w:after="0" w:line="240" w:lineRule="auto"/>
              <w:jc w:val="center"/>
              <w:rPr>
                <w:noProof/>
              </w:rPr>
            </w:pPr>
            <w:r>
              <w:rPr>
                <w:noProof/>
              </w:rPr>
              <w:t>M</w:t>
            </w:r>
          </w:p>
        </w:tc>
        <w:tc>
          <w:tcPr>
            <w:tcW w:w="1609" w:type="dxa"/>
            <w:shd w:val="clear" w:color="auto" w:fill="C4EFCE"/>
            <w:noWrap/>
            <w:vAlign w:val="center"/>
          </w:tcPr>
          <w:p w14:paraId="5CDAFF79" w14:textId="16B612FE" w:rsidR="00A15990" w:rsidRDefault="00686A62">
            <w:pPr>
              <w:pStyle w:val="P68B1DB1-Normal12"/>
              <w:spacing w:after="0" w:line="240" w:lineRule="auto"/>
              <w:jc w:val="center"/>
              <w:rPr>
                <w:noProof/>
              </w:rPr>
            </w:pPr>
            <w:r>
              <w:rPr>
                <w:noProof/>
              </w:rPr>
              <w:t>Teritorii inteligente: Platformele de gestionare urbană, gemenii digitali și tabloul de bord al politicilor publice</w:t>
            </w:r>
          </w:p>
        </w:tc>
        <w:tc>
          <w:tcPr>
            <w:tcW w:w="1343" w:type="dxa"/>
            <w:shd w:val="clear" w:color="auto" w:fill="C4EFCE"/>
            <w:noWrap/>
            <w:vAlign w:val="center"/>
          </w:tcPr>
          <w:p w14:paraId="5887A4A4" w14:textId="04AD0981" w:rsidR="00A15990" w:rsidRDefault="00686A62">
            <w:pPr>
              <w:pStyle w:val="P68B1DB1-Normal8"/>
              <w:spacing w:after="0" w:line="240" w:lineRule="auto"/>
              <w:jc w:val="center"/>
              <w:rPr>
                <w:rFonts w:eastAsia="Calibri" w:cs="Calibri"/>
                <w:noProof/>
              </w:rPr>
            </w:pPr>
            <w:r>
              <w:rPr>
                <w:noProof/>
              </w:rPr>
              <w:t>Municipalitățile cu platforme de management urban, crearea gemenilor digitali și lansarea tabloului de bord al politicilor publice</w:t>
            </w:r>
          </w:p>
        </w:tc>
        <w:tc>
          <w:tcPr>
            <w:tcW w:w="1134" w:type="dxa"/>
            <w:shd w:val="clear" w:color="auto" w:fill="C4EFCE"/>
            <w:noWrap/>
            <w:vAlign w:val="center"/>
          </w:tcPr>
          <w:p w14:paraId="66C3FFB1" w14:textId="620351DF" w:rsidR="00A15990" w:rsidRDefault="00A15990">
            <w:pPr>
              <w:spacing w:after="0" w:line="240" w:lineRule="auto"/>
              <w:jc w:val="center"/>
              <w:rPr>
                <w:rFonts w:cstheme="minorHAnsi"/>
                <w:noProof/>
                <w:sz w:val="16"/>
              </w:rPr>
            </w:pPr>
          </w:p>
        </w:tc>
        <w:tc>
          <w:tcPr>
            <w:tcW w:w="947" w:type="dxa"/>
            <w:shd w:val="clear" w:color="auto" w:fill="C4EFCE"/>
            <w:noWrap/>
            <w:vAlign w:val="center"/>
          </w:tcPr>
          <w:p w14:paraId="08351A85" w14:textId="3468C050" w:rsidR="00A15990" w:rsidRDefault="00A15990">
            <w:pPr>
              <w:spacing w:after="0" w:line="240" w:lineRule="auto"/>
              <w:jc w:val="center"/>
              <w:rPr>
                <w:noProof/>
                <w:sz w:val="16"/>
              </w:rPr>
            </w:pPr>
          </w:p>
        </w:tc>
        <w:tc>
          <w:tcPr>
            <w:tcW w:w="682" w:type="dxa"/>
            <w:shd w:val="clear" w:color="auto" w:fill="C4EFCE"/>
            <w:noWrap/>
            <w:vAlign w:val="center"/>
          </w:tcPr>
          <w:p w14:paraId="78472566" w14:textId="31A690E9" w:rsidR="00A15990" w:rsidRDefault="00A15990">
            <w:pPr>
              <w:spacing w:after="0" w:line="240" w:lineRule="auto"/>
              <w:jc w:val="center"/>
              <w:rPr>
                <w:noProof/>
                <w:sz w:val="16"/>
              </w:rPr>
            </w:pPr>
          </w:p>
        </w:tc>
        <w:tc>
          <w:tcPr>
            <w:tcW w:w="550" w:type="dxa"/>
            <w:shd w:val="clear" w:color="auto" w:fill="C4EFCE"/>
            <w:noWrap/>
            <w:vAlign w:val="center"/>
          </w:tcPr>
          <w:p w14:paraId="5C72A606" w14:textId="5E11F7EF" w:rsidR="00A15990" w:rsidRDefault="00686A62">
            <w:pPr>
              <w:pStyle w:val="P68B1DB1-Normal12"/>
              <w:spacing w:after="0" w:line="240" w:lineRule="auto"/>
              <w:jc w:val="center"/>
              <w:rPr>
                <w:noProof/>
              </w:rPr>
            </w:pPr>
            <w:r>
              <w:rPr>
                <w:noProof/>
              </w:rPr>
              <w:t>TRIMESTRUL 1</w:t>
            </w:r>
          </w:p>
        </w:tc>
        <w:tc>
          <w:tcPr>
            <w:tcW w:w="682" w:type="dxa"/>
            <w:shd w:val="clear" w:color="auto" w:fill="C4EFCE"/>
            <w:noWrap/>
            <w:vAlign w:val="center"/>
          </w:tcPr>
          <w:p w14:paraId="35582AA4" w14:textId="7E5EFB41" w:rsidR="00A15990" w:rsidRDefault="00686A62">
            <w:pPr>
              <w:pStyle w:val="P68B1DB1-Normal12"/>
              <w:spacing w:after="0" w:line="240" w:lineRule="auto"/>
              <w:jc w:val="center"/>
              <w:rPr>
                <w:rFonts w:cstheme="minorHAnsi"/>
                <w:noProof/>
              </w:rPr>
            </w:pPr>
            <w:r>
              <w:rPr>
                <w:noProof/>
              </w:rPr>
              <w:t>2026</w:t>
            </w:r>
          </w:p>
        </w:tc>
        <w:tc>
          <w:tcPr>
            <w:tcW w:w="4458" w:type="dxa"/>
            <w:shd w:val="clear" w:color="auto" w:fill="C4EFCE"/>
            <w:vAlign w:val="center"/>
          </w:tcPr>
          <w:p w14:paraId="1A3A289D" w14:textId="7D525C8C" w:rsidR="00A15990" w:rsidRDefault="00686A62">
            <w:pPr>
              <w:pStyle w:val="P68B1DB1-Bodytext1013"/>
              <w:spacing w:after="0" w:line="240" w:lineRule="auto"/>
              <w:jc w:val="both"/>
              <w:rPr>
                <w:rFonts w:cstheme="minorBidi"/>
                <w:noProof/>
              </w:rPr>
            </w:pPr>
            <w:r>
              <w:rPr>
                <w:noProof/>
              </w:rPr>
              <w:t>Se instalează sau se modernizează o platformă de gestionare urbană în 75 municipalități și Comunidades Intermunicipais/Areas Metropolitanas.</w:t>
            </w:r>
          </w:p>
          <w:p w14:paraId="5DF67326" w14:textId="15FAAA70" w:rsidR="00A15990" w:rsidRDefault="00A15990">
            <w:pPr>
              <w:pStyle w:val="Bodytext10"/>
              <w:spacing w:after="0" w:line="240" w:lineRule="auto"/>
              <w:jc w:val="both"/>
              <w:rPr>
                <w:rFonts w:asciiTheme="minorHAnsi" w:hAnsiTheme="minorHAnsi" w:cstheme="minorBidi"/>
                <w:noProof/>
                <w:sz w:val="16"/>
              </w:rPr>
            </w:pPr>
          </w:p>
          <w:p w14:paraId="0EC040A8" w14:textId="2E07BB19" w:rsidR="00A15990" w:rsidRDefault="00686A62">
            <w:pPr>
              <w:pStyle w:val="P68B1DB1-Bodytext1013"/>
              <w:spacing w:after="0" w:line="240" w:lineRule="auto"/>
              <w:jc w:val="both"/>
              <w:rPr>
                <w:rFonts w:cstheme="minorBidi"/>
                <w:noProof/>
              </w:rPr>
            </w:pPr>
            <w:r>
              <w:rPr>
                <w:noProof/>
              </w:rPr>
              <w:t>Se creează cinci gemeni digitali în domenii prioritare naționale, cum ar fi apa și agricultura, reziliența la schimbările climatice, mobilitatea și decarbonizarea, sănătatea, energia, turismul, protecția civilă.</w:t>
            </w:r>
          </w:p>
          <w:p w14:paraId="59ADF51D" w14:textId="15FAAA70" w:rsidR="00A15990" w:rsidRDefault="00A15990">
            <w:pPr>
              <w:pStyle w:val="Bodytext10"/>
              <w:spacing w:after="0" w:line="240" w:lineRule="auto"/>
              <w:jc w:val="both"/>
              <w:rPr>
                <w:rFonts w:asciiTheme="minorHAnsi" w:hAnsiTheme="minorHAnsi" w:cstheme="minorBidi"/>
                <w:noProof/>
                <w:sz w:val="16"/>
              </w:rPr>
            </w:pPr>
          </w:p>
          <w:p w14:paraId="1268B617" w14:textId="574B7910" w:rsidR="00A15990" w:rsidRDefault="00686A62">
            <w:pPr>
              <w:pStyle w:val="P68B1DB1-Bodytext1013"/>
              <w:spacing w:after="0" w:line="240" w:lineRule="auto"/>
              <w:jc w:val="both"/>
              <w:rPr>
                <w:rFonts w:cstheme="minorBidi"/>
                <w:noProof/>
              </w:rPr>
            </w:pPr>
            <w:r>
              <w:rPr>
                <w:noProof/>
              </w:rPr>
              <w:t>Tabloul de bord lansat este disponibil pentru actorii centrali și regionali.</w:t>
            </w:r>
          </w:p>
        </w:tc>
      </w:tr>
      <w:tr w:rsidR="00A15990" w14:paraId="1F719612" w14:textId="77777777">
        <w:trPr>
          <w:trHeight w:val="430"/>
        </w:trPr>
        <w:tc>
          <w:tcPr>
            <w:tcW w:w="1082" w:type="dxa"/>
            <w:shd w:val="clear" w:color="auto" w:fill="C4EFCE"/>
            <w:vAlign w:val="center"/>
          </w:tcPr>
          <w:p w14:paraId="628865B2" w14:textId="55E9CCCC" w:rsidR="00A15990" w:rsidRDefault="00686A62">
            <w:pPr>
              <w:pStyle w:val="P68B1DB1-Normal11"/>
              <w:spacing w:after="0" w:line="240" w:lineRule="auto"/>
              <w:jc w:val="center"/>
              <w:rPr>
                <w:rFonts w:cstheme="minorHAnsi"/>
                <w:noProof/>
              </w:rPr>
            </w:pPr>
            <w:r>
              <w:rPr>
                <w:noProof/>
              </w:rPr>
              <w:t>19.36</w:t>
            </w:r>
          </w:p>
        </w:tc>
        <w:tc>
          <w:tcPr>
            <w:tcW w:w="1211" w:type="dxa"/>
            <w:shd w:val="clear" w:color="auto" w:fill="C4EFCE"/>
            <w:noWrap/>
            <w:vAlign w:val="center"/>
          </w:tcPr>
          <w:p w14:paraId="25B23B67" w14:textId="600B4833" w:rsidR="00A15990" w:rsidRDefault="00686A62">
            <w:pPr>
              <w:pStyle w:val="P68B1DB1-Bodytext1013"/>
              <w:spacing w:after="0"/>
              <w:jc w:val="center"/>
              <w:rPr>
                <w:rFonts w:cstheme="minorHAnsi"/>
                <w:noProof/>
              </w:rPr>
            </w:pPr>
            <w:r>
              <w:rPr>
                <w:noProof/>
              </w:rPr>
              <w:t>TD-C19-i08</w:t>
            </w:r>
          </w:p>
        </w:tc>
        <w:tc>
          <w:tcPr>
            <w:tcW w:w="1080" w:type="dxa"/>
            <w:shd w:val="clear" w:color="auto" w:fill="C4EFCE"/>
            <w:noWrap/>
            <w:vAlign w:val="center"/>
          </w:tcPr>
          <w:p w14:paraId="419D9ACF" w14:textId="2C9A2317" w:rsidR="00A15990" w:rsidRDefault="00686A62">
            <w:pPr>
              <w:pStyle w:val="P68B1DB1-Normal12"/>
              <w:spacing w:after="0" w:line="240" w:lineRule="auto"/>
              <w:jc w:val="center"/>
              <w:rPr>
                <w:rFonts w:cstheme="minorHAnsi"/>
                <w:noProof/>
              </w:rPr>
            </w:pPr>
            <w:r>
              <w:rPr>
                <w:noProof/>
              </w:rPr>
              <w:t>M</w:t>
            </w:r>
          </w:p>
        </w:tc>
        <w:tc>
          <w:tcPr>
            <w:tcW w:w="1609" w:type="dxa"/>
            <w:shd w:val="clear" w:color="auto" w:fill="C4EFCE"/>
            <w:noWrap/>
            <w:vAlign w:val="center"/>
          </w:tcPr>
          <w:p w14:paraId="5648E079" w14:textId="3040F5A3" w:rsidR="00A15990" w:rsidRDefault="00686A62">
            <w:pPr>
              <w:pStyle w:val="P68B1DB1-Normal12"/>
              <w:spacing w:after="0" w:line="240" w:lineRule="auto"/>
              <w:jc w:val="center"/>
              <w:rPr>
                <w:rFonts w:cstheme="minorHAnsi"/>
                <w:noProof/>
              </w:rPr>
            </w:pPr>
            <w:r>
              <w:rPr>
                <w:noProof/>
              </w:rPr>
              <w:t>Formare privind teritoriile inteligente</w:t>
            </w:r>
          </w:p>
        </w:tc>
        <w:tc>
          <w:tcPr>
            <w:tcW w:w="1343" w:type="dxa"/>
            <w:shd w:val="clear" w:color="auto" w:fill="C4EFCE"/>
            <w:noWrap/>
            <w:vAlign w:val="center"/>
          </w:tcPr>
          <w:p w14:paraId="44D863AA" w14:textId="77777777" w:rsidR="00A15990" w:rsidRDefault="00A15990">
            <w:pPr>
              <w:spacing w:after="0" w:line="240" w:lineRule="auto"/>
              <w:jc w:val="center"/>
              <w:rPr>
                <w:rFonts w:cstheme="minorHAnsi"/>
                <w:noProof/>
                <w:sz w:val="16"/>
              </w:rPr>
            </w:pPr>
          </w:p>
        </w:tc>
        <w:tc>
          <w:tcPr>
            <w:tcW w:w="1134" w:type="dxa"/>
            <w:shd w:val="clear" w:color="auto" w:fill="C4EFCE"/>
            <w:noWrap/>
            <w:vAlign w:val="center"/>
          </w:tcPr>
          <w:p w14:paraId="3C744534" w14:textId="471C353F" w:rsidR="00A15990" w:rsidRDefault="00686A62">
            <w:pPr>
              <w:pStyle w:val="P68B1DB1-Normal12"/>
              <w:spacing w:after="0" w:line="240" w:lineRule="auto"/>
              <w:jc w:val="center"/>
              <w:rPr>
                <w:rFonts w:cstheme="minorHAnsi"/>
                <w:noProof/>
              </w:rPr>
            </w:pPr>
            <w:r>
              <w:rPr>
                <w:noProof/>
              </w:rPr>
              <w:t>Numărul</w:t>
            </w:r>
          </w:p>
        </w:tc>
        <w:tc>
          <w:tcPr>
            <w:tcW w:w="947" w:type="dxa"/>
            <w:shd w:val="clear" w:color="auto" w:fill="C4EFCE"/>
            <w:noWrap/>
            <w:vAlign w:val="center"/>
          </w:tcPr>
          <w:p w14:paraId="538FAA91" w14:textId="20339339" w:rsidR="00A15990" w:rsidRDefault="00686A62">
            <w:pPr>
              <w:pStyle w:val="P68B1DB1-Normal12"/>
              <w:spacing w:after="0" w:line="240" w:lineRule="auto"/>
              <w:jc w:val="center"/>
              <w:rPr>
                <w:rFonts w:cstheme="minorHAnsi"/>
                <w:noProof/>
              </w:rPr>
            </w:pPr>
            <w:r>
              <w:rPr>
                <w:noProof/>
              </w:rPr>
              <w:t>0</w:t>
            </w:r>
          </w:p>
        </w:tc>
        <w:tc>
          <w:tcPr>
            <w:tcW w:w="682" w:type="dxa"/>
            <w:shd w:val="clear" w:color="auto" w:fill="C4EFCE"/>
            <w:noWrap/>
            <w:vAlign w:val="center"/>
          </w:tcPr>
          <w:p w14:paraId="498F4BE0" w14:textId="75A3A34E" w:rsidR="00A15990" w:rsidRDefault="00686A62">
            <w:pPr>
              <w:pStyle w:val="P68B1DB1-Normal12"/>
              <w:spacing w:after="0" w:line="240" w:lineRule="auto"/>
              <w:jc w:val="center"/>
              <w:rPr>
                <w:rFonts w:cstheme="minorHAnsi"/>
                <w:noProof/>
              </w:rPr>
            </w:pPr>
            <w:r>
              <w:rPr>
                <w:noProof/>
              </w:rPr>
              <w:t>650</w:t>
            </w:r>
          </w:p>
        </w:tc>
        <w:tc>
          <w:tcPr>
            <w:tcW w:w="550" w:type="dxa"/>
            <w:shd w:val="clear" w:color="auto" w:fill="C4EFCE"/>
            <w:noWrap/>
            <w:vAlign w:val="center"/>
          </w:tcPr>
          <w:p w14:paraId="195EA9FE" w14:textId="21BCF0FB" w:rsidR="00A15990" w:rsidRDefault="00686A62">
            <w:pPr>
              <w:pStyle w:val="P68B1DB1-Normal12"/>
              <w:spacing w:after="0" w:line="240" w:lineRule="auto"/>
              <w:jc w:val="center"/>
              <w:rPr>
                <w:rFonts w:cstheme="minorHAnsi"/>
                <w:noProof/>
              </w:rPr>
            </w:pPr>
            <w:r>
              <w:rPr>
                <w:noProof/>
              </w:rPr>
              <w:t>TRIMESTRUL 4</w:t>
            </w:r>
          </w:p>
        </w:tc>
        <w:tc>
          <w:tcPr>
            <w:tcW w:w="682" w:type="dxa"/>
            <w:shd w:val="clear" w:color="auto" w:fill="C4EFCE"/>
            <w:noWrap/>
            <w:vAlign w:val="center"/>
          </w:tcPr>
          <w:p w14:paraId="5FAC320A" w14:textId="68759A95" w:rsidR="00A15990" w:rsidRDefault="00686A62">
            <w:pPr>
              <w:pStyle w:val="P68B1DB1-Normal12"/>
              <w:spacing w:after="0" w:line="240" w:lineRule="auto"/>
              <w:jc w:val="center"/>
              <w:rPr>
                <w:rFonts w:cstheme="minorHAnsi"/>
                <w:noProof/>
              </w:rPr>
            </w:pPr>
            <w:r>
              <w:rPr>
                <w:noProof/>
              </w:rPr>
              <w:t>2025</w:t>
            </w:r>
          </w:p>
        </w:tc>
        <w:tc>
          <w:tcPr>
            <w:tcW w:w="4458" w:type="dxa"/>
            <w:shd w:val="clear" w:color="auto" w:fill="C4EFCE"/>
            <w:vAlign w:val="center"/>
          </w:tcPr>
          <w:p w14:paraId="6C088F62" w14:textId="48E68E5E" w:rsidR="00A15990" w:rsidRDefault="00686A62">
            <w:pPr>
              <w:pStyle w:val="P68B1DB1-Bodytext1013"/>
              <w:spacing w:after="0" w:line="240" w:lineRule="auto"/>
              <w:jc w:val="both"/>
              <w:rPr>
                <w:rFonts w:cstheme="minorHAnsi"/>
                <w:noProof/>
              </w:rPr>
            </w:pPr>
            <w:r>
              <w:rPr>
                <w:noProof/>
              </w:rPr>
              <w:t>Numărul de angajați din sectorul public care au absolvit cursuri de formare privind colectarea și gestionarea datelor și alte conținuturi legate de orașele și clădirile inteligente și de durabilitate.</w:t>
            </w:r>
          </w:p>
        </w:tc>
      </w:tr>
    </w:tbl>
    <w:p w14:paraId="7E5600AA" w14:textId="77777777" w:rsidR="00A15990" w:rsidRDefault="00A15990">
      <w:pPr>
        <w:keepNext/>
        <w:spacing w:before="40" w:after="0" w:line="259" w:lineRule="auto"/>
        <w:jc w:val="both"/>
        <w:rPr>
          <w:rFonts w:ascii="Times New Roman" w:eastAsiaTheme="minorEastAsia" w:hAnsi="Times New Roman" w:cs="Times New Roman"/>
          <w:noProof/>
          <w:sz w:val="24"/>
          <w:u w:val="single"/>
        </w:rPr>
      </w:pPr>
    </w:p>
    <w:p w14:paraId="24A85F36"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E00EDD">
          <w:headerReference w:type="even" r:id="rId350"/>
          <w:headerReference w:type="default" r:id="rId351"/>
          <w:footerReference w:type="even" r:id="rId352"/>
          <w:footerReference w:type="default" r:id="rId353"/>
          <w:headerReference w:type="first" r:id="rId354"/>
          <w:footerReference w:type="first" r:id="rId355"/>
          <w:pgSz w:w="16839" w:h="11907" w:orient="landscape"/>
          <w:pgMar w:top="1134" w:right="1134" w:bottom="1134" w:left="1134" w:header="567" w:footer="567" w:gutter="0"/>
          <w:cols w:space="720"/>
          <w:docGrid w:linePitch="360"/>
        </w:sectPr>
      </w:pPr>
    </w:p>
    <w:p w14:paraId="6A596265"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T. COMPONENTA 20: Școala digitală</w:t>
      </w:r>
    </w:p>
    <w:p w14:paraId="0220BD59"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În 2019, Portugalia avea valori sub mediile europene în ceea ce privește utilizarea zilnică a internetului (65 %), utilizarea serviciilor publice online (41 %) și a specialiștilor TIC pe piața forței de muncă (2,4 %) (date Eurostat/Observatorul competențelor digitale) și a stabilit obiective ambițioase până în 2025 pentru acești indicatori (80 %, 75 % și, respectiv, 5 %). În rândul specialiștilor TIC de pe piața forței de muncă, femeile au reprezentat 18,3 %, iar bărbații 81,7 % (date Eurostat). </w:t>
      </w:r>
    </w:p>
    <w:p w14:paraId="3D0CAE16" w14:textId="77777777" w:rsidR="00A15990" w:rsidRDefault="00686A62">
      <w:pPr>
        <w:pStyle w:val="P68B1DB1-Normal4"/>
        <w:keepNext/>
        <w:spacing w:before="40" w:after="0" w:line="259" w:lineRule="auto"/>
        <w:jc w:val="both"/>
        <w:rPr>
          <w:rFonts w:eastAsiaTheme="minorEastAsia" w:cs="Times New Roman"/>
          <w:noProof/>
        </w:rPr>
      </w:pPr>
      <w:r>
        <w:rPr>
          <w:noProof/>
        </w:rPr>
        <w:t>Obiectivele componentei sunt crearea condițiilor pentru inovarea educațională, pedagogică și managerială a sistemului portughez de învățământ primar și secundar. Acest lucru se realizează prin dezvoltarea competențelor digitale ale cadrelor didactice, ale elevilor și ale personalului școlar, prin integrarea tehnologiilor digitale în diferitele domenii școlare și prin furnizarea echipamentelor adecvate. La rândul său, se preconizează că acest lucru va contribui la tranziția digitală și la o creștere durabilă și favorabilă incluziunii a economiei.</w:t>
      </w:r>
    </w:p>
    <w:p w14:paraId="2A7F6906" w14:textId="77777777" w:rsidR="00A15990" w:rsidRDefault="00686A62">
      <w:pPr>
        <w:pStyle w:val="P68B1DB1-Normal4"/>
        <w:keepNext/>
        <w:spacing w:before="40" w:after="0" w:line="259" w:lineRule="auto"/>
        <w:jc w:val="both"/>
        <w:rPr>
          <w:rFonts w:eastAsiaTheme="minorEastAsia" w:cs="Times New Roman"/>
          <w:noProof/>
        </w:rPr>
      </w:pPr>
      <w:r>
        <w:rPr>
          <w:noProof/>
        </w:rPr>
        <w:t>Componenta contribuie la abordarea recomandării specifice fiecărei țări de a îmbunătăți nivelul de competențe al populației, în special alfabetizarea digitală a acesteia (recomandarea specifică fiecărei țări 2 2019) și de a sprijini utilizarea tehnologiilor digitale pentru a asigura accesul egal la educație și formare de calitate (recomandarea specifică fiecărei țări 2 2020).</w:t>
      </w:r>
    </w:p>
    <w:p w14:paraId="74ECCC4A" w14:textId="77777777" w:rsidR="00A15990" w:rsidRDefault="00686A62">
      <w:pPr>
        <w:pStyle w:val="P68B1DB1-Normal4"/>
        <w:keepNext/>
        <w:spacing w:before="40" w:after="0" w:line="259" w:lineRule="auto"/>
        <w:jc w:val="both"/>
        <w:outlineLvl w:val="1"/>
        <w:rPr>
          <w:rFonts w:eastAsiaTheme="minorEastAsia" w:cs="Times New Roman"/>
          <w:noProof/>
        </w:rPr>
      </w:pPr>
      <w:r>
        <w:rPr>
          <w:noProof/>
        </w:rPr>
        <w:t xml:space="preserve">Se preconizează că nicio măsură din această componentă nu prejudiciază în mod semnificativ obiectivele de mediu în sensul articolul 17 din Regulamentul (UE) 2020/852, ținând seama de descrierea măsurilor și de măsurile de atenuare prevăzute în plan în conformitate cu Orientările tehnice privind principiul DNSH (2021/C58/01). </w:t>
      </w:r>
    </w:p>
    <w:p w14:paraId="3B662D2B"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noProof/>
          <w:sz w:val="24"/>
        </w:rPr>
      </w:pPr>
    </w:p>
    <w:p w14:paraId="59DF8EE1"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T.1. Descrierea reformelor și a investițiilor pentru sprijinul financiar nerambursabil</w:t>
      </w:r>
    </w:p>
    <w:p w14:paraId="707939C8"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TD-r37: Reforma educației digitale</w:t>
      </w:r>
    </w:p>
    <w:p w14:paraId="75AAAB02"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măsurii sunt de a dezvolta o nouă abordare digitală a educației, valorificând politicile publice existente în domeniul educației, în special sistemul de autonomie și flexibilitate în programele de învățământ. Această reformă urmărește să introducă un salt calitativ în utilizarea pedagogică a tehnologiilor digitale și modul în care acestea vor fi integrate în procesul de dobândire a cunoștințelor. Reforma urmărește, de asemenea, să atenueze riscurile de excluziune și dezavantaj în procesele de învățare prin reducerea inegalităților sociale și educaționale în ceea ce privește accesul la tehnologiile digitale. Reforma educației digitale vizează comunitatea educațională (elevi, cadre didactice și personal nedidactic). </w:t>
      </w:r>
    </w:p>
    <w:p w14:paraId="2F6F6796"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Reforma constă în măsuri menite să asigure că 95 % dintre cadrele didactice din rețeaua publică de învățământ beneficiază de formare în domeniul competențelor digitale de bază sau mai avansate, inclusiv în ceea ce privește integrarea tehnologiilor digitale în programa școlară. </w:t>
      </w:r>
    </w:p>
    <w:p w14:paraId="5FE5A2B5"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reformei se finalizează până la 31 decembrie 2025.</w:t>
      </w:r>
    </w:p>
    <w:p w14:paraId="079FE2F5"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TD-C20-i01: Tranziția digitală în educație</w:t>
      </w:r>
    </w:p>
    <w:p w14:paraId="1BD28562" w14:textId="77777777" w:rsidR="00A15990" w:rsidRDefault="00686A62">
      <w:pPr>
        <w:pStyle w:val="P68B1DB1-Normal4"/>
        <w:keepNext/>
        <w:spacing w:before="40" w:after="0" w:line="259" w:lineRule="auto"/>
        <w:jc w:val="both"/>
        <w:rPr>
          <w:rFonts w:eastAsiaTheme="minorEastAsia" w:cs="Times New Roman"/>
          <w:noProof/>
        </w:rPr>
      </w:pPr>
      <w:r>
        <w:rPr>
          <w:noProof/>
        </w:rPr>
        <w:t>Obiectivele investiției sunt: să elimine barierele din calea accesului la internet de calitate în mediul școlar; eliminarea limitărilor privind utilizarea integrată a echipamentelor tehnologice și digitale și eliminarea lipsei de echipamente specializate pentru dezvoltarea competențelor digitale și stimularea continuării carierelor STIAM, pentru a promova participarea egală a fetelor și băieților; III) pentru a depăși utilizarea insuficientă a resurselor educaționale digitale în procesul de învățare și în procesul de evaluare; și iv) să depășească dispersia și ineficiența sistemelor de gestionare și informare ale sistemului educațional prin revizuirea și actualizarea metodologiilor și proceselor de gestionare și administrare ale școlilor.</w:t>
      </w:r>
    </w:p>
    <w:p w14:paraId="7653B2CD" w14:textId="77777777" w:rsidR="00A15990" w:rsidRDefault="00686A62">
      <w:pPr>
        <w:pStyle w:val="P68B1DB1-Normal4"/>
        <w:keepNext/>
        <w:spacing w:before="40" w:after="0" w:line="259" w:lineRule="auto"/>
        <w:jc w:val="both"/>
        <w:rPr>
          <w:rFonts w:eastAsiaTheme="minorEastAsia" w:cs="Times New Roman"/>
          <w:noProof/>
        </w:rPr>
      </w:pPr>
      <w:r>
        <w:rPr>
          <w:noProof/>
        </w:rPr>
        <w:t>Această investiție constă în următoarele:</w:t>
      </w:r>
    </w:p>
    <w:p w14:paraId="03FF5724" w14:textId="6EAC7F20"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Extinderea conectivității școlilor prin extinderea conectivității la internet a Rețelei extinse de educație de la 40 la 300 Gbps, prin conectarea școlilor primare și secundare la rețeaua extinsă de educație, prin asigurarea unei conectivități de cel puțin 1 Gbps și prin extinderea rețelei locale cu o medie de 40 puncte de acces noi pentru fiecare școală.</w:t>
      </w:r>
    </w:p>
    <w:p w14:paraId="75BEAC82" w14:textId="10913F76"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Furnizarea a 600 000 de calculatoare pentru elevi și profesori, modernizarea echipamentelor de proiecție în sălile de clasă (40 000 proiectoare) și punerea la dispoziția școlilor a unor laboratoare de educație digitală echipate cu tehnologii digitale avansate educaționale, cum ar fi imprimantele 3D și roboții educativi (1 300).</w:t>
      </w:r>
    </w:p>
    <w:p w14:paraId="2EECEC6A" w14:textId="77777777"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Dezvoltarea și adoptarea de noi resurse educaționale digitale (95 % din materiile din programele de învățământ primar și secundar, inclusiv educația fizică și sportul), inclusiv digitalizarea testelor de evaluare.</w:t>
      </w:r>
    </w:p>
    <w:p w14:paraId="52367BA5" w14:textId="77777777"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Punerea la dispoziția școlilor a unui „sistem unic de identitate” pentru gestionarea comunității școlare, convergența și integrarea sistemelor informatice de management educațional și furnizarea de soluții informatice adecvate, 15 000 de echipamente diferite (între calculatoare, scanere și imprimante), în vederea unei funcționări mai eficiente și mai transparente a sistemului educațional, inclusiv raționalizarea cheltuielilor școlilor.</w:t>
      </w:r>
    </w:p>
    <w:p w14:paraId="0F323A51"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14F3F2F2" w14:textId="7777777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Investiții TD-C20-i02-RAA: Educația digitală (Azore)</w:t>
      </w:r>
    </w:p>
    <w:p w14:paraId="6DBBE642"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Obiectivele măsurii sunt de a asigura accesul la utilizarea tehnologiilor digitale, de a promova egalitatea de șanse și de a conduce la îmbunătățiri semnificative ale mijloacelor de învățare, în conformitate cu Planul de acțiune al Uniunii Europene pentru educația digitală. </w:t>
      </w:r>
    </w:p>
    <w:p w14:paraId="5C7D6298" w14:textId="325E0E33" w:rsidR="00A15990" w:rsidRDefault="00686A62">
      <w:pPr>
        <w:pStyle w:val="P68B1DB1-Normal4"/>
        <w:keepNext/>
        <w:spacing w:before="40" w:after="0" w:line="259" w:lineRule="auto"/>
        <w:jc w:val="both"/>
        <w:rPr>
          <w:rFonts w:eastAsiaTheme="minorEastAsia" w:cs="Times New Roman"/>
          <w:noProof/>
        </w:rPr>
      </w:pPr>
      <w:r>
        <w:rPr>
          <w:noProof/>
        </w:rPr>
        <w:t>Această investiție constă în promovarea dezvoltării competențelor digitale ale comunității educaționale care vizează atât elevii, cât și părinții și profesorii acestora și include acțiuni specifice în următoarele domenii:</w:t>
      </w:r>
    </w:p>
    <w:p w14:paraId="513C3B5B" w14:textId="36FC7C89"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Echipamentele: 31 900 de noi echipamente informatice mobile pentru învățământul preșcolar, primar și secundar, inclusiv monitorizarea actualizărilor și a software-ului și furnizarea de echipamente la nivel școlar, cu cel puțin 1080 de ecrane interactive noi, 100 noi echipamente de laborator specializate, 100 noi imprimante 3D și 150 noi roboți educaționali;</w:t>
      </w:r>
    </w:p>
    <w:p w14:paraId="0EBDFF9B" w14:textId="77777777"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Resurse educaționale digitale: digitalizarea resurselor educaționale, cu scopul de a ajunge la 100 % dintre elevii din Regiunea Autonomă Azore care utilizează manuale digitale;</w:t>
      </w:r>
    </w:p>
    <w:p w14:paraId="2A03A637" w14:textId="0F426A51"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Competențe digitale: 24 module de formare dedicate profesorilor și părinților elevilor; </w:t>
      </w:r>
    </w:p>
    <w:p w14:paraId="690C5BB4" w14:textId="7315D772" w:rsidR="00A15990" w:rsidRDefault="00686A62">
      <w:pPr>
        <w:pStyle w:val="P68B1DB1-Normal4"/>
        <w:keepNext/>
        <w:numPr>
          <w:ilvl w:val="0"/>
          <w:numId w:val="38"/>
        </w:numPr>
        <w:spacing w:before="40" w:after="160" w:line="259" w:lineRule="auto"/>
        <w:contextualSpacing/>
        <w:jc w:val="both"/>
        <w:rPr>
          <w:rFonts w:eastAsiaTheme="minorEastAsia" w:cs="Times New Roman"/>
          <w:noProof/>
        </w:rPr>
      </w:pPr>
      <w:r>
        <w:rPr>
          <w:noProof/>
        </w:rPr>
        <w:t xml:space="preserve">Conectivitatea: acțiuni de îmbunătățire a conectivității școlilor din regiunea autonomă Azore la cel puțin 1 Gbps. Achiziționarea și instalarea a 1500 comutatoare și APS. </w:t>
      </w:r>
    </w:p>
    <w:p w14:paraId="1A26EC6C" w14:textId="77777777" w:rsidR="00A15990" w:rsidRDefault="00686A62">
      <w:pPr>
        <w:pStyle w:val="P68B1DB1-Normal4"/>
        <w:keepNext/>
        <w:spacing w:before="40" w:after="0" w:line="259" w:lineRule="auto"/>
        <w:jc w:val="both"/>
        <w:rPr>
          <w:rFonts w:eastAsiaTheme="minorEastAsia" w:cs="Times New Roman"/>
          <w:noProof/>
        </w:rPr>
      </w:pPr>
      <w:r>
        <w:rPr>
          <w:noProof/>
        </w:rPr>
        <w:t>Punerea în aplicare a investiției se va finaliza până la 31 decembrie 2025.</w:t>
      </w:r>
    </w:p>
    <w:p w14:paraId="6248B184" w14:textId="4041F786"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TD-C20-i03-RAM: Accelerarea digitalizării educației ARM</w:t>
      </w:r>
    </w:p>
    <w:p w14:paraId="19CEFD55" w14:textId="7C0999F4" w:rsidR="00A15990" w:rsidRDefault="00686A62">
      <w:pPr>
        <w:pStyle w:val="P68B1DB1-Normal4"/>
        <w:keepNext/>
        <w:spacing w:before="40" w:after="0" w:line="259" w:lineRule="auto"/>
        <w:jc w:val="both"/>
        <w:rPr>
          <w:rFonts w:eastAsiaTheme="minorEastAsia" w:cs="Times New Roman"/>
          <w:noProof/>
        </w:rPr>
      </w:pPr>
      <w:r>
        <w:rPr>
          <w:noProof/>
        </w:rPr>
        <w:t>Obiectivul măsurii este de a crea un sistem educațional mai proactiv, inovator, favorabil incluziunii, autonom, echitabil și deschis în regiunea autonomă Madeira în școlile publice și private.</w:t>
      </w:r>
    </w:p>
    <w:p w14:paraId="34D95A54" w14:textId="77777777" w:rsidR="00A15990" w:rsidRDefault="00686A62">
      <w:pPr>
        <w:pStyle w:val="P68B1DB1-Normal4"/>
        <w:keepNext/>
        <w:spacing w:before="40" w:after="0" w:line="259" w:lineRule="auto"/>
        <w:jc w:val="both"/>
        <w:rPr>
          <w:rFonts w:eastAsiaTheme="minorEastAsia" w:cs="Times New Roman"/>
          <w:noProof/>
        </w:rPr>
      </w:pPr>
      <w:r>
        <w:rPr>
          <w:noProof/>
        </w:rPr>
        <w:t>Investiția constă în furnizarea de învățare, formare și calificare de calitate, pregătirea copiilor și a elevilor pentru a face față provocărilor secolului XXI, inclusiv tranziția digitală, cu acțiuni specifice în următoarele domenii:</w:t>
      </w:r>
    </w:p>
    <w:p w14:paraId="6E749B90" w14:textId="3B32952B" w:rsidR="00A15990" w:rsidRDefault="00686A62">
      <w:pPr>
        <w:pStyle w:val="P68B1DB1-Normal4"/>
        <w:keepNext/>
        <w:numPr>
          <w:ilvl w:val="0"/>
          <w:numId w:val="39"/>
        </w:numPr>
        <w:spacing w:before="40" w:after="160" w:line="259" w:lineRule="auto"/>
        <w:contextualSpacing/>
        <w:jc w:val="both"/>
        <w:rPr>
          <w:rFonts w:eastAsiaTheme="minorEastAsia" w:cs="Times New Roman"/>
          <w:noProof/>
        </w:rPr>
      </w:pPr>
      <w:r>
        <w:rPr>
          <w:noProof/>
        </w:rPr>
        <w:t>Resurse și echipamente educaționale digitale: În cadrul proiectului „Manualelor digitale”, aceasta vizează furnizarea de resurse educaționale digitale multiple în formate și tipologii diferite (animații, simulări, materiale video tridimensionale sau altele), furnizarea de echipamente (tablete sau laptopuri, în funcție de anul de școlarizare) și accesul la manuale digitale pentru a se asigura că comunitatea educațională (elevi, profesori, tehnicieni în învățământul superior, tehnicieni în domeniul asistenței tehnice, furnizori de educație) are acces sigur la conținutul disponibil prin digitalizarea educației. Aceasta include, pentru toți elevii (15 910 elevi): 1 tabletă sau laptop, în funcție de anul de școlarizare, 1 licență virtuală de acces la școli valabilă pentru fiecare an școlar; 1 licență personală și netransferabilă a versiunii digitale a fiecărui manual școlar adoptat pentru școlarizare.</w:t>
      </w:r>
    </w:p>
    <w:p w14:paraId="56EC44E7" w14:textId="4D84A1D3" w:rsidR="00A15990" w:rsidRDefault="00686A62">
      <w:pPr>
        <w:pStyle w:val="P68B1DB1-Normal4"/>
        <w:keepNext/>
        <w:numPr>
          <w:ilvl w:val="0"/>
          <w:numId w:val="39"/>
        </w:numPr>
        <w:spacing w:before="40" w:after="160" w:line="259" w:lineRule="auto"/>
        <w:contextualSpacing/>
        <w:jc w:val="both"/>
        <w:rPr>
          <w:rFonts w:eastAsiaTheme="minorEastAsia" w:cs="Times New Roman"/>
          <w:noProof/>
        </w:rPr>
      </w:pPr>
      <w:r>
        <w:rPr>
          <w:noProof/>
        </w:rPr>
        <w:t>Conectivitate și echipamente pentru școli: cu scopul de a dota școlile cu „Medii de învățare inovatoare” (34 „Spații de ucenicie ecologică inovatoare”; Laboratoare de 22 de mezeluri; 15 spații pentru învățarea în domeniul îngrijirii copiilor; 20 „spații inovatoare” – pe baza conceptului de sală Snoezelen</w:t>
      </w:r>
      <w:r>
        <w:rPr>
          <w:noProof/>
        </w:rPr>
        <w:footnoteReference w:id="77"/>
      </w:r>
      <w:r>
        <w:rPr>
          <w:noProof/>
        </w:rPr>
        <w:t xml:space="preserve">– promovarea incluziunii și a alfabetizării digitale, cu „Centre de inovare educațională pentru programare și robotizare”, câte unul pentru fiecare școală; </w:t>
      </w:r>
    </w:p>
    <w:p w14:paraId="6FC4CEC9" w14:textId="62347127" w:rsidR="00A15990" w:rsidRDefault="00686A62">
      <w:pPr>
        <w:pStyle w:val="P68B1DB1-Normal4"/>
        <w:keepNext/>
        <w:numPr>
          <w:ilvl w:val="0"/>
          <w:numId w:val="39"/>
        </w:numPr>
        <w:spacing w:before="40" w:after="160" w:line="259" w:lineRule="auto"/>
        <w:contextualSpacing/>
        <w:jc w:val="both"/>
        <w:rPr>
          <w:rFonts w:eastAsiaTheme="minorEastAsia" w:cs="Times New Roman"/>
          <w:noProof/>
        </w:rPr>
      </w:pPr>
      <w:r>
        <w:rPr>
          <w:noProof/>
        </w:rPr>
        <w:t xml:space="preserve">Competențe digitale: cu activități de formare oferite cadrelor didactice și personalului nedidactic (tehnicieni din învățământul superior, asistenți tehnici). </w:t>
      </w:r>
    </w:p>
    <w:p w14:paraId="116BAADB" w14:textId="77777777" w:rsidR="00A15990" w:rsidRDefault="00686A62">
      <w:pPr>
        <w:pStyle w:val="P68B1DB1-Normal4"/>
        <w:keepNext/>
        <w:spacing w:before="40" w:after="0" w:line="259" w:lineRule="auto"/>
        <w:jc w:val="both"/>
        <w:rPr>
          <w:rFonts w:eastAsiaTheme="minorEastAsia" w:cs="Times New Roman"/>
          <w:noProof/>
        </w:rPr>
        <w:sectPr w:rsidR="00A15990" w:rsidSect="00E00EDD">
          <w:headerReference w:type="even" r:id="rId356"/>
          <w:headerReference w:type="default" r:id="rId357"/>
          <w:footerReference w:type="even" r:id="rId358"/>
          <w:footerReference w:type="default" r:id="rId359"/>
          <w:headerReference w:type="first" r:id="rId360"/>
          <w:footerReference w:type="first" r:id="rId361"/>
          <w:pgSz w:w="11907" w:h="16839"/>
          <w:pgMar w:top="1134" w:right="1134" w:bottom="1134" w:left="1134" w:header="567" w:footer="567" w:gutter="0"/>
          <w:cols w:space="720"/>
          <w:docGrid w:linePitch="360"/>
        </w:sectPr>
      </w:pPr>
      <w:r>
        <w:rPr>
          <w:noProof/>
        </w:rPr>
        <w:t>Punerea în aplicare a investiției se va finaliza până la 31 decembrie 2025.</w:t>
      </w:r>
    </w:p>
    <w:p w14:paraId="6A865438" w14:textId="77777777"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T.2. Obiective de etapă, ținte, indicatori și calendar pentru monitorizarea și punerea în aplicare a sprijinului financiar nerambursabil</w:t>
      </w:r>
    </w:p>
    <w:p w14:paraId="3E59DF2E"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A15990" w14:paraId="161579D1" w14:textId="77777777">
        <w:trPr>
          <w:trHeight w:val="910"/>
          <w:tblHeader/>
        </w:trPr>
        <w:tc>
          <w:tcPr>
            <w:tcW w:w="1135" w:type="dxa"/>
            <w:vMerge w:val="restart"/>
            <w:shd w:val="clear" w:color="auto" w:fill="BDD6EE"/>
            <w:vAlign w:val="center"/>
            <w:hideMark/>
          </w:tcPr>
          <w:p w14:paraId="18D3C4B3"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0F2DCA77"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6ABCFCFD" w14:textId="7A349BE6"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vAlign w:val="center"/>
            <w:hideMark/>
          </w:tcPr>
          <w:p w14:paraId="6F4253DE"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5E98634F"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977" w:type="dxa"/>
            <w:gridSpan w:val="3"/>
            <w:shd w:val="clear" w:color="auto" w:fill="BDD6EE"/>
            <w:vAlign w:val="center"/>
            <w:hideMark/>
          </w:tcPr>
          <w:p w14:paraId="1726AAB0"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416EE560"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566259A2"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624748BC" w14:textId="77777777">
        <w:trPr>
          <w:trHeight w:val="470"/>
          <w:tblHeader/>
        </w:trPr>
        <w:tc>
          <w:tcPr>
            <w:tcW w:w="1135" w:type="dxa"/>
            <w:vMerge/>
            <w:vAlign w:val="center"/>
            <w:hideMark/>
          </w:tcPr>
          <w:p w14:paraId="50EEF1DC"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79C161D4"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vAlign w:val="center"/>
            <w:hideMark/>
          </w:tcPr>
          <w:p w14:paraId="0AD30B37" w14:textId="1F95A1E3" w:rsidR="00A15990" w:rsidRDefault="00A15990">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5D61E092" w14:textId="77777777" w:rsidR="00A15990" w:rsidRDefault="00A15990">
            <w:pPr>
              <w:spacing w:after="0" w:line="240" w:lineRule="auto"/>
              <w:rPr>
                <w:rFonts w:ascii="Times New Roman" w:eastAsia="Times New Roman" w:hAnsi="Times New Roman" w:cs="Times New Roman"/>
                <w:b/>
                <w:noProof/>
                <w:sz w:val="18"/>
              </w:rPr>
            </w:pPr>
          </w:p>
        </w:tc>
        <w:tc>
          <w:tcPr>
            <w:tcW w:w="1275" w:type="dxa"/>
            <w:vMerge/>
            <w:vAlign w:val="center"/>
            <w:hideMark/>
          </w:tcPr>
          <w:p w14:paraId="0EF12599"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543C08EA"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1E2EEAE7"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992" w:type="dxa"/>
            <w:shd w:val="clear" w:color="auto" w:fill="BDD6EE"/>
            <w:vAlign w:val="center"/>
            <w:hideMark/>
          </w:tcPr>
          <w:p w14:paraId="08F656FE"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6D741527"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195C72EE"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0AB1CE62" w14:textId="77777777" w:rsidR="00A15990" w:rsidRDefault="00A15990">
            <w:pPr>
              <w:spacing w:after="0" w:line="240" w:lineRule="auto"/>
              <w:rPr>
                <w:rFonts w:ascii="Times New Roman" w:eastAsia="Times New Roman" w:hAnsi="Times New Roman" w:cs="Times New Roman"/>
                <w:b/>
                <w:noProof/>
                <w:sz w:val="18"/>
              </w:rPr>
            </w:pPr>
          </w:p>
        </w:tc>
      </w:tr>
      <w:tr w:rsidR="00A15990" w14:paraId="72498156" w14:textId="77777777">
        <w:trPr>
          <w:trHeight w:val="430"/>
        </w:trPr>
        <w:tc>
          <w:tcPr>
            <w:tcW w:w="1135" w:type="dxa"/>
            <w:shd w:val="clear" w:color="auto" w:fill="C4EFCE"/>
            <w:vAlign w:val="center"/>
            <w:hideMark/>
          </w:tcPr>
          <w:p w14:paraId="63BE4AE8" w14:textId="77777777" w:rsidR="00A15990" w:rsidRDefault="00686A62">
            <w:pPr>
              <w:pStyle w:val="P68B1DB1-Normal7"/>
              <w:spacing w:after="0" w:line="240" w:lineRule="auto"/>
              <w:jc w:val="center"/>
              <w:rPr>
                <w:rFonts w:eastAsia="Times New Roman" w:cs="Calibri"/>
                <w:noProof/>
              </w:rPr>
            </w:pPr>
            <w:r>
              <w:rPr>
                <w:noProof/>
              </w:rPr>
              <w:t>20.1</w:t>
            </w:r>
          </w:p>
        </w:tc>
        <w:tc>
          <w:tcPr>
            <w:tcW w:w="1276" w:type="dxa"/>
            <w:shd w:val="clear" w:color="auto" w:fill="C4EFCE"/>
            <w:noWrap/>
            <w:vAlign w:val="center"/>
            <w:hideMark/>
          </w:tcPr>
          <w:p w14:paraId="164C94BA" w14:textId="77777777" w:rsidR="00A15990" w:rsidRDefault="00686A62">
            <w:pPr>
              <w:pStyle w:val="P68B1DB1-Normal8"/>
              <w:spacing w:after="0" w:line="240" w:lineRule="auto"/>
              <w:jc w:val="center"/>
              <w:rPr>
                <w:rFonts w:eastAsia="Times New Roman" w:cs="Calibri"/>
                <w:noProof/>
              </w:rPr>
            </w:pPr>
            <w:r>
              <w:rPr>
                <w:noProof/>
              </w:rPr>
              <w:t>TD-C20-r37</w:t>
            </w:r>
          </w:p>
        </w:tc>
        <w:tc>
          <w:tcPr>
            <w:tcW w:w="1134" w:type="dxa"/>
            <w:shd w:val="clear" w:color="auto" w:fill="C4EFCE"/>
            <w:noWrap/>
            <w:vAlign w:val="center"/>
            <w:hideMark/>
          </w:tcPr>
          <w:p w14:paraId="12F2735F"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0C825" w14:textId="77777777" w:rsidR="00A15990" w:rsidRDefault="00686A62">
            <w:pPr>
              <w:pStyle w:val="P68B1DB1-Normal8"/>
              <w:spacing w:after="0" w:line="240" w:lineRule="auto"/>
              <w:jc w:val="center"/>
              <w:rPr>
                <w:rFonts w:eastAsia="Times New Roman" w:cs="Calibri"/>
                <w:noProof/>
              </w:rPr>
            </w:pPr>
            <w:r>
              <w:rPr>
                <w:noProof/>
              </w:rPr>
              <w:t>Formarea competențelor digitale pentru cadrele didactice și personalul nedidactic din rețeaua publică de învățământ</w:t>
            </w:r>
          </w:p>
        </w:tc>
        <w:tc>
          <w:tcPr>
            <w:tcW w:w="1275" w:type="dxa"/>
            <w:shd w:val="clear" w:color="auto" w:fill="C4EFCE"/>
            <w:noWrap/>
            <w:vAlign w:val="center"/>
            <w:hideMark/>
          </w:tcPr>
          <w:p w14:paraId="224B1BF8"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67CBB8E" w14:textId="77777777" w:rsidR="00A15990" w:rsidRDefault="00686A62">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6A3414D8" w14:textId="77777777" w:rsidR="00A15990" w:rsidRDefault="00686A62">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B108FA3" w14:textId="77777777" w:rsidR="00A15990" w:rsidRDefault="00686A62">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75635301"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E7431B0"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AA33588" w14:textId="77777777" w:rsidR="00A15990" w:rsidRDefault="00686A62">
            <w:pPr>
              <w:pStyle w:val="P68B1DB1-Normal8"/>
              <w:spacing w:after="0" w:line="240" w:lineRule="auto"/>
              <w:jc w:val="both"/>
              <w:rPr>
                <w:rFonts w:eastAsia="Times New Roman" w:cs="Calibri"/>
                <w:noProof/>
              </w:rPr>
            </w:pPr>
            <w:r>
              <w:rPr>
                <w:noProof/>
              </w:rPr>
              <w:t xml:space="preserve">Procentul cadrelor didactice din rețeaua de învățământ public care au beneficiat de formare privind competențele digitale de bază sau mai avansate, inclusiv (pentru profesori) cu privire la integrarea tehnologiilor digitale în programa școlară </w:t>
            </w:r>
          </w:p>
        </w:tc>
      </w:tr>
      <w:tr w:rsidR="00A15990" w14:paraId="7114F95D" w14:textId="77777777">
        <w:trPr>
          <w:trHeight w:val="300"/>
        </w:trPr>
        <w:tc>
          <w:tcPr>
            <w:tcW w:w="1135" w:type="dxa"/>
            <w:shd w:val="clear" w:color="auto" w:fill="C4EFCE"/>
            <w:vAlign w:val="center"/>
          </w:tcPr>
          <w:p w14:paraId="08F3C5C5" w14:textId="77777777" w:rsidR="00A15990" w:rsidRDefault="00686A62">
            <w:pPr>
              <w:pStyle w:val="P68B1DB1-Normal7"/>
              <w:spacing w:after="0" w:line="240" w:lineRule="auto"/>
              <w:jc w:val="center"/>
              <w:rPr>
                <w:rFonts w:eastAsia="Times New Roman" w:cs="Calibri"/>
                <w:noProof/>
              </w:rPr>
            </w:pPr>
            <w:r>
              <w:rPr>
                <w:noProof/>
              </w:rPr>
              <w:t>20.2</w:t>
            </w:r>
          </w:p>
        </w:tc>
        <w:tc>
          <w:tcPr>
            <w:tcW w:w="1276" w:type="dxa"/>
            <w:shd w:val="clear" w:color="auto" w:fill="C4EFCE"/>
            <w:noWrap/>
            <w:vAlign w:val="center"/>
          </w:tcPr>
          <w:p w14:paraId="0AF6BE0F"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tcPr>
          <w:p w14:paraId="36E5EE5C"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tcPr>
          <w:p w14:paraId="2DF62002" w14:textId="77777777" w:rsidR="00A15990" w:rsidRDefault="00686A62">
            <w:pPr>
              <w:pStyle w:val="P68B1DB1-Normal8"/>
              <w:spacing w:after="0" w:line="240" w:lineRule="auto"/>
              <w:jc w:val="center"/>
              <w:rPr>
                <w:rFonts w:eastAsia="Times New Roman" w:cs="Calibri"/>
                <w:noProof/>
              </w:rPr>
            </w:pPr>
            <w:r>
              <w:rPr>
                <w:noProof/>
              </w:rPr>
              <w:t>Semnarea contractelor pentru achiziționarea de calculatoare individuale pentru elevi și profesori</w:t>
            </w:r>
          </w:p>
        </w:tc>
        <w:tc>
          <w:tcPr>
            <w:tcW w:w="1275" w:type="dxa"/>
            <w:shd w:val="clear" w:color="auto" w:fill="C4EFCE"/>
            <w:noWrap/>
            <w:vAlign w:val="center"/>
          </w:tcPr>
          <w:p w14:paraId="5636A55F" w14:textId="77777777" w:rsidR="00A15990" w:rsidRDefault="00686A62">
            <w:pPr>
              <w:pStyle w:val="P68B1DB1-Normal8"/>
              <w:spacing w:after="0" w:line="240" w:lineRule="auto"/>
              <w:jc w:val="center"/>
              <w:rPr>
                <w:rFonts w:eastAsia="Times New Roman" w:cs="Calibri"/>
                <w:noProof/>
              </w:rPr>
            </w:pPr>
            <w:r>
              <w:rPr>
                <w:noProof/>
              </w:rPr>
              <w:t>Semnarea contractului </w:t>
            </w:r>
          </w:p>
        </w:tc>
        <w:tc>
          <w:tcPr>
            <w:tcW w:w="993" w:type="dxa"/>
            <w:shd w:val="clear" w:color="auto" w:fill="C4EFCE"/>
            <w:noWrap/>
            <w:vAlign w:val="center"/>
          </w:tcPr>
          <w:p w14:paraId="097313A5"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EC54429"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10D49A9C"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473C119D"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tcPr>
          <w:p w14:paraId="667C7DB0" w14:textId="77777777" w:rsidR="00A15990" w:rsidRDefault="00686A62">
            <w:pPr>
              <w:pStyle w:val="P68B1DB1-Normal8"/>
              <w:spacing w:after="0" w:line="240" w:lineRule="auto"/>
              <w:jc w:val="center"/>
              <w:rPr>
                <w:rFonts w:eastAsia="Times New Roman" w:cs="Calibri"/>
                <w:noProof/>
              </w:rPr>
            </w:pPr>
            <w:r>
              <w:rPr>
                <w:noProof/>
              </w:rPr>
              <w:t>2021</w:t>
            </w:r>
          </w:p>
        </w:tc>
        <w:tc>
          <w:tcPr>
            <w:tcW w:w="3969" w:type="dxa"/>
            <w:shd w:val="clear" w:color="auto" w:fill="C4EFCE"/>
            <w:vAlign w:val="center"/>
          </w:tcPr>
          <w:p w14:paraId="50EEB7FB" w14:textId="77777777" w:rsidR="00A15990" w:rsidRDefault="00686A62">
            <w:pPr>
              <w:pStyle w:val="P68B1DB1-Normal8"/>
              <w:spacing w:after="0" w:line="240" w:lineRule="auto"/>
              <w:jc w:val="both"/>
              <w:rPr>
                <w:rFonts w:eastAsia="Times New Roman" w:cs="Calibri"/>
                <w:noProof/>
              </w:rPr>
            </w:pPr>
            <w:r>
              <w:rPr>
                <w:noProof/>
              </w:rPr>
              <w:t>Semnarea contractelor pentru achiziționarea a 600 000 de laptopuri noi pentru a acorda credite profesorilor și elevilor</w:t>
            </w:r>
          </w:p>
        </w:tc>
      </w:tr>
      <w:tr w:rsidR="00A15990" w14:paraId="085E7F63" w14:textId="77777777">
        <w:trPr>
          <w:trHeight w:val="300"/>
        </w:trPr>
        <w:tc>
          <w:tcPr>
            <w:tcW w:w="1135" w:type="dxa"/>
            <w:shd w:val="clear" w:color="auto" w:fill="C4EFCE"/>
            <w:vAlign w:val="center"/>
            <w:hideMark/>
          </w:tcPr>
          <w:p w14:paraId="4CAF552D" w14:textId="77777777" w:rsidR="00A15990" w:rsidRDefault="00686A62">
            <w:pPr>
              <w:pStyle w:val="P68B1DB1-Normal7"/>
              <w:spacing w:after="0" w:line="240" w:lineRule="auto"/>
              <w:jc w:val="center"/>
              <w:rPr>
                <w:rFonts w:eastAsia="Times New Roman" w:cs="Calibri"/>
                <w:noProof/>
              </w:rPr>
            </w:pPr>
            <w:r>
              <w:rPr>
                <w:noProof/>
              </w:rPr>
              <w:t>20.3</w:t>
            </w:r>
          </w:p>
        </w:tc>
        <w:tc>
          <w:tcPr>
            <w:tcW w:w="1276" w:type="dxa"/>
            <w:shd w:val="clear" w:color="auto" w:fill="C4EFCE"/>
            <w:noWrap/>
            <w:vAlign w:val="center"/>
            <w:hideMark/>
          </w:tcPr>
          <w:p w14:paraId="7D638ADE"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6ED35996"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D20C1E8" w14:textId="77777777" w:rsidR="00A15990" w:rsidRDefault="00686A62">
            <w:pPr>
              <w:pStyle w:val="P68B1DB1-Normal8"/>
              <w:spacing w:after="0" w:line="240" w:lineRule="auto"/>
              <w:jc w:val="center"/>
              <w:rPr>
                <w:rFonts w:eastAsia="Times New Roman" w:cs="Calibri"/>
                <w:noProof/>
              </w:rPr>
            </w:pPr>
            <w:r>
              <w:rPr>
                <w:noProof/>
              </w:rPr>
              <w:t>Calculatoare pentru uzul individual al elevilor și profesorilor</w:t>
            </w:r>
          </w:p>
        </w:tc>
        <w:tc>
          <w:tcPr>
            <w:tcW w:w="1275" w:type="dxa"/>
            <w:shd w:val="clear" w:color="auto" w:fill="C4EFCE"/>
            <w:noWrap/>
            <w:vAlign w:val="center"/>
            <w:hideMark/>
          </w:tcPr>
          <w:p w14:paraId="2CBBC935"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B22CD9F"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41371EA9" w14:textId="77777777" w:rsidR="00A15990" w:rsidRDefault="00686A62">
            <w:pPr>
              <w:pStyle w:val="P68B1DB1-Normal8"/>
              <w:spacing w:after="0" w:line="240" w:lineRule="auto"/>
              <w:jc w:val="center"/>
              <w:rPr>
                <w:rFonts w:eastAsia="Times New Roman" w:cs="Calibri"/>
                <w:noProof/>
              </w:rPr>
            </w:pPr>
            <w:r>
              <w:rPr>
                <w:noProof/>
              </w:rPr>
              <w:t>450 000</w:t>
            </w:r>
          </w:p>
        </w:tc>
        <w:tc>
          <w:tcPr>
            <w:tcW w:w="992" w:type="dxa"/>
            <w:shd w:val="clear" w:color="auto" w:fill="C4EFCE"/>
            <w:noWrap/>
            <w:vAlign w:val="center"/>
            <w:hideMark/>
          </w:tcPr>
          <w:p w14:paraId="7AA00153" w14:textId="77777777" w:rsidR="00A15990" w:rsidRDefault="00686A62">
            <w:pPr>
              <w:pStyle w:val="P68B1DB1-Normal8"/>
              <w:spacing w:after="0" w:line="240" w:lineRule="auto"/>
              <w:jc w:val="center"/>
              <w:rPr>
                <w:rFonts w:eastAsia="Times New Roman" w:cs="Calibri"/>
                <w:noProof/>
              </w:rPr>
            </w:pPr>
            <w:r>
              <w:rPr>
                <w:noProof/>
              </w:rPr>
              <w:t>1 050 000</w:t>
            </w:r>
          </w:p>
        </w:tc>
        <w:tc>
          <w:tcPr>
            <w:tcW w:w="567" w:type="dxa"/>
            <w:shd w:val="clear" w:color="auto" w:fill="C4EFCE"/>
            <w:noWrap/>
            <w:vAlign w:val="center"/>
            <w:hideMark/>
          </w:tcPr>
          <w:p w14:paraId="675FB560"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5DBE1730"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608C7B2E" w14:textId="16A5EDB1" w:rsidR="00A15990" w:rsidRDefault="00686A62">
            <w:pPr>
              <w:pStyle w:val="P68B1DB1-Normal8"/>
              <w:spacing w:after="0" w:line="240" w:lineRule="auto"/>
              <w:jc w:val="both"/>
              <w:rPr>
                <w:rFonts w:eastAsia="Times New Roman" w:cs="Calibri"/>
                <w:noProof/>
              </w:rPr>
            </w:pPr>
            <w:r>
              <w:rPr>
                <w:noProof/>
              </w:rPr>
              <w:t>Numărul de laptopuri care trebuie acordate profesorilor și elevilor din școlile publice primare și secundare</w:t>
            </w:r>
          </w:p>
        </w:tc>
      </w:tr>
      <w:tr w:rsidR="00A15990" w14:paraId="73850E68" w14:textId="77777777">
        <w:trPr>
          <w:trHeight w:val="640"/>
        </w:trPr>
        <w:tc>
          <w:tcPr>
            <w:tcW w:w="1135" w:type="dxa"/>
            <w:shd w:val="clear" w:color="auto" w:fill="C4EFCE"/>
            <w:vAlign w:val="center"/>
            <w:hideMark/>
          </w:tcPr>
          <w:p w14:paraId="2C49AD1E" w14:textId="77777777" w:rsidR="00A15990" w:rsidRDefault="00686A62">
            <w:pPr>
              <w:pStyle w:val="P68B1DB1-Normal7"/>
              <w:spacing w:after="0" w:line="240" w:lineRule="auto"/>
              <w:jc w:val="center"/>
              <w:rPr>
                <w:rFonts w:eastAsia="Times New Roman" w:cs="Calibri"/>
                <w:noProof/>
              </w:rPr>
            </w:pPr>
            <w:r>
              <w:rPr>
                <w:noProof/>
              </w:rPr>
              <w:t>20.4</w:t>
            </w:r>
          </w:p>
        </w:tc>
        <w:tc>
          <w:tcPr>
            <w:tcW w:w="1276" w:type="dxa"/>
            <w:shd w:val="clear" w:color="auto" w:fill="C4EFCE"/>
            <w:noWrap/>
            <w:vAlign w:val="center"/>
            <w:hideMark/>
          </w:tcPr>
          <w:p w14:paraId="21831B90"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DC5179D"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D27B3A2" w14:textId="77777777" w:rsidR="00A15990" w:rsidRDefault="00686A62">
            <w:pPr>
              <w:pStyle w:val="P68B1DB1-Normal8"/>
              <w:spacing w:after="0" w:line="240" w:lineRule="auto"/>
              <w:jc w:val="center"/>
              <w:rPr>
                <w:rFonts w:eastAsia="Times New Roman" w:cs="Calibri"/>
                <w:noProof/>
              </w:rPr>
            </w:pPr>
            <w:r>
              <w:rPr>
                <w:noProof/>
              </w:rPr>
              <w:t>Modernizarea conectivității școlilor primare și secundare</w:t>
            </w:r>
          </w:p>
        </w:tc>
        <w:tc>
          <w:tcPr>
            <w:tcW w:w="1275" w:type="dxa"/>
            <w:shd w:val="clear" w:color="auto" w:fill="C4EFCE"/>
            <w:noWrap/>
            <w:vAlign w:val="center"/>
            <w:hideMark/>
          </w:tcPr>
          <w:p w14:paraId="07232047"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999EFC6" w14:textId="77777777" w:rsidR="00A15990" w:rsidRDefault="00686A62">
            <w:pPr>
              <w:pStyle w:val="P68B1DB1-Normal8"/>
              <w:spacing w:after="0" w:line="240" w:lineRule="auto"/>
              <w:jc w:val="center"/>
              <w:rPr>
                <w:rFonts w:eastAsia="Times New Roman" w:cs="Calibri"/>
                <w:noProof/>
              </w:rPr>
            </w:pPr>
            <w:r>
              <w:rPr>
                <w:noProof/>
              </w:rPr>
              <w:t xml:space="preserve">% </w:t>
            </w:r>
          </w:p>
        </w:tc>
        <w:tc>
          <w:tcPr>
            <w:tcW w:w="992" w:type="dxa"/>
            <w:shd w:val="clear" w:color="auto" w:fill="C4EFCE"/>
            <w:noWrap/>
            <w:vAlign w:val="center"/>
            <w:hideMark/>
          </w:tcPr>
          <w:p w14:paraId="519070AC"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2D3F45FC" w14:textId="77777777" w:rsidR="00A15990" w:rsidRDefault="00686A62">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F6CA3AB"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35CFD022" w14:textId="10E5C0BC"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00706952" w14:textId="2D0D82EE" w:rsidR="00A15990" w:rsidRDefault="00686A62">
            <w:pPr>
              <w:pStyle w:val="P68B1DB1-Normal8"/>
              <w:spacing w:after="0" w:line="240" w:lineRule="auto"/>
              <w:jc w:val="both"/>
              <w:rPr>
                <w:rFonts w:eastAsia="Times New Roman" w:cs="Calibri"/>
                <w:noProof/>
              </w:rPr>
            </w:pPr>
            <w:r>
              <w:rPr>
                <w:noProof/>
              </w:rPr>
              <w:t xml:space="preserve">Procentul școlilor publice primare și secundare din Portugalia continentală 1) sunt conectate la rețeaua extinsă de educație de 300 Gbps, cu o conexiune de cel puțin 1 Gbps; și 2) dispun de rețele școlare locale cu, în medie, 40 de puncte de acces Wi-fi. </w:t>
            </w:r>
          </w:p>
        </w:tc>
      </w:tr>
      <w:tr w:rsidR="00A15990" w14:paraId="28357C41" w14:textId="77777777">
        <w:trPr>
          <w:trHeight w:val="1060"/>
        </w:trPr>
        <w:tc>
          <w:tcPr>
            <w:tcW w:w="1135" w:type="dxa"/>
            <w:shd w:val="clear" w:color="auto" w:fill="C4EFCE"/>
            <w:vAlign w:val="center"/>
            <w:hideMark/>
          </w:tcPr>
          <w:p w14:paraId="52869EA6" w14:textId="77777777" w:rsidR="00A15990" w:rsidRDefault="00686A62">
            <w:pPr>
              <w:pStyle w:val="P68B1DB1-Normal7"/>
              <w:spacing w:after="0" w:line="240" w:lineRule="auto"/>
              <w:jc w:val="center"/>
              <w:rPr>
                <w:rFonts w:eastAsia="Times New Roman" w:cs="Calibri"/>
                <w:noProof/>
              </w:rPr>
            </w:pPr>
            <w:r>
              <w:rPr>
                <w:noProof/>
              </w:rPr>
              <w:t>20.5</w:t>
            </w:r>
          </w:p>
        </w:tc>
        <w:tc>
          <w:tcPr>
            <w:tcW w:w="1276" w:type="dxa"/>
            <w:shd w:val="clear" w:color="auto" w:fill="C4EFCE"/>
            <w:noWrap/>
            <w:vAlign w:val="center"/>
            <w:hideMark/>
          </w:tcPr>
          <w:p w14:paraId="118116DB"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0568D27"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371D07C" w14:textId="77777777" w:rsidR="00A15990" w:rsidRDefault="00686A62">
            <w:pPr>
              <w:pStyle w:val="P68B1DB1-Normal8"/>
              <w:spacing w:after="0" w:line="240" w:lineRule="auto"/>
              <w:jc w:val="center"/>
              <w:rPr>
                <w:rFonts w:eastAsia="Times New Roman" w:cs="Calibri"/>
                <w:noProof/>
              </w:rPr>
            </w:pPr>
            <w:r>
              <w:rPr>
                <w:noProof/>
              </w:rPr>
              <w:t>Laboratoare de educație digitală instalate</w:t>
            </w:r>
          </w:p>
        </w:tc>
        <w:tc>
          <w:tcPr>
            <w:tcW w:w="1275" w:type="dxa"/>
            <w:shd w:val="clear" w:color="auto" w:fill="C4EFCE"/>
            <w:noWrap/>
            <w:vAlign w:val="center"/>
            <w:hideMark/>
          </w:tcPr>
          <w:p w14:paraId="3057EB2E"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37E61E26"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121F7ADD"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5CB928B4" w14:textId="77777777" w:rsidR="00A15990" w:rsidRDefault="00686A62">
            <w:pPr>
              <w:pStyle w:val="P68B1DB1-Normal8"/>
              <w:spacing w:after="0" w:line="240" w:lineRule="auto"/>
              <w:jc w:val="center"/>
              <w:rPr>
                <w:rFonts w:eastAsia="Times New Roman" w:cs="Calibri"/>
                <w:noProof/>
              </w:rPr>
            </w:pPr>
            <w:r>
              <w:rPr>
                <w:noProof/>
              </w:rPr>
              <w:t>1 300</w:t>
            </w:r>
          </w:p>
        </w:tc>
        <w:tc>
          <w:tcPr>
            <w:tcW w:w="567" w:type="dxa"/>
            <w:shd w:val="clear" w:color="auto" w:fill="C4EFCE"/>
            <w:noWrap/>
            <w:vAlign w:val="center"/>
            <w:hideMark/>
          </w:tcPr>
          <w:p w14:paraId="465B78FA"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3E3CE4C3" w14:textId="7A64BB4D"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4120F3CB" w14:textId="77777777" w:rsidR="00A15990" w:rsidRDefault="00686A62">
            <w:pPr>
              <w:pStyle w:val="P68B1DB1-Normal8"/>
              <w:spacing w:after="0" w:line="240" w:lineRule="auto"/>
              <w:jc w:val="both"/>
              <w:rPr>
                <w:rFonts w:eastAsia="Times New Roman" w:cs="Calibri"/>
                <w:noProof/>
              </w:rPr>
            </w:pPr>
            <w:r>
              <w:rPr>
                <w:noProof/>
              </w:rPr>
              <w:t>Numărul de noi laboratoare de educație digitală instalate în școlile publice primare și secundare din Portugalia continentală cu echipamente specializate pentru proiecte, cum ar fi kituri de robotică, imprimante 3D, echipamente de măsurare și testare, diverse instrumente, module de dezvoltare și simulare, componente electronice, mașini de înregistrare și tăiere laser sau altele, pentru a dezvolta și multiplica cluburile experimentale de calcul, programare și robotică.</w:t>
            </w:r>
          </w:p>
        </w:tc>
      </w:tr>
      <w:tr w:rsidR="00A15990" w14:paraId="39151C53" w14:textId="77777777">
        <w:trPr>
          <w:trHeight w:val="300"/>
        </w:trPr>
        <w:tc>
          <w:tcPr>
            <w:tcW w:w="1135" w:type="dxa"/>
            <w:shd w:val="clear" w:color="auto" w:fill="C4EFCE"/>
            <w:vAlign w:val="center"/>
            <w:hideMark/>
          </w:tcPr>
          <w:p w14:paraId="26EC845C" w14:textId="77777777" w:rsidR="00A15990" w:rsidRDefault="00686A62">
            <w:pPr>
              <w:pStyle w:val="P68B1DB1-Normal7"/>
              <w:spacing w:after="0" w:line="240" w:lineRule="auto"/>
              <w:jc w:val="center"/>
              <w:rPr>
                <w:rFonts w:eastAsia="Times New Roman" w:cs="Calibri"/>
                <w:noProof/>
              </w:rPr>
            </w:pPr>
            <w:r>
              <w:rPr>
                <w:noProof/>
              </w:rPr>
              <w:t>20.6</w:t>
            </w:r>
          </w:p>
        </w:tc>
        <w:tc>
          <w:tcPr>
            <w:tcW w:w="1276" w:type="dxa"/>
            <w:shd w:val="clear" w:color="auto" w:fill="C4EFCE"/>
            <w:noWrap/>
            <w:vAlign w:val="center"/>
            <w:hideMark/>
          </w:tcPr>
          <w:p w14:paraId="5A9E807B"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0DB3DE55"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86508B8" w14:textId="77777777" w:rsidR="00A15990" w:rsidRDefault="00686A62">
            <w:pPr>
              <w:pStyle w:val="P68B1DB1-Normal8"/>
              <w:spacing w:after="0" w:line="240" w:lineRule="auto"/>
              <w:jc w:val="center"/>
              <w:rPr>
                <w:rFonts w:eastAsia="Times New Roman" w:cs="Calibri"/>
                <w:noProof/>
              </w:rPr>
            </w:pPr>
            <w:r>
              <w:rPr>
                <w:noProof/>
              </w:rPr>
              <w:t>Săli de clasă cu echipamente noi de proiecție</w:t>
            </w:r>
          </w:p>
        </w:tc>
        <w:tc>
          <w:tcPr>
            <w:tcW w:w="1275" w:type="dxa"/>
            <w:shd w:val="clear" w:color="auto" w:fill="C4EFCE"/>
            <w:noWrap/>
            <w:vAlign w:val="center"/>
            <w:hideMark/>
          </w:tcPr>
          <w:p w14:paraId="670C4A44"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D8A0139"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125DBE7A"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31610ED6" w14:textId="77777777" w:rsidR="00A15990" w:rsidRDefault="00686A62">
            <w:pPr>
              <w:pStyle w:val="P68B1DB1-Normal8"/>
              <w:spacing w:after="0" w:line="240" w:lineRule="auto"/>
              <w:jc w:val="center"/>
              <w:rPr>
                <w:rFonts w:eastAsia="Times New Roman" w:cs="Calibri"/>
                <w:noProof/>
              </w:rPr>
            </w:pPr>
            <w:r>
              <w:rPr>
                <w:noProof/>
              </w:rPr>
              <w:t>40 000</w:t>
            </w:r>
          </w:p>
        </w:tc>
        <w:tc>
          <w:tcPr>
            <w:tcW w:w="567" w:type="dxa"/>
            <w:shd w:val="clear" w:color="auto" w:fill="C4EFCE"/>
            <w:noWrap/>
            <w:vAlign w:val="center"/>
            <w:hideMark/>
          </w:tcPr>
          <w:p w14:paraId="7382EA47" w14:textId="057266D2" w:rsidR="00A15990" w:rsidRDefault="00686A62">
            <w:pPr>
              <w:pStyle w:val="P68B1DB1-Normal8"/>
              <w:spacing w:after="0" w:line="240" w:lineRule="auto"/>
              <w:jc w:val="center"/>
              <w:rPr>
                <w:rFonts w:eastAsia="Times New Roman" w:cs="Calibri"/>
                <w:noProof/>
              </w:rPr>
            </w:pPr>
            <w:r>
              <w:rPr>
                <w:noProof/>
              </w:rPr>
              <w:t>TRIMESTRUL 2</w:t>
            </w:r>
          </w:p>
        </w:tc>
        <w:tc>
          <w:tcPr>
            <w:tcW w:w="708" w:type="dxa"/>
            <w:shd w:val="clear" w:color="auto" w:fill="C4EFCE"/>
            <w:noWrap/>
            <w:vAlign w:val="center"/>
            <w:hideMark/>
          </w:tcPr>
          <w:p w14:paraId="00628B06" w14:textId="10DF44DB"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5F7C27F0" w14:textId="77777777" w:rsidR="00A15990" w:rsidRDefault="00686A62">
            <w:pPr>
              <w:pStyle w:val="P68B1DB1-Normal8"/>
              <w:spacing w:after="0" w:line="240" w:lineRule="auto"/>
              <w:jc w:val="both"/>
              <w:rPr>
                <w:rFonts w:eastAsia="Times New Roman" w:cs="Calibri"/>
                <w:noProof/>
              </w:rPr>
            </w:pPr>
            <w:r>
              <w:rPr>
                <w:noProof/>
              </w:rPr>
              <w:t xml:space="preserve">Numărul de săli de clasă din școlile publice primare și secundare cu echipamente noi de proiecție </w:t>
            </w:r>
          </w:p>
        </w:tc>
      </w:tr>
      <w:tr w:rsidR="00A15990" w14:paraId="651A2DB2" w14:textId="77777777">
        <w:trPr>
          <w:trHeight w:val="850"/>
        </w:trPr>
        <w:tc>
          <w:tcPr>
            <w:tcW w:w="1135" w:type="dxa"/>
            <w:shd w:val="clear" w:color="auto" w:fill="C4EFCE"/>
            <w:vAlign w:val="center"/>
            <w:hideMark/>
          </w:tcPr>
          <w:p w14:paraId="79EC60DC" w14:textId="77777777" w:rsidR="00A15990" w:rsidRDefault="00686A62">
            <w:pPr>
              <w:pStyle w:val="P68B1DB1-Normal7"/>
              <w:spacing w:after="0" w:line="240" w:lineRule="auto"/>
              <w:jc w:val="center"/>
              <w:rPr>
                <w:rFonts w:eastAsia="Times New Roman" w:cs="Calibri"/>
                <w:noProof/>
              </w:rPr>
            </w:pPr>
            <w:r>
              <w:rPr>
                <w:noProof/>
              </w:rPr>
              <w:t>20.7</w:t>
            </w:r>
          </w:p>
        </w:tc>
        <w:tc>
          <w:tcPr>
            <w:tcW w:w="1276" w:type="dxa"/>
            <w:shd w:val="clear" w:color="auto" w:fill="C4EFCE"/>
            <w:noWrap/>
            <w:vAlign w:val="center"/>
            <w:hideMark/>
          </w:tcPr>
          <w:p w14:paraId="7C4CC769"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288B1223"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A43A074" w14:textId="77777777" w:rsidR="00A15990" w:rsidRDefault="00686A62">
            <w:pPr>
              <w:pStyle w:val="P68B1DB1-Normal8"/>
              <w:spacing w:after="0" w:line="240" w:lineRule="auto"/>
              <w:jc w:val="center"/>
              <w:rPr>
                <w:rFonts w:eastAsia="Times New Roman" w:cs="Calibri"/>
                <w:noProof/>
              </w:rPr>
            </w:pPr>
            <w:r>
              <w:rPr>
                <w:noProof/>
              </w:rPr>
              <w:t>Responsabilizarea conducerii școlilor</w:t>
            </w:r>
          </w:p>
        </w:tc>
        <w:tc>
          <w:tcPr>
            <w:tcW w:w="1275" w:type="dxa"/>
            <w:shd w:val="clear" w:color="auto" w:fill="C4EFCE"/>
            <w:noWrap/>
            <w:vAlign w:val="center"/>
            <w:hideMark/>
          </w:tcPr>
          <w:p w14:paraId="0F6F76E2"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42306F94" w14:textId="77777777" w:rsidR="00A15990" w:rsidRDefault="00686A62">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57355270" w14:textId="77777777" w:rsidR="00A15990" w:rsidRDefault="00686A62">
            <w:pPr>
              <w:pStyle w:val="P68B1DB1-Normal8"/>
              <w:spacing w:after="0" w:line="240" w:lineRule="auto"/>
              <w:jc w:val="center"/>
              <w:rPr>
                <w:rFonts w:eastAsia="Times New Roman" w:cs="Calibri"/>
                <w:noProof/>
              </w:rPr>
            </w:pPr>
            <w:r>
              <w:rPr>
                <w:noProof/>
              </w:rPr>
              <w:t>30</w:t>
            </w:r>
          </w:p>
        </w:tc>
        <w:tc>
          <w:tcPr>
            <w:tcW w:w="992" w:type="dxa"/>
            <w:shd w:val="clear" w:color="auto" w:fill="C4EFCE"/>
            <w:noWrap/>
            <w:vAlign w:val="center"/>
            <w:hideMark/>
          </w:tcPr>
          <w:p w14:paraId="33A86C14" w14:textId="77777777" w:rsidR="00A15990" w:rsidRDefault="00686A62">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5F47097D"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4343F287" w14:textId="7777777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0BBF106" w14:textId="71A22BCD" w:rsidR="00A15990" w:rsidRDefault="00686A62">
            <w:pPr>
              <w:pStyle w:val="P68B1DB1-Normal8"/>
              <w:spacing w:after="0" w:line="240" w:lineRule="auto"/>
              <w:jc w:val="both"/>
              <w:rPr>
                <w:rFonts w:eastAsia="Times New Roman" w:cs="Calibri"/>
                <w:noProof/>
              </w:rPr>
            </w:pPr>
            <w:r>
              <w:rPr>
                <w:noProof/>
              </w:rPr>
              <w:t>Procentul de școli publice primare și secundare din Portugalia continentală care au 1) au adoptat sistemul unic de identități; 2) conectat la sistemele informatice de management al educației ale Ministerului Educației și 3) a adoptat sistemul Școlii 360, inclusiv furnizarea a 15 000 de calculatoare care să fie utilizate în activitățile de management școlar.</w:t>
            </w:r>
          </w:p>
        </w:tc>
      </w:tr>
      <w:tr w:rsidR="00A15990" w14:paraId="3EE0A428" w14:textId="77777777">
        <w:trPr>
          <w:trHeight w:val="430"/>
        </w:trPr>
        <w:tc>
          <w:tcPr>
            <w:tcW w:w="1135" w:type="dxa"/>
            <w:shd w:val="clear" w:color="auto" w:fill="C4EFCE"/>
            <w:vAlign w:val="center"/>
            <w:hideMark/>
          </w:tcPr>
          <w:p w14:paraId="3858008C" w14:textId="77777777" w:rsidR="00A15990" w:rsidRDefault="00686A62">
            <w:pPr>
              <w:pStyle w:val="P68B1DB1-Normal7"/>
              <w:spacing w:after="0" w:line="240" w:lineRule="auto"/>
              <w:jc w:val="center"/>
              <w:rPr>
                <w:rFonts w:eastAsia="Times New Roman" w:cs="Calibri"/>
                <w:noProof/>
              </w:rPr>
            </w:pPr>
            <w:r>
              <w:rPr>
                <w:noProof/>
              </w:rPr>
              <w:t>20.8</w:t>
            </w:r>
          </w:p>
        </w:tc>
        <w:tc>
          <w:tcPr>
            <w:tcW w:w="1276" w:type="dxa"/>
            <w:shd w:val="clear" w:color="auto" w:fill="C4EFCE"/>
            <w:noWrap/>
            <w:vAlign w:val="center"/>
            <w:hideMark/>
          </w:tcPr>
          <w:p w14:paraId="2319D081"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3060AFF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084A8A8B" w14:textId="77777777" w:rsidR="00A15990" w:rsidRDefault="00686A62">
            <w:pPr>
              <w:pStyle w:val="P68B1DB1-Normal8"/>
              <w:spacing w:after="0" w:line="240" w:lineRule="auto"/>
              <w:jc w:val="center"/>
              <w:rPr>
                <w:rFonts w:eastAsia="Times New Roman" w:cs="Calibri"/>
                <w:noProof/>
              </w:rPr>
            </w:pPr>
            <w:r>
              <w:rPr>
                <w:noProof/>
              </w:rPr>
              <w:t>Resurse educaționale digitale</w:t>
            </w:r>
          </w:p>
        </w:tc>
        <w:tc>
          <w:tcPr>
            <w:tcW w:w="1275" w:type="dxa"/>
            <w:shd w:val="clear" w:color="auto" w:fill="C4EFCE"/>
            <w:noWrap/>
            <w:vAlign w:val="center"/>
            <w:hideMark/>
          </w:tcPr>
          <w:p w14:paraId="2EB1AFBE"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1AFDD2B" w14:textId="77777777" w:rsidR="00A15990" w:rsidRDefault="00686A62">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02C4AFF6"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4E9F353A" w14:textId="77777777" w:rsidR="00A15990" w:rsidRDefault="00686A62">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4CC9C92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436371A"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EECD628" w14:textId="77777777" w:rsidR="00A15990" w:rsidRDefault="00686A62">
            <w:pPr>
              <w:pStyle w:val="P68B1DB1-Normal8"/>
              <w:spacing w:after="0" w:line="240" w:lineRule="auto"/>
              <w:jc w:val="both"/>
              <w:rPr>
                <w:rFonts w:eastAsia="Times New Roman" w:cs="Calibri"/>
                <w:noProof/>
              </w:rPr>
            </w:pPr>
            <w:r>
              <w:rPr>
                <w:noProof/>
              </w:rPr>
              <w:t>Procentul de materii din programele de învățământ primar și secundar, inclusiv educația fizică și sportul, pentru care producția de resurse educaționale digitale a fost finalizată.</w:t>
            </w:r>
          </w:p>
        </w:tc>
      </w:tr>
      <w:tr w:rsidR="00A15990" w14:paraId="6583B735" w14:textId="77777777">
        <w:trPr>
          <w:trHeight w:val="300"/>
        </w:trPr>
        <w:tc>
          <w:tcPr>
            <w:tcW w:w="1135" w:type="dxa"/>
            <w:shd w:val="clear" w:color="auto" w:fill="C4EFCE"/>
            <w:vAlign w:val="center"/>
            <w:hideMark/>
          </w:tcPr>
          <w:p w14:paraId="4B067463" w14:textId="77777777" w:rsidR="00A15990" w:rsidRDefault="00686A62">
            <w:pPr>
              <w:pStyle w:val="P68B1DB1-Normal7"/>
              <w:spacing w:after="0" w:line="240" w:lineRule="auto"/>
              <w:jc w:val="center"/>
              <w:rPr>
                <w:rFonts w:eastAsia="Times New Roman" w:cs="Calibri"/>
                <w:noProof/>
              </w:rPr>
            </w:pPr>
            <w:r>
              <w:rPr>
                <w:noProof/>
              </w:rPr>
              <w:t>20.9</w:t>
            </w:r>
          </w:p>
        </w:tc>
        <w:tc>
          <w:tcPr>
            <w:tcW w:w="1276" w:type="dxa"/>
            <w:shd w:val="clear" w:color="auto" w:fill="C4EFCE"/>
            <w:noWrap/>
            <w:vAlign w:val="center"/>
            <w:hideMark/>
          </w:tcPr>
          <w:p w14:paraId="51ABDC58" w14:textId="77777777" w:rsidR="00A15990" w:rsidRDefault="00686A62">
            <w:pPr>
              <w:pStyle w:val="P68B1DB1-Normal8"/>
              <w:spacing w:after="0" w:line="240" w:lineRule="auto"/>
              <w:jc w:val="center"/>
              <w:rPr>
                <w:rFonts w:eastAsia="Times New Roman" w:cs="Calibri"/>
                <w:noProof/>
              </w:rPr>
            </w:pPr>
            <w:r>
              <w:rPr>
                <w:noProof/>
              </w:rPr>
              <w:t>TD-C20-i01</w:t>
            </w:r>
          </w:p>
        </w:tc>
        <w:tc>
          <w:tcPr>
            <w:tcW w:w="1134" w:type="dxa"/>
            <w:shd w:val="clear" w:color="auto" w:fill="C4EFCE"/>
            <w:noWrap/>
            <w:vAlign w:val="center"/>
            <w:hideMark/>
          </w:tcPr>
          <w:p w14:paraId="493108C4"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92A1726" w14:textId="77777777" w:rsidR="00A15990" w:rsidRDefault="00686A62">
            <w:pPr>
              <w:pStyle w:val="P68B1DB1-Normal8"/>
              <w:spacing w:after="0" w:line="240" w:lineRule="auto"/>
              <w:jc w:val="center"/>
              <w:rPr>
                <w:rFonts w:eastAsia="Times New Roman" w:cs="Calibri"/>
                <w:noProof/>
              </w:rPr>
            </w:pPr>
            <w:r>
              <w:rPr>
                <w:noProof/>
              </w:rPr>
              <w:t xml:space="preserve">Teste și examene digitale în școli </w:t>
            </w:r>
          </w:p>
        </w:tc>
        <w:tc>
          <w:tcPr>
            <w:tcW w:w="1275" w:type="dxa"/>
            <w:shd w:val="clear" w:color="auto" w:fill="C4EFCE"/>
            <w:noWrap/>
            <w:vAlign w:val="center"/>
            <w:hideMark/>
          </w:tcPr>
          <w:p w14:paraId="5EC705BD"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14340419" w14:textId="77777777" w:rsidR="00A15990" w:rsidRDefault="00686A62">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2A8DDDCB" w14:textId="77777777" w:rsidR="00A15990" w:rsidRDefault="00686A62">
            <w:pPr>
              <w:pStyle w:val="P68B1DB1-Normal8"/>
              <w:spacing w:after="0" w:line="240" w:lineRule="auto"/>
              <w:jc w:val="center"/>
              <w:rPr>
                <w:rFonts w:eastAsia="Times New Roman" w:cs="Calibri"/>
                <w:noProof/>
              </w:rPr>
            </w:pPr>
            <w:r>
              <w:rPr>
                <w:noProof/>
              </w:rPr>
              <w:t>0</w:t>
            </w:r>
          </w:p>
        </w:tc>
        <w:tc>
          <w:tcPr>
            <w:tcW w:w="992" w:type="dxa"/>
            <w:shd w:val="clear" w:color="auto" w:fill="C4EFCE"/>
            <w:noWrap/>
            <w:vAlign w:val="center"/>
            <w:hideMark/>
          </w:tcPr>
          <w:p w14:paraId="1F827CC1" w14:textId="77777777" w:rsidR="00A15990" w:rsidRDefault="00686A62">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6BF8C0F1"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410ECCAB"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6FCEA458" w14:textId="77777777" w:rsidR="00A15990" w:rsidRDefault="00686A62">
            <w:pPr>
              <w:pStyle w:val="P68B1DB1-Normal8"/>
              <w:spacing w:after="0" w:line="240" w:lineRule="auto"/>
              <w:jc w:val="both"/>
              <w:rPr>
                <w:rFonts w:eastAsia="Times New Roman" w:cs="Calibri"/>
                <w:noProof/>
              </w:rPr>
            </w:pPr>
            <w:r>
              <w:rPr>
                <w:noProof/>
              </w:rPr>
              <w:t>Procentul de teste și examene școlare finale care au fost digitalizate.</w:t>
            </w:r>
          </w:p>
        </w:tc>
      </w:tr>
      <w:tr w:rsidR="00A15990" w14:paraId="1835F478" w14:textId="77777777">
        <w:trPr>
          <w:trHeight w:val="640"/>
        </w:trPr>
        <w:tc>
          <w:tcPr>
            <w:tcW w:w="1135" w:type="dxa"/>
            <w:shd w:val="clear" w:color="auto" w:fill="C4EFCE"/>
            <w:vAlign w:val="center"/>
            <w:hideMark/>
          </w:tcPr>
          <w:p w14:paraId="0918542F" w14:textId="77777777" w:rsidR="00A15990" w:rsidRDefault="00686A62">
            <w:pPr>
              <w:pStyle w:val="P68B1DB1-Normal7"/>
              <w:spacing w:after="0" w:line="240" w:lineRule="auto"/>
              <w:jc w:val="center"/>
              <w:rPr>
                <w:rFonts w:eastAsia="Times New Roman" w:cs="Calibri"/>
                <w:noProof/>
              </w:rPr>
            </w:pPr>
            <w:r>
              <w:rPr>
                <w:noProof/>
              </w:rPr>
              <w:t>20.10</w:t>
            </w:r>
          </w:p>
        </w:tc>
        <w:tc>
          <w:tcPr>
            <w:tcW w:w="1276" w:type="dxa"/>
            <w:shd w:val="clear" w:color="auto" w:fill="C4EFCE"/>
            <w:noWrap/>
            <w:vAlign w:val="center"/>
            <w:hideMark/>
          </w:tcPr>
          <w:p w14:paraId="05624015" w14:textId="77777777" w:rsidR="00A15990" w:rsidRDefault="00686A62">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2541112A"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4C3C4030" w14:textId="77777777" w:rsidR="00A15990" w:rsidRDefault="00686A62">
            <w:pPr>
              <w:pStyle w:val="P68B1DB1-Normal8"/>
              <w:spacing w:after="0" w:line="240" w:lineRule="auto"/>
              <w:jc w:val="center"/>
              <w:rPr>
                <w:rFonts w:eastAsia="Times New Roman" w:cs="Calibri"/>
                <w:noProof/>
              </w:rPr>
            </w:pPr>
            <w:r>
              <w:rPr>
                <w:noProof/>
              </w:rPr>
              <w:t>Cursuri online deschise și în masă pentru profesori și părinți în ARA</w:t>
            </w:r>
          </w:p>
        </w:tc>
        <w:tc>
          <w:tcPr>
            <w:tcW w:w="1275" w:type="dxa"/>
            <w:shd w:val="clear" w:color="auto" w:fill="C4EFCE"/>
            <w:noWrap/>
            <w:vAlign w:val="center"/>
            <w:hideMark/>
          </w:tcPr>
          <w:p w14:paraId="3E7759AA"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03B79BA3" w14:textId="77777777" w:rsidR="00A15990" w:rsidRDefault="00686A62">
            <w:pPr>
              <w:pStyle w:val="P68B1DB1-Normal8"/>
              <w:spacing w:after="0" w:line="240" w:lineRule="auto"/>
              <w:jc w:val="center"/>
              <w:rPr>
                <w:rFonts w:eastAsia="Times New Roman" w:cs="Calibri"/>
                <w:noProof/>
              </w:rPr>
            </w:pPr>
            <w:r>
              <w:rPr>
                <w:noProof/>
              </w:rPr>
              <w:t> Numărul</w:t>
            </w:r>
          </w:p>
        </w:tc>
        <w:tc>
          <w:tcPr>
            <w:tcW w:w="992" w:type="dxa"/>
            <w:shd w:val="clear" w:color="auto" w:fill="C4EFCE"/>
            <w:noWrap/>
            <w:vAlign w:val="center"/>
            <w:hideMark/>
          </w:tcPr>
          <w:p w14:paraId="35DA7DA1" w14:textId="77777777" w:rsidR="00A15990" w:rsidRDefault="00686A62">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1A1252EC" w14:textId="77777777" w:rsidR="00A15990" w:rsidRDefault="00686A62">
            <w:pPr>
              <w:pStyle w:val="P68B1DB1-Normal8"/>
              <w:spacing w:after="0" w:line="240" w:lineRule="auto"/>
              <w:jc w:val="center"/>
              <w:rPr>
                <w:rFonts w:eastAsia="Times New Roman" w:cs="Calibri"/>
                <w:noProof/>
              </w:rPr>
            </w:pPr>
            <w:r>
              <w:rPr>
                <w:noProof/>
              </w:rPr>
              <w:t>4 </w:t>
            </w:r>
          </w:p>
        </w:tc>
        <w:tc>
          <w:tcPr>
            <w:tcW w:w="567" w:type="dxa"/>
            <w:shd w:val="clear" w:color="auto" w:fill="C4EFCE"/>
            <w:noWrap/>
            <w:vAlign w:val="center"/>
            <w:hideMark/>
          </w:tcPr>
          <w:p w14:paraId="4C03DB82"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4B08F7C5"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32162FD6" w14:textId="1657A217" w:rsidR="00A15990" w:rsidRDefault="00686A62">
            <w:pPr>
              <w:pStyle w:val="P68B1DB1-Normal8"/>
              <w:spacing w:after="0" w:line="240" w:lineRule="auto"/>
              <w:jc w:val="both"/>
              <w:rPr>
                <w:rFonts w:eastAsia="Times New Roman" w:cs="Calibri"/>
                <w:noProof/>
              </w:rPr>
            </w:pPr>
            <w:r>
              <w:rPr>
                <w:noProof/>
              </w:rPr>
              <w:t>Numărul de cursuri online deschise și în masă (MOOC) create pentru a promova dezvoltarea competențelor digitale pentru educația în clasă și pentru învățământul la distanță, inclusiv furnizarea de tutoriale și un portal de achiziții publice de competențe digitale. Cursurile MOOC sunt disponibile online și sunt accesibile gratuit profesorilor și părinților elevilor</w:t>
            </w:r>
          </w:p>
        </w:tc>
      </w:tr>
      <w:tr w:rsidR="00A15990" w14:paraId="460A159F" w14:textId="77777777">
        <w:trPr>
          <w:trHeight w:val="430"/>
        </w:trPr>
        <w:tc>
          <w:tcPr>
            <w:tcW w:w="1135" w:type="dxa"/>
            <w:shd w:val="clear" w:color="auto" w:fill="C4EFCE"/>
            <w:vAlign w:val="center"/>
            <w:hideMark/>
          </w:tcPr>
          <w:p w14:paraId="68F05D42" w14:textId="77777777" w:rsidR="00A15990" w:rsidRDefault="00686A62">
            <w:pPr>
              <w:pStyle w:val="P68B1DB1-Normal7"/>
              <w:spacing w:after="0" w:line="240" w:lineRule="auto"/>
              <w:jc w:val="center"/>
              <w:rPr>
                <w:rFonts w:eastAsia="Times New Roman" w:cs="Calibri"/>
                <w:noProof/>
              </w:rPr>
            </w:pPr>
            <w:r>
              <w:rPr>
                <w:noProof/>
              </w:rPr>
              <w:t>20.11</w:t>
            </w:r>
          </w:p>
        </w:tc>
        <w:tc>
          <w:tcPr>
            <w:tcW w:w="1276" w:type="dxa"/>
            <w:shd w:val="clear" w:color="auto" w:fill="C4EFCE"/>
            <w:noWrap/>
            <w:vAlign w:val="center"/>
            <w:hideMark/>
          </w:tcPr>
          <w:p w14:paraId="6836999F" w14:textId="77777777" w:rsidR="00A15990" w:rsidRDefault="00686A62">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11B05124"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34258687" w14:textId="77777777" w:rsidR="00A15990" w:rsidRDefault="00686A62">
            <w:pPr>
              <w:pStyle w:val="P68B1DB1-Normal8"/>
              <w:spacing w:after="0" w:line="240" w:lineRule="auto"/>
              <w:jc w:val="center"/>
              <w:rPr>
                <w:rFonts w:eastAsia="Times New Roman" w:cs="Calibri"/>
                <w:noProof/>
              </w:rPr>
            </w:pPr>
            <w:r>
              <w:rPr>
                <w:noProof/>
              </w:rPr>
              <w:t>Laptopuri și tablete noi pentru școlile din ARA</w:t>
            </w:r>
          </w:p>
        </w:tc>
        <w:tc>
          <w:tcPr>
            <w:tcW w:w="1275" w:type="dxa"/>
            <w:shd w:val="clear" w:color="auto" w:fill="C4EFCE"/>
            <w:noWrap/>
            <w:vAlign w:val="center"/>
            <w:hideMark/>
          </w:tcPr>
          <w:p w14:paraId="1EA6C894"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7F699FF1" w14:textId="77777777" w:rsidR="00A15990" w:rsidRDefault="00686A62">
            <w:pPr>
              <w:pStyle w:val="P68B1DB1-Normal8"/>
              <w:spacing w:after="0" w:line="240" w:lineRule="auto"/>
              <w:jc w:val="center"/>
              <w:rPr>
                <w:rFonts w:eastAsia="Times New Roman" w:cs="Calibri"/>
                <w:noProof/>
              </w:rPr>
            </w:pPr>
            <w:r>
              <w:rPr>
                <w:noProof/>
              </w:rPr>
              <w:t> Numărul</w:t>
            </w:r>
          </w:p>
        </w:tc>
        <w:tc>
          <w:tcPr>
            <w:tcW w:w="992" w:type="dxa"/>
            <w:shd w:val="clear" w:color="auto" w:fill="C4EFCE"/>
            <w:noWrap/>
            <w:vAlign w:val="center"/>
            <w:hideMark/>
          </w:tcPr>
          <w:p w14:paraId="1229DA03" w14:textId="77777777" w:rsidR="00A15990" w:rsidRDefault="00686A62">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6A9D697F" w14:textId="606152BC" w:rsidR="00A15990" w:rsidRDefault="00686A62">
            <w:pPr>
              <w:pStyle w:val="P68B1DB1-Normal8"/>
              <w:spacing w:after="0" w:line="240" w:lineRule="auto"/>
              <w:jc w:val="center"/>
              <w:rPr>
                <w:rFonts w:eastAsia="Times New Roman" w:cs="Calibri"/>
                <w:noProof/>
              </w:rPr>
            </w:pPr>
            <w:r>
              <w:rPr>
                <w:noProof/>
              </w:rPr>
              <w:t>31 900 </w:t>
            </w:r>
          </w:p>
        </w:tc>
        <w:tc>
          <w:tcPr>
            <w:tcW w:w="567" w:type="dxa"/>
            <w:shd w:val="clear" w:color="auto" w:fill="C4EFCE"/>
            <w:noWrap/>
            <w:vAlign w:val="center"/>
            <w:hideMark/>
          </w:tcPr>
          <w:p w14:paraId="33E5271F"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91A9F02"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D530C43" w14:textId="4454DA70" w:rsidR="00A15990" w:rsidRDefault="00686A62">
            <w:pPr>
              <w:pStyle w:val="P68B1DB1-Normal8"/>
              <w:spacing w:after="0" w:line="240" w:lineRule="auto"/>
              <w:jc w:val="both"/>
              <w:rPr>
                <w:rFonts w:eastAsia="Times New Roman" w:cs="Calibri"/>
                <w:noProof/>
                <w:highlight w:val="yellow"/>
              </w:rPr>
            </w:pPr>
            <w:r>
              <w:rPr>
                <w:noProof/>
              </w:rPr>
              <w:t xml:space="preserve">Numărul de laptopuri și tablete noi pentru învățământul preșcolar, ciclul 1 și 2 și învățământul secundar; </w:t>
            </w:r>
          </w:p>
        </w:tc>
      </w:tr>
      <w:tr w:rsidR="00A15990" w14:paraId="717DE77B" w14:textId="77777777">
        <w:trPr>
          <w:trHeight w:val="420"/>
        </w:trPr>
        <w:tc>
          <w:tcPr>
            <w:tcW w:w="1135" w:type="dxa"/>
            <w:shd w:val="clear" w:color="auto" w:fill="C4EFCE"/>
            <w:vAlign w:val="center"/>
            <w:hideMark/>
          </w:tcPr>
          <w:p w14:paraId="0BEC3FD8" w14:textId="77777777" w:rsidR="00A15990" w:rsidRDefault="00686A62">
            <w:pPr>
              <w:pStyle w:val="P68B1DB1-Normal7"/>
              <w:spacing w:after="0" w:line="240" w:lineRule="auto"/>
              <w:jc w:val="center"/>
              <w:rPr>
                <w:rFonts w:eastAsia="Times New Roman" w:cs="Calibri"/>
                <w:noProof/>
              </w:rPr>
            </w:pPr>
            <w:r>
              <w:rPr>
                <w:noProof/>
              </w:rPr>
              <w:t>20.12</w:t>
            </w:r>
          </w:p>
        </w:tc>
        <w:tc>
          <w:tcPr>
            <w:tcW w:w="1276" w:type="dxa"/>
            <w:shd w:val="clear" w:color="auto" w:fill="C4EFCE"/>
            <w:noWrap/>
            <w:vAlign w:val="center"/>
            <w:hideMark/>
          </w:tcPr>
          <w:p w14:paraId="0159F519" w14:textId="77777777" w:rsidR="00A15990" w:rsidRDefault="00686A62">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1C7953"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26675CAB" w14:textId="77777777" w:rsidR="00A15990" w:rsidRDefault="00686A62">
            <w:pPr>
              <w:pStyle w:val="P68B1DB1-Normal8"/>
              <w:spacing w:after="0" w:line="240" w:lineRule="auto"/>
              <w:jc w:val="center"/>
              <w:rPr>
                <w:rFonts w:eastAsia="Times New Roman" w:cs="Calibri"/>
                <w:noProof/>
              </w:rPr>
            </w:pPr>
            <w:r>
              <w:rPr>
                <w:noProof/>
              </w:rPr>
              <w:t>Echipamentele digitale și resursele educaționale digitale ale școlilor în ARA</w:t>
            </w:r>
          </w:p>
        </w:tc>
        <w:tc>
          <w:tcPr>
            <w:tcW w:w="1275" w:type="dxa"/>
            <w:shd w:val="clear" w:color="auto" w:fill="C4EFCE"/>
            <w:noWrap/>
            <w:vAlign w:val="center"/>
            <w:hideMark/>
          </w:tcPr>
          <w:p w14:paraId="665AC058" w14:textId="77777777" w:rsidR="00A15990" w:rsidRDefault="00686A62">
            <w:pPr>
              <w:pStyle w:val="P68B1DB1-Normal8"/>
              <w:spacing w:after="0" w:line="240" w:lineRule="auto"/>
              <w:jc w:val="center"/>
              <w:rPr>
                <w:rFonts w:eastAsia="Times New Roman" w:cs="Calibri"/>
                <w:noProof/>
              </w:rPr>
            </w:pPr>
            <w:r>
              <w:rPr>
                <w:noProof/>
              </w:rPr>
              <w:t>Furnizarea de echipamente digitale și de resurse educaționale digitale școlilor în ARA </w:t>
            </w:r>
          </w:p>
        </w:tc>
        <w:tc>
          <w:tcPr>
            <w:tcW w:w="993" w:type="dxa"/>
            <w:shd w:val="clear" w:color="auto" w:fill="C4EFCE"/>
            <w:noWrap/>
            <w:vAlign w:val="center"/>
            <w:hideMark/>
          </w:tcPr>
          <w:p w14:paraId="4291E0F6"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17013E8"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73B8A39D" w14:textId="77777777" w:rsidR="00A15990" w:rsidRDefault="00686A62">
            <w:pPr>
              <w:pStyle w:val="P68B1DB1-Normal8"/>
              <w:spacing w:after="0" w:line="240" w:lineRule="auto"/>
              <w:jc w:val="center"/>
              <w:rPr>
                <w:rFonts w:eastAsia="Times New Roman" w:cs="Calibri"/>
                <w:noProof/>
              </w:rPr>
            </w:pPr>
            <w:r>
              <w:rPr>
                <w:noProof/>
              </w:rPr>
              <w:t> </w:t>
            </w:r>
          </w:p>
        </w:tc>
        <w:tc>
          <w:tcPr>
            <w:tcW w:w="567" w:type="dxa"/>
            <w:shd w:val="clear" w:color="auto" w:fill="C4EFCE"/>
            <w:noWrap/>
            <w:vAlign w:val="center"/>
            <w:hideMark/>
          </w:tcPr>
          <w:p w14:paraId="0D69B374"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2B160E88"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5FB45933" w14:textId="4CC70D9C" w:rsidR="00A15990" w:rsidRDefault="00686A62">
            <w:pPr>
              <w:pStyle w:val="P68B1DB1-Normal8"/>
              <w:spacing w:after="0" w:line="240" w:lineRule="auto"/>
              <w:jc w:val="both"/>
              <w:rPr>
                <w:rFonts w:eastAsia="Times New Roman" w:cs="Calibri"/>
                <w:noProof/>
              </w:rPr>
            </w:pPr>
            <w:r>
              <w:rPr>
                <w:noProof/>
              </w:rPr>
              <w:t xml:space="preserve">Finalizarea distribuirii următoarelor echipamente digitale școlilor din Regiunea Autonomă Azore: conexiune la internet de cel puțin 1 Gbps în 95 % dintre școli, 1080 de ecrane interactive noi, 100 noi echipamente de laborator specializate, 100 noi imprimante 3D, 150 noi roboți educativi. În plus, toate școlile publice și patru școli private oferă manuale digitale pentru toți elevii. Sunt achiziționate și instalate 1500 comutatoare și APS. </w:t>
            </w:r>
          </w:p>
          <w:p w14:paraId="08384363" w14:textId="6F1DA79E" w:rsidR="00A15990" w:rsidRDefault="00A15990">
            <w:pPr>
              <w:spacing w:after="0" w:line="240" w:lineRule="auto"/>
              <w:jc w:val="both"/>
              <w:rPr>
                <w:rFonts w:ascii="Calibri" w:eastAsia="Times New Roman" w:hAnsi="Calibri" w:cs="Calibri"/>
                <w:noProof/>
                <w:sz w:val="16"/>
              </w:rPr>
            </w:pPr>
          </w:p>
        </w:tc>
      </w:tr>
      <w:tr w:rsidR="00A15990" w14:paraId="10C91F97" w14:textId="77777777">
        <w:trPr>
          <w:trHeight w:val="640"/>
        </w:trPr>
        <w:tc>
          <w:tcPr>
            <w:tcW w:w="1135" w:type="dxa"/>
            <w:shd w:val="clear" w:color="auto" w:fill="C4EFCE"/>
            <w:vAlign w:val="center"/>
            <w:hideMark/>
          </w:tcPr>
          <w:p w14:paraId="7E9B20A9" w14:textId="77777777" w:rsidR="00A15990" w:rsidRDefault="00686A62">
            <w:pPr>
              <w:pStyle w:val="P68B1DB1-Normal7"/>
              <w:spacing w:after="0" w:line="240" w:lineRule="auto"/>
              <w:jc w:val="center"/>
              <w:rPr>
                <w:rFonts w:eastAsia="Times New Roman" w:cs="Calibri"/>
                <w:noProof/>
              </w:rPr>
            </w:pPr>
            <w:r>
              <w:rPr>
                <w:noProof/>
              </w:rPr>
              <w:t>20.13</w:t>
            </w:r>
          </w:p>
        </w:tc>
        <w:tc>
          <w:tcPr>
            <w:tcW w:w="1276" w:type="dxa"/>
            <w:shd w:val="clear" w:color="auto" w:fill="C4EFCE"/>
            <w:noWrap/>
            <w:vAlign w:val="center"/>
            <w:hideMark/>
          </w:tcPr>
          <w:p w14:paraId="2040DD1F" w14:textId="77777777" w:rsidR="00A15990" w:rsidRDefault="00686A62">
            <w:pPr>
              <w:pStyle w:val="P68B1DB1-Normal8"/>
              <w:spacing w:after="0" w:line="240" w:lineRule="auto"/>
              <w:jc w:val="center"/>
              <w:rPr>
                <w:rFonts w:eastAsia="Times New Roman" w:cs="Calibri"/>
                <w:noProof/>
              </w:rPr>
            </w:pPr>
            <w:r>
              <w:rPr>
                <w:noProof/>
              </w:rPr>
              <w:t>TD-C20-i02-RAA</w:t>
            </w:r>
          </w:p>
        </w:tc>
        <w:tc>
          <w:tcPr>
            <w:tcW w:w="1134" w:type="dxa"/>
            <w:shd w:val="clear" w:color="auto" w:fill="C4EFCE"/>
            <w:noWrap/>
            <w:vAlign w:val="center"/>
            <w:hideMark/>
          </w:tcPr>
          <w:p w14:paraId="736FAD20"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518DAD" w14:textId="77777777" w:rsidR="00A15990" w:rsidRDefault="00686A62">
            <w:pPr>
              <w:pStyle w:val="P68B1DB1-Normal8"/>
              <w:spacing w:after="0" w:line="240" w:lineRule="auto"/>
              <w:jc w:val="center"/>
              <w:rPr>
                <w:rFonts w:eastAsia="Times New Roman" w:cs="Calibri"/>
                <w:noProof/>
              </w:rPr>
            </w:pPr>
            <w:r>
              <w:rPr>
                <w:noProof/>
              </w:rPr>
              <w:t>Cursuri online deschise și în masă pentru profesori și părinți în ARA</w:t>
            </w:r>
          </w:p>
        </w:tc>
        <w:tc>
          <w:tcPr>
            <w:tcW w:w="1275" w:type="dxa"/>
            <w:shd w:val="clear" w:color="auto" w:fill="C4EFCE"/>
            <w:noWrap/>
            <w:vAlign w:val="center"/>
            <w:hideMark/>
          </w:tcPr>
          <w:p w14:paraId="39B4F2CD"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DD36ADA" w14:textId="77777777" w:rsidR="00A15990" w:rsidRDefault="00686A62">
            <w:pPr>
              <w:pStyle w:val="P68B1DB1-Normal8"/>
              <w:spacing w:after="0" w:line="240" w:lineRule="auto"/>
              <w:jc w:val="center"/>
              <w:rPr>
                <w:rFonts w:eastAsia="Times New Roman" w:cs="Calibri"/>
                <w:noProof/>
              </w:rPr>
            </w:pPr>
            <w:r>
              <w:rPr>
                <w:noProof/>
              </w:rPr>
              <w:t> Numărul</w:t>
            </w:r>
          </w:p>
        </w:tc>
        <w:tc>
          <w:tcPr>
            <w:tcW w:w="992" w:type="dxa"/>
            <w:shd w:val="clear" w:color="auto" w:fill="C4EFCE"/>
            <w:noWrap/>
            <w:vAlign w:val="center"/>
            <w:hideMark/>
          </w:tcPr>
          <w:p w14:paraId="62B718DE" w14:textId="77777777" w:rsidR="00A15990" w:rsidRDefault="00686A62">
            <w:pPr>
              <w:pStyle w:val="P68B1DB1-Normal8"/>
              <w:spacing w:after="0" w:line="240" w:lineRule="auto"/>
              <w:jc w:val="center"/>
              <w:rPr>
                <w:rFonts w:eastAsia="Times New Roman" w:cs="Calibri"/>
                <w:noProof/>
              </w:rPr>
            </w:pPr>
            <w:r>
              <w:rPr>
                <w:noProof/>
              </w:rPr>
              <w:t>4 </w:t>
            </w:r>
          </w:p>
        </w:tc>
        <w:tc>
          <w:tcPr>
            <w:tcW w:w="992" w:type="dxa"/>
            <w:shd w:val="clear" w:color="auto" w:fill="C4EFCE"/>
            <w:noWrap/>
            <w:vAlign w:val="center"/>
            <w:hideMark/>
          </w:tcPr>
          <w:p w14:paraId="2541D73D" w14:textId="77777777" w:rsidR="00A15990" w:rsidRDefault="00686A62">
            <w:pPr>
              <w:pStyle w:val="P68B1DB1-Normal8"/>
              <w:spacing w:after="0" w:line="240" w:lineRule="auto"/>
              <w:jc w:val="center"/>
              <w:rPr>
                <w:rFonts w:eastAsia="Times New Roman" w:cs="Calibri"/>
                <w:noProof/>
              </w:rPr>
            </w:pPr>
            <w:r>
              <w:rPr>
                <w:noProof/>
              </w:rPr>
              <w:t>24 </w:t>
            </w:r>
          </w:p>
        </w:tc>
        <w:tc>
          <w:tcPr>
            <w:tcW w:w="567" w:type="dxa"/>
            <w:shd w:val="clear" w:color="auto" w:fill="C4EFCE"/>
            <w:noWrap/>
            <w:vAlign w:val="center"/>
            <w:hideMark/>
          </w:tcPr>
          <w:p w14:paraId="69EB09C9"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8E360EC"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460A3612" w14:textId="32C24508" w:rsidR="00A15990" w:rsidRDefault="00686A62">
            <w:pPr>
              <w:pStyle w:val="P68B1DB1-Normal8"/>
              <w:spacing w:after="0" w:line="240" w:lineRule="auto"/>
              <w:jc w:val="both"/>
              <w:rPr>
                <w:rFonts w:eastAsia="Times New Roman" w:cs="Calibri"/>
                <w:noProof/>
              </w:rPr>
            </w:pPr>
            <w:r>
              <w:rPr>
                <w:noProof/>
              </w:rPr>
              <w:t>Numărul de cursuri online deschise și în masă (MOOC) create pentru a promova dezvoltarea competențelor digitale pentru educația în clasă și pentru învățământul la distanță, inclusiv furnizarea de tutoriale și un portal de achiziții publice de competențe digitale. Cursurile MOOC sunt disponibile online și sunt accesibile gratuit profesorilor și părinților elevilor</w:t>
            </w:r>
          </w:p>
        </w:tc>
      </w:tr>
      <w:tr w:rsidR="00A15990" w14:paraId="1D223056" w14:textId="77777777">
        <w:trPr>
          <w:trHeight w:val="430"/>
        </w:trPr>
        <w:tc>
          <w:tcPr>
            <w:tcW w:w="1135" w:type="dxa"/>
            <w:shd w:val="clear" w:color="auto" w:fill="C4EFCE"/>
            <w:vAlign w:val="center"/>
            <w:hideMark/>
          </w:tcPr>
          <w:p w14:paraId="0ECDAF89" w14:textId="77777777" w:rsidR="00A15990" w:rsidRDefault="00686A62">
            <w:pPr>
              <w:pStyle w:val="P68B1DB1-Normal7"/>
              <w:spacing w:after="0" w:line="240" w:lineRule="auto"/>
              <w:jc w:val="center"/>
              <w:rPr>
                <w:rFonts w:eastAsia="Times New Roman" w:cs="Calibri"/>
                <w:noProof/>
              </w:rPr>
            </w:pPr>
            <w:r>
              <w:rPr>
                <w:noProof/>
              </w:rPr>
              <w:t>20.14</w:t>
            </w:r>
          </w:p>
        </w:tc>
        <w:tc>
          <w:tcPr>
            <w:tcW w:w="1276" w:type="dxa"/>
            <w:shd w:val="clear" w:color="auto" w:fill="C4EFCE"/>
            <w:noWrap/>
            <w:vAlign w:val="center"/>
            <w:hideMark/>
          </w:tcPr>
          <w:p w14:paraId="03D3DFC8" w14:textId="77777777" w:rsidR="00A15990" w:rsidRDefault="00686A62">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23CBA4B"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1EC3C9C2" w14:textId="77777777" w:rsidR="00A15990" w:rsidRDefault="00686A62">
            <w:pPr>
              <w:pStyle w:val="P68B1DB1-Normal8"/>
              <w:spacing w:after="0" w:line="240" w:lineRule="auto"/>
              <w:jc w:val="center"/>
              <w:rPr>
                <w:rFonts w:eastAsia="Times New Roman" w:cs="Calibri"/>
                <w:noProof/>
              </w:rPr>
            </w:pPr>
            <w:r>
              <w:rPr>
                <w:noProof/>
              </w:rPr>
              <w:t>Manuale digitale pentru elevii din ciclul 2 și 3 și pentru elevii din învățământul secundar</w:t>
            </w:r>
          </w:p>
        </w:tc>
        <w:tc>
          <w:tcPr>
            <w:tcW w:w="1275" w:type="dxa"/>
            <w:shd w:val="clear" w:color="auto" w:fill="C4EFCE"/>
            <w:noWrap/>
            <w:vAlign w:val="center"/>
            <w:hideMark/>
          </w:tcPr>
          <w:p w14:paraId="581FCA5A"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56A2C559"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3D79BB54" w14:textId="77777777" w:rsidR="00A15990" w:rsidRDefault="00686A62">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021450BF" w14:textId="77777777" w:rsidR="00A15990" w:rsidRDefault="00686A62">
            <w:pPr>
              <w:pStyle w:val="P68B1DB1-Normal8"/>
              <w:spacing w:after="0" w:line="240" w:lineRule="auto"/>
              <w:jc w:val="center"/>
              <w:rPr>
                <w:rFonts w:eastAsia="Times New Roman" w:cs="Calibri"/>
                <w:noProof/>
              </w:rPr>
            </w:pPr>
            <w:r>
              <w:rPr>
                <w:noProof/>
              </w:rPr>
              <w:t>5 120</w:t>
            </w:r>
          </w:p>
        </w:tc>
        <w:tc>
          <w:tcPr>
            <w:tcW w:w="567" w:type="dxa"/>
            <w:shd w:val="clear" w:color="auto" w:fill="C4EFCE"/>
            <w:noWrap/>
            <w:vAlign w:val="center"/>
            <w:hideMark/>
          </w:tcPr>
          <w:p w14:paraId="606A70F3"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6E7BF1A5" w14:textId="77777777" w:rsidR="00A15990" w:rsidRDefault="00686A62">
            <w:pPr>
              <w:pStyle w:val="P68B1DB1-Normal8"/>
              <w:spacing w:after="0" w:line="240" w:lineRule="auto"/>
              <w:jc w:val="center"/>
              <w:rPr>
                <w:rFonts w:eastAsia="Times New Roman" w:cs="Calibri"/>
                <w:noProof/>
              </w:rPr>
            </w:pPr>
            <w:r>
              <w:rPr>
                <w:noProof/>
              </w:rPr>
              <w:t>2022</w:t>
            </w:r>
          </w:p>
        </w:tc>
        <w:tc>
          <w:tcPr>
            <w:tcW w:w="3969" w:type="dxa"/>
            <w:shd w:val="clear" w:color="auto" w:fill="C4EFCE"/>
            <w:vAlign w:val="center"/>
            <w:hideMark/>
          </w:tcPr>
          <w:p w14:paraId="23F22FD8" w14:textId="77777777" w:rsidR="00A15990" w:rsidRDefault="00686A62">
            <w:pPr>
              <w:pStyle w:val="P68B1DB1-Normal8"/>
              <w:spacing w:after="0" w:line="240" w:lineRule="auto"/>
              <w:jc w:val="both"/>
              <w:rPr>
                <w:rFonts w:eastAsia="Times New Roman" w:cs="Calibri"/>
                <w:noProof/>
              </w:rPr>
            </w:pPr>
            <w:r>
              <w:rPr>
                <w:noProof/>
              </w:rPr>
              <w:t>Numărul de elevi din ciclul 2 și 3 din învățământul primar și secundar care, în cursul anului școlar, au avut acces la setul manual digital din ARM și l-au utilizat.</w:t>
            </w:r>
          </w:p>
        </w:tc>
      </w:tr>
      <w:tr w:rsidR="00A15990" w14:paraId="1D717255" w14:textId="77777777">
        <w:trPr>
          <w:trHeight w:val="430"/>
        </w:trPr>
        <w:tc>
          <w:tcPr>
            <w:tcW w:w="1135" w:type="dxa"/>
            <w:shd w:val="clear" w:color="auto" w:fill="C4EFCE"/>
            <w:vAlign w:val="center"/>
            <w:hideMark/>
          </w:tcPr>
          <w:p w14:paraId="43A515EE" w14:textId="77777777" w:rsidR="00A15990" w:rsidRDefault="00686A62">
            <w:pPr>
              <w:pStyle w:val="P68B1DB1-Normal7"/>
              <w:spacing w:after="0" w:line="240" w:lineRule="auto"/>
              <w:jc w:val="center"/>
              <w:rPr>
                <w:rFonts w:eastAsia="Times New Roman" w:cs="Calibri"/>
                <w:noProof/>
              </w:rPr>
            </w:pPr>
            <w:r>
              <w:rPr>
                <w:noProof/>
              </w:rPr>
              <w:t>20.15</w:t>
            </w:r>
          </w:p>
        </w:tc>
        <w:tc>
          <w:tcPr>
            <w:tcW w:w="1276" w:type="dxa"/>
            <w:shd w:val="clear" w:color="auto" w:fill="C4EFCE"/>
            <w:noWrap/>
            <w:vAlign w:val="center"/>
            <w:hideMark/>
          </w:tcPr>
          <w:p w14:paraId="2F471844" w14:textId="77777777" w:rsidR="00A15990" w:rsidRDefault="00686A62">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557AA325"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CD1B65B" w14:textId="77777777" w:rsidR="00A15990" w:rsidRDefault="00686A62">
            <w:pPr>
              <w:pStyle w:val="P68B1DB1-Normal8"/>
              <w:spacing w:after="0" w:line="240" w:lineRule="auto"/>
              <w:jc w:val="center"/>
              <w:rPr>
                <w:rFonts w:eastAsia="Times New Roman" w:cs="Calibri"/>
                <w:noProof/>
              </w:rPr>
            </w:pPr>
            <w:r>
              <w:rPr>
                <w:noProof/>
              </w:rPr>
              <w:t>Conexiunea școlilor în ARM</w:t>
            </w:r>
          </w:p>
        </w:tc>
        <w:tc>
          <w:tcPr>
            <w:tcW w:w="1275" w:type="dxa"/>
            <w:shd w:val="clear" w:color="auto" w:fill="C4EFCE"/>
            <w:noWrap/>
            <w:vAlign w:val="center"/>
            <w:hideMark/>
          </w:tcPr>
          <w:p w14:paraId="744D9AD2"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60395B5B" w14:textId="77777777" w:rsidR="00A15990" w:rsidRDefault="00686A62">
            <w:pPr>
              <w:pStyle w:val="P68B1DB1-Normal8"/>
              <w:spacing w:after="0" w:line="240" w:lineRule="auto"/>
              <w:jc w:val="center"/>
              <w:rPr>
                <w:rFonts w:eastAsia="Times New Roman" w:cs="Calibri"/>
                <w:noProof/>
              </w:rPr>
            </w:pPr>
            <w:r>
              <w:rPr>
                <w:noProof/>
              </w:rPr>
              <w:t>%</w:t>
            </w:r>
          </w:p>
        </w:tc>
        <w:tc>
          <w:tcPr>
            <w:tcW w:w="992" w:type="dxa"/>
            <w:shd w:val="clear" w:color="auto" w:fill="C4EFCE"/>
            <w:noWrap/>
            <w:vAlign w:val="center"/>
            <w:hideMark/>
          </w:tcPr>
          <w:p w14:paraId="13728FA6" w14:textId="77777777" w:rsidR="00A15990" w:rsidRDefault="00686A62">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2CFD81C3" w14:textId="53F859A1" w:rsidR="00A15990" w:rsidRDefault="00686A62">
            <w:pPr>
              <w:pStyle w:val="P68B1DB1-Normal8"/>
              <w:spacing w:after="0" w:line="240" w:lineRule="auto"/>
              <w:jc w:val="center"/>
              <w:rPr>
                <w:rFonts w:eastAsia="Times New Roman" w:cs="Calibri"/>
                <w:noProof/>
              </w:rPr>
            </w:pPr>
            <w:r>
              <w:rPr>
                <w:noProof/>
              </w:rPr>
              <w:t>95</w:t>
            </w:r>
          </w:p>
        </w:tc>
        <w:tc>
          <w:tcPr>
            <w:tcW w:w="567" w:type="dxa"/>
            <w:shd w:val="clear" w:color="auto" w:fill="C4EFCE"/>
            <w:noWrap/>
            <w:vAlign w:val="center"/>
            <w:hideMark/>
          </w:tcPr>
          <w:p w14:paraId="1467E0FF"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702F513A" w14:textId="77777777" w:rsidR="00A15990" w:rsidRDefault="00686A62">
            <w:pPr>
              <w:pStyle w:val="P68B1DB1-Normal8"/>
              <w:spacing w:after="0" w:line="240" w:lineRule="auto"/>
              <w:jc w:val="center"/>
              <w:rPr>
                <w:rFonts w:eastAsia="Times New Roman" w:cs="Calibri"/>
                <w:noProof/>
              </w:rPr>
            </w:pPr>
            <w:r>
              <w:rPr>
                <w:noProof/>
              </w:rPr>
              <w:t>2024</w:t>
            </w:r>
          </w:p>
        </w:tc>
        <w:tc>
          <w:tcPr>
            <w:tcW w:w="3969" w:type="dxa"/>
            <w:shd w:val="clear" w:color="auto" w:fill="C4EFCE"/>
            <w:vAlign w:val="center"/>
            <w:hideMark/>
          </w:tcPr>
          <w:p w14:paraId="22DA9518" w14:textId="77777777" w:rsidR="00A15990" w:rsidRDefault="00686A62">
            <w:pPr>
              <w:pStyle w:val="P68B1DB1-Normal8"/>
              <w:spacing w:after="0" w:line="240" w:lineRule="auto"/>
              <w:jc w:val="both"/>
              <w:rPr>
                <w:rFonts w:eastAsia="Times New Roman" w:cs="Calibri"/>
                <w:noProof/>
              </w:rPr>
            </w:pPr>
            <w:r>
              <w:rPr>
                <w:noProof/>
              </w:rPr>
              <w:t xml:space="preserve">Procentul școlilor primare și secundare din ARM care sunt conectate la rețeaua Wi-fi structurată ARM cu o conexiune la internet de cel puțin 1 Gbps pentru fiecare școală. </w:t>
            </w:r>
          </w:p>
          <w:p w14:paraId="3A29FC8E" w14:textId="4CC450DC" w:rsidR="00A15990" w:rsidRDefault="00686A62">
            <w:pPr>
              <w:pStyle w:val="P68B1DB1-Normal8"/>
              <w:spacing w:after="0" w:line="240" w:lineRule="auto"/>
              <w:jc w:val="both"/>
              <w:rPr>
                <w:rFonts w:eastAsia="Times New Roman" w:cs="Calibri"/>
                <w:noProof/>
              </w:rPr>
            </w:pPr>
            <w:r>
              <w:rPr>
                <w:noProof/>
              </w:rPr>
              <w:t xml:space="preserve">În plus, zece școli private obișnuite și școli profesionale private și publice urmează să fie conectate la rețeaua Wi-fi structurată ARM, cu o conexiune la internet de cel puțin 1 Gbps pentru fiecare școală. </w:t>
            </w:r>
          </w:p>
          <w:p w14:paraId="624C1FEB" w14:textId="77CAAEB2" w:rsidR="00A15990" w:rsidRDefault="00A15990">
            <w:pPr>
              <w:spacing w:after="0" w:line="240" w:lineRule="auto"/>
              <w:jc w:val="both"/>
              <w:rPr>
                <w:rFonts w:ascii="Calibri" w:eastAsia="Times New Roman" w:hAnsi="Calibri" w:cs="Calibri"/>
                <w:noProof/>
                <w:sz w:val="16"/>
              </w:rPr>
            </w:pPr>
          </w:p>
        </w:tc>
      </w:tr>
      <w:tr w:rsidR="00A15990" w14:paraId="1ED02672" w14:textId="77777777">
        <w:trPr>
          <w:trHeight w:val="430"/>
        </w:trPr>
        <w:tc>
          <w:tcPr>
            <w:tcW w:w="1135" w:type="dxa"/>
            <w:shd w:val="clear" w:color="auto" w:fill="C4EFCE"/>
            <w:vAlign w:val="center"/>
            <w:hideMark/>
          </w:tcPr>
          <w:p w14:paraId="243BF94D" w14:textId="77777777" w:rsidR="00A15990" w:rsidRDefault="00686A62">
            <w:pPr>
              <w:pStyle w:val="P68B1DB1-Normal7"/>
              <w:spacing w:after="0" w:line="240" w:lineRule="auto"/>
              <w:jc w:val="center"/>
              <w:rPr>
                <w:rFonts w:eastAsia="Times New Roman" w:cs="Calibri"/>
                <w:noProof/>
              </w:rPr>
            </w:pPr>
            <w:r>
              <w:rPr>
                <w:noProof/>
              </w:rPr>
              <w:t>20.16</w:t>
            </w:r>
          </w:p>
        </w:tc>
        <w:tc>
          <w:tcPr>
            <w:tcW w:w="1276" w:type="dxa"/>
            <w:shd w:val="clear" w:color="auto" w:fill="C4EFCE"/>
            <w:noWrap/>
            <w:vAlign w:val="center"/>
            <w:hideMark/>
          </w:tcPr>
          <w:p w14:paraId="2BD7D152" w14:textId="77777777" w:rsidR="00A15990" w:rsidRDefault="00686A62">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1186022C"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5D0DFB1E" w14:textId="77777777" w:rsidR="00A15990" w:rsidRDefault="00686A62">
            <w:pPr>
              <w:pStyle w:val="P68B1DB1-Normal8"/>
              <w:spacing w:after="0" w:line="240" w:lineRule="auto"/>
              <w:jc w:val="center"/>
              <w:rPr>
                <w:rFonts w:eastAsia="Times New Roman" w:cs="Calibri"/>
                <w:noProof/>
              </w:rPr>
            </w:pPr>
            <w:r>
              <w:rPr>
                <w:noProof/>
              </w:rPr>
              <w:t>Manuale digitale pentru elevii din ciclul 2 și 3 și pentru elevii din învățământul secundar din cadrul ARM</w:t>
            </w:r>
          </w:p>
        </w:tc>
        <w:tc>
          <w:tcPr>
            <w:tcW w:w="1275" w:type="dxa"/>
            <w:shd w:val="clear" w:color="auto" w:fill="C4EFCE"/>
            <w:noWrap/>
            <w:vAlign w:val="center"/>
            <w:hideMark/>
          </w:tcPr>
          <w:p w14:paraId="7C67A362"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EF3DF9D"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5CD64AFF" w14:textId="77777777" w:rsidR="00A15990" w:rsidRDefault="00686A62">
            <w:pPr>
              <w:pStyle w:val="P68B1DB1-Normal8"/>
              <w:spacing w:after="0" w:line="240" w:lineRule="auto"/>
              <w:jc w:val="center"/>
              <w:rPr>
                <w:rFonts w:eastAsia="Times New Roman" w:cs="Calibri"/>
                <w:noProof/>
              </w:rPr>
            </w:pPr>
            <w:r>
              <w:rPr>
                <w:noProof/>
              </w:rPr>
              <w:t> 5 120</w:t>
            </w:r>
          </w:p>
        </w:tc>
        <w:tc>
          <w:tcPr>
            <w:tcW w:w="992" w:type="dxa"/>
            <w:shd w:val="clear" w:color="auto" w:fill="C4EFCE"/>
            <w:noWrap/>
            <w:vAlign w:val="center"/>
            <w:hideMark/>
          </w:tcPr>
          <w:p w14:paraId="240804FC" w14:textId="0B620340" w:rsidR="00A15990" w:rsidRDefault="00686A62">
            <w:pPr>
              <w:pStyle w:val="P68B1DB1-Normal8"/>
              <w:spacing w:after="0" w:line="240" w:lineRule="auto"/>
              <w:jc w:val="center"/>
              <w:rPr>
                <w:rFonts w:eastAsia="Times New Roman" w:cs="Calibri"/>
                <w:noProof/>
              </w:rPr>
            </w:pPr>
            <w:r>
              <w:rPr>
                <w:noProof/>
              </w:rPr>
              <w:t>15 910</w:t>
            </w:r>
          </w:p>
        </w:tc>
        <w:tc>
          <w:tcPr>
            <w:tcW w:w="567" w:type="dxa"/>
            <w:shd w:val="clear" w:color="auto" w:fill="C4EFCE"/>
            <w:noWrap/>
            <w:vAlign w:val="center"/>
            <w:hideMark/>
          </w:tcPr>
          <w:p w14:paraId="62B4040C"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2F0C2BA8"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00F3AA12" w14:textId="77777777" w:rsidR="00A15990" w:rsidRDefault="00686A62">
            <w:pPr>
              <w:pStyle w:val="P68B1DB1-Normal8"/>
              <w:spacing w:after="0" w:line="240" w:lineRule="auto"/>
              <w:jc w:val="both"/>
              <w:rPr>
                <w:rFonts w:eastAsia="Times New Roman" w:cs="Calibri"/>
                <w:noProof/>
              </w:rPr>
            </w:pPr>
            <w:r>
              <w:rPr>
                <w:noProof/>
              </w:rPr>
              <w:t>Numărul de elevi din ciclul 2 și 3 din învățământul primar și secundar care, în cursul anului școlar, au avut acces la setul manual digital din ARM și l-au utilizat.</w:t>
            </w:r>
          </w:p>
        </w:tc>
      </w:tr>
      <w:tr w:rsidR="00A15990" w14:paraId="7660D0EB" w14:textId="77777777">
        <w:trPr>
          <w:trHeight w:val="430"/>
        </w:trPr>
        <w:tc>
          <w:tcPr>
            <w:tcW w:w="1135" w:type="dxa"/>
            <w:shd w:val="clear" w:color="auto" w:fill="C4EFCE"/>
            <w:vAlign w:val="center"/>
            <w:hideMark/>
          </w:tcPr>
          <w:p w14:paraId="325F95D8" w14:textId="77777777" w:rsidR="00A15990" w:rsidRDefault="00686A62">
            <w:pPr>
              <w:pStyle w:val="P68B1DB1-Normal7"/>
              <w:spacing w:after="0" w:line="240" w:lineRule="auto"/>
              <w:jc w:val="center"/>
              <w:rPr>
                <w:rFonts w:eastAsia="Times New Roman" w:cs="Calibri"/>
                <w:noProof/>
              </w:rPr>
            </w:pPr>
            <w:r>
              <w:rPr>
                <w:noProof/>
              </w:rPr>
              <w:t>20.17</w:t>
            </w:r>
          </w:p>
        </w:tc>
        <w:tc>
          <w:tcPr>
            <w:tcW w:w="1276" w:type="dxa"/>
            <w:shd w:val="clear" w:color="auto" w:fill="C4EFCE"/>
            <w:noWrap/>
            <w:vAlign w:val="center"/>
            <w:hideMark/>
          </w:tcPr>
          <w:p w14:paraId="180447D1" w14:textId="77777777" w:rsidR="00A15990" w:rsidRDefault="00686A62">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7743CB91" w14:textId="77777777" w:rsidR="00A15990" w:rsidRDefault="00686A62">
            <w:pPr>
              <w:pStyle w:val="P68B1DB1-Normal8"/>
              <w:spacing w:after="0" w:line="240" w:lineRule="auto"/>
              <w:jc w:val="center"/>
              <w:rPr>
                <w:rFonts w:eastAsia="Times New Roman" w:cs="Calibri"/>
                <w:noProof/>
              </w:rPr>
            </w:pPr>
            <w:r>
              <w:rPr>
                <w:noProof/>
              </w:rPr>
              <w:t>T</w:t>
            </w:r>
          </w:p>
        </w:tc>
        <w:tc>
          <w:tcPr>
            <w:tcW w:w="1701" w:type="dxa"/>
            <w:shd w:val="clear" w:color="auto" w:fill="C4EFCE"/>
            <w:noWrap/>
            <w:vAlign w:val="center"/>
            <w:hideMark/>
          </w:tcPr>
          <w:p w14:paraId="7EE5696E" w14:textId="74CF1BE8" w:rsidR="00A15990" w:rsidRDefault="00686A62">
            <w:pPr>
              <w:pStyle w:val="P68B1DB1-Normal8"/>
              <w:spacing w:after="0" w:line="240" w:lineRule="auto"/>
              <w:jc w:val="center"/>
              <w:rPr>
                <w:rFonts w:eastAsia="Times New Roman" w:cs="Calibri"/>
                <w:noProof/>
              </w:rPr>
            </w:pPr>
            <w:r>
              <w:rPr>
                <w:noProof/>
              </w:rPr>
              <w:t>Formarea cadrelor didactice și a personalului nedidactic în domeniul competențelor digitale în cadrul ARM</w:t>
            </w:r>
          </w:p>
        </w:tc>
        <w:tc>
          <w:tcPr>
            <w:tcW w:w="1275" w:type="dxa"/>
            <w:shd w:val="clear" w:color="auto" w:fill="C4EFCE"/>
            <w:noWrap/>
            <w:vAlign w:val="center"/>
            <w:hideMark/>
          </w:tcPr>
          <w:p w14:paraId="420A8AD6" w14:textId="77777777" w:rsidR="00A15990" w:rsidRDefault="00686A62">
            <w:pPr>
              <w:pStyle w:val="P68B1DB1-Normal8"/>
              <w:spacing w:after="0" w:line="240" w:lineRule="auto"/>
              <w:jc w:val="center"/>
              <w:rPr>
                <w:rFonts w:eastAsia="Times New Roman" w:cs="Calibri"/>
                <w:noProof/>
              </w:rPr>
            </w:pPr>
            <w:r>
              <w:rPr>
                <w:noProof/>
              </w:rPr>
              <w:t> </w:t>
            </w:r>
          </w:p>
        </w:tc>
        <w:tc>
          <w:tcPr>
            <w:tcW w:w="993" w:type="dxa"/>
            <w:shd w:val="clear" w:color="auto" w:fill="C4EFCE"/>
            <w:noWrap/>
            <w:vAlign w:val="center"/>
            <w:hideMark/>
          </w:tcPr>
          <w:p w14:paraId="297D008C" w14:textId="77777777" w:rsidR="00A15990" w:rsidRDefault="00686A62">
            <w:pPr>
              <w:pStyle w:val="P68B1DB1-Normal8"/>
              <w:spacing w:after="0" w:line="240" w:lineRule="auto"/>
              <w:jc w:val="center"/>
              <w:rPr>
                <w:rFonts w:eastAsia="Times New Roman" w:cs="Calibri"/>
                <w:noProof/>
              </w:rPr>
            </w:pPr>
            <w:r>
              <w:rPr>
                <w:noProof/>
              </w:rPr>
              <w:t>Numărul</w:t>
            </w:r>
          </w:p>
        </w:tc>
        <w:tc>
          <w:tcPr>
            <w:tcW w:w="992" w:type="dxa"/>
            <w:shd w:val="clear" w:color="auto" w:fill="C4EFCE"/>
            <w:noWrap/>
            <w:vAlign w:val="center"/>
            <w:hideMark/>
          </w:tcPr>
          <w:p w14:paraId="3B8AB54E" w14:textId="77777777" w:rsidR="00A15990" w:rsidRDefault="00686A62">
            <w:pPr>
              <w:pStyle w:val="P68B1DB1-Normal8"/>
              <w:spacing w:after="0" w:line="240" w:lineRule="auto"/>
              <w:jc w:val="center"/>
              <w:rPr>
                <w:rFonts w:eastAsia="Times New Roman" w:cs="Calibri"/>
                <w:noProof/>
              </w:rPr>
            </w:pPr>
            <w:r>
              <w:rPr>
                <w:noProof/>
              </w:rPr>
              <w:t> 0</w:t>
            </w:r>
          </w:p>
        </w:tc>
        <w:tc>
          <w:tcPr>
            <w:tcW w:w="992" w:type="dxa"/>
            <w:shd w:val="clear" w:color="auto" w:fill="C4EFCE"/>
            <w:noWrap/>
            <w:vAlign w:val="center"/>
            <w:hideMark/>
          </w:tcPr>
          <w:p w14:paraId="535A3EE3" w14:textId="41629E58" w:rsidR="00A15990" w:rsidRDefault="00686A62">
            <w:pPr>
              <w:pStyle w:val="P68B1DB1-Normal8"/>
              <w:spacing w:after="0" w:line="240" w:lineRule="auto"/>
              <w:jc w:val="center"/>
              <w:rPr>
                <w:rFonts w:eastAsia="Times New Roman" w:cs="Calibri"/>
                <w:noProof/>
              </w:rPr>
            </w:pPr>
            <w:r>
              <w:rPr>
                <w:noProof/>
              </w:rPr>
              <w:t>6 500</w:t>
            </w:r>
          </w:p>
        </w:tc>
        <w:tc>
          <w:tcPr>
            <w:tcW w:w="567" w:type="dxa"/>
            <w:shd w:val="clear" w:color="auto" w:fill="C4EFCE"/>
            <w:noWrap/>
            <w:vAlign w:val="center"/>
            <w:hideMark/>
          </w:tcPr>
          <w:p w14:paraId="482B643B"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43B0F623"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6DF7A39" w14:textId="4A0452C5" w:rsidR="00A15990" w:rsidRDefault="00686A62">
            <w:pPr>
              <w:pStyle w:val="P68B1DB1-Normal8"/>
              <w:spacing w:after="0" w:line="240" w:lineRule="auto"/>
              <w:jc w:val="both"/>
              <w:rPr>
                <w:rFonts w:eastAsia="Times New Roman" w:cs="Calibri"/>
                <w:noProof/>
              </w:rPr>
            </w:pPr>
            <w:r>
              <w:rPr>
                <w:noProof/>
              </w:rPr>
              <w:t>Numărul cadrelor didactice și al personalului nedidactic de la toate nivelurile de educație (de la învățământul preșcolar la cel secundar) care au participat la cursuri de formare în domeniul competențelor digitale și tehnologice în cadrul ARM</w:t>
            </w:r>
          </w:p>
        </w:tc>
      </w:tr>
      <w:tr w:rsidR="00A15990" w14:paraId="55A3D1D0" w14:textId="77777777">
        <w:trPr>
          <w:trHeight w:val="1050"/>
        </w:trPr>
        <w:tc>
          <w:tcPr>
            <w:tcW w:w="1135" w:type="dxa"/>
            <w:shd w:val="clear" w:color="auto" w:fill="C4EFCE"/>
            <w:vAlign w:val="center"/>
            <w:hideMark/>
          </w:tcPr>
          <w:p w14:paraId="7B3BBD15" w14:textId="77777777" w:rsidR="00A15990" w:rsidRDefault="00686A62">
            <w:pPr>
              <w:pStyle w:val="P68B1DB1-Normal7"/>
              <w:spacing w:after="0" w:line="240" w:lineRule="auto"/>
              <w:jc w:val="center"/>
              <w:rPr>
                <w:rFonts w:eastAsia="Times New Roman" w:cs="Calibri"/>
                <w:noProof/>
              </w:rPr>
            </w:pPr>
            <w:r>
              <w:rPr>
                <w:noProof/>
              </w:rPr>
              <w:t>20.18</w:t>
            </w:r>
          </w:p>
        </w:tc>
        <w:tc>
          <w:tcPr>
            <w:tcW w:w="1276" w:type="dxa"/>
            <w:shd w:val="clear" w:color="auto" w:fill="C4EFCE"/>
            <w:noWrap/>
            <w:vAlign w:val="center"/>
            <w:hideMark/>
          </w:tcPr>
          <w:p w14:paraId="3DD1B641" w14:textId="77777777" w:rsidR="00A15990" w:rsidRDefault="00686A62">
            <w:pPr>
              <w:pStyle w:val="P68B1DB1-Normal8"/>
              <w:spacing w:after="0" w:line="240" w:lineRule="auto"/>
              <w:jc w:val="center"/>
              <w:rPr>
                <w:rFonts w:eastAsia="Times New Roman" w:cs="Calibri"/>
                <w:noProof/>
              </w:rPr>
            </w:pPr>
            <w:r>
              <w:rPr>
                <w:noProof/>
              </w:rPr>
              <w:t>TD-C20-i03-RAM</w:t>
            </w:r>
          </w:p>
        </w:tc>
        <w:tc>
          <w:tcPr>
            <w:tcW w:w="1134" w:type="dxa"/>
            <w:shd w:val="clear" w:color="auto" w:fill="C4EFCE"/>
            <w:noWrap/>
            <w:vAlign w:val="center"/>
            <w:hideMark/>
          </w:tcPr>
          <w:p w14:paraId="3149BD8C" w14:textId="77777777" w:rsidR="00A15990" w:rsidRDefault="00686A62">
            <w:pPr>
              <w:pStyle w:val="P68B1DB1-Normal8"/>
              <w:spacing w:after="0" w:line="240" w:lineRule="auto"/>
              <w:jc w:val="center"/>
              <w:rPr>
                <w:rFonts w:eastAsia="Times New Roman" w:cs="Calibri"/>
                <w:noProof/>
              </w:rPr>
            </w:pPr>
            <w:r>
              <w:rPr>
                <w:noProof/>
              </w:rPr>
              <w:t>M</w:t>
            </w:r>
          </w:p>
        </w:tc>
        <w:tc>
          <w:tcPr>
            <w:tcW w:w="1701" w:type="dxa"/>
            <w:shd w:val="clear" w:color="auto" w:fill="C4EFCE"/>
            <w:noWrap/>
            <w:vAlign w:val="center"/>
            <w:hideMark/>
          </w:tcPr>
          <w:p w14:paraId="74F966D8" w14:textId="77777777" w:rsidR="00A15990" w:rsidRDefault="00686A62">
            <w:pPr>
              <w:pStyle w:val="P68B1DB1-Normal8"/>
              <w:spacing w:after="0" w:line="240" w:lineRule="auto"/>
              <w:jc w:val="center"/>
              <w:rPr>
                <w:rFonts w:eastAsia="Times New Roman" w:cs="Calibri"/>
                <w:noProof/>
              </w:rPr>
            </w:pPr>
            <w:r>
              <w:rPr>
                <w:noProof/>
              </w:rPr>
              <w:t>Furnizarea de echipamente științifice și tehnologice școlilor din ARM</w:t>
            </w:r>
          </w:p>
        </w:tc>
        <w:tc>
          <w:tcPr>
            <w:tcW w:w="1275" w:type="dxa"/>
            <w:shd w:val="clear" w:color="auto" w:fill="C4EFCE"/>
            <w:noWrap/>
            <w:vAlign w:val="center"/>
            <w:hideMark/>
          </w:tcPr>
          <w:p w14:paraId="1EEB5525" w14:textId="77777777" w:rsidR="00A15990" w:rsidRDefault="00686A62">
            <w:pPr>
              <w:pStyle w:val="P68B1DB1-Normal8"/>
              <w:spacing w:after="0" w:line="240" w:lineRule="auto"/>
              <w:jc w:val="center"/>
              <w:rPr>
                <w:rFonts w:eastAsia="Times New Roman" w:cs="Calibri"/>
                <w:noProof/>
              </w:rPr>
            </w:pPr>
            <w:r>
              <w:rPr>
                <w:noProof/>
              </w:rPr>
              <w:t>Furnizarea de echipamente științifice și tehnologice școlilor din ARM</w:t>
            </w:r>
          </w:p>
        </w:tc>
        <w:tc>
          <w:tcPr>
            <w:tcW w:w="993" w:type="dxa"/>
            <w:shd w:val="clear" w:color="auto" w:fill="C4EFCE"/>
            <w:noWrap/>
            <w:vAlign w:val="center"/>
            <w:hideMark/>
          </w:tcPr>
          <w:p w14:paraId="452E3CD7" w14:textId="74CDE77A"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hideMark/>
          </w:tcPr>
          <w:p w14:paraId="19E0DA20" w14:textId="77777777" w:rsidR="00A15990" w:rsidRDefault="00686A62">
            <w:pPr>
              <w:pStyle w:val="P68B1DB1-Normal8"/>
              <w:spacing w:after="0" w:line="240" w:lineRule="auto"/>
              <w:jc w:val="center"/>
              <w:rPr>
                <w:rFonts w:eastAsia="Times New Roman" w:cs="Calibri"/>
                <w:noProof/>
              </w:rPr>
            </w:pPr>
            <w:r>
              <w:rPr>
                <w:noProof/>
              </w:rPr>
              <w:t> </w:t>
            </w:r>
          </w:p>
        </w:tc>
        <w:tc>
          <w:tcPr>
            <w:tcW w:w="992" w:type="dxa"/>
            <w:shd w:val="clear" w:color="auto" w:fill="C4EFCE"/>
            <w:noWrap/>
            <w:vAlign w:val="center"/>
            <w:hideMark/>
          </w:tcPr>
          <w:p w14:paraId="621CC52E" w14:textId="797C68A8"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hideMark/>
          </w:tcPr>
          <w:p w14:paraId="04C56176" w14:textId="77777777" w:rsidR="00A15990" w:rsidRDefault="00686A62">
            <w:pPr>
              <w:pStyle w:val="P68B1DB1-Normal8"/>
              <w:spacing w:after="0" w:line="240" w:lineRule="auto"/>
              <w:jc w:val="center"/>
              <w:rPr>
                <w:rFonts w:eastAsia="Times New Roman" w:cs="Calibri"/>
                <w:noProof/>
              </w:rPr>
            </w:pPr>
            <w:r>
              <w:rPr>
                <w:noProof/>
              </w:rPr>
              <w:t>TRIMESTRUL 4</w:t>
            </w:r>
          </w:p>
        </w:tc>
        <w:tc>
          <w:tcPr>
            <w:tcW w:w="708" w:type="dxa"/>
            <w:shd w:val="clear" w:color="auto" w:fill="C4EFCE"/>
            <w:noWrap/>
            <w:vAlign w:val="center"/>
            <w:hideMark/>
          </w:tcPr>
          <w:p w14:paraId="2338A6FD" w14:textId="77777777" w:rsidR="00A15990" w:rsidRDefault="00686A62">
            <w:pPr>
              <w:pStyle w:val="P68B1DB1-Normal8"/>
              <w:spacing w:after="0" w:line="240" w:lineRule="auto"/>
              <w:jc w:val="center"/>
              <w:rPr>
                <w:rFonts w:eastAsia="Times New Roman" w:cs="Calibri"/>
                <w:noProof/>
              </w:rPr>
            </w:pPr>
            <w:r>
              <w:rPr>
                <w:noProof/>
              </w:rPr>
              <w:t>2025</w:t>
            </w:r>
          </w:p>
        </w:tc>
        <w:tc>
          <w:tcPr>
            <w:tcW w:w="3969" w:type="dxa"/>
            <w:shd w:val="clear" w:color="auto" w:fill="C4EFCE"/>
            <w:vAlign w:val="center"/>
            <w:hideMark/>
          </w:tcPr>
          <w:p w14:paraId="77272357" w14:textId="01FD295F" w:rsidR="00A15990" w:rsidRDefault="00686A62">
            <w:pPr>
              <w:pStyle w:val="P68B1DB1-Normal8"/>
              <w:spacing w:after="0" w:line="240" w:lineRule="auto"/>
              <w:rPr>
                <w:rFonts w:eastAsia="Times New Roman" w:cs="Calibri"/>
                <w:noProof/>
              </w:rPr>
            </w:pPr>
            <w:r>
              <w:rPr>
                <w:noProof/>
              </w:rPr>
              <w:t>Școlile din RAM care beneficiază de distribuirea următoarelor echipamente științifice și tehnologice de experimentare robotică (pentru 129 săli școlare/spații educaționale pentru toate nivelurile de educație: ciclul anterior,</w:t>
            </w:r>
            <w:r>
              <w:rPr>
                <w:noProof/>
                <w:vertAlign w:val="superscript"/>
              </w:rPr>
              <w:t>ciclul</w:t>
            </w:r>
            <w:r>
              <w:rPr>
                <w:noProof/>
              </w:rPr>
              <w:t xml:space="preserve"> 1,</w:t>
            </w:r>
            <w:r>
              <w:rPr>
                <w:noProof/>
                <w:vertAlign w:val="superscript"/>
              </w:rPr>
              <w:t>ciclul</w:t>
            </w:r>
            <w:r>
              <w:rPr>
                <w:noProof/>
              </w:rPr>
              <w:t xml:space="preserve"> 2, ciclul</w:t>
            </w:r>
            <w:r>
              <w:rPr>
                <w:noProof/>
                <w:vertAlign w:val="superscript"/>
              </w:rPr>
              <w:t>3</w:t>
            </w:r>
            <w:r>
              <w:rPr>
                <w:noProof/>
              </w:rPr>
              <w:t xml:space="preserve"> și învățământul secundar); kituri experimentale pentru științe (pentru 129 de săli școlare/spații educaționale); Ansambluri de abur (pentru 129 săli școlare/spații educaționale); truse de biologie, fizică și chimie (pentru 35 de săli școlare/spații educaționale); Pachete polivizuale/multimedia (pentru 40 de săli școlare/spații educaționale), 100 de noi echipamente științifice informatice (pentru 94 de săli școlare/spații educaționale în ciclul 1); </w:t>
            </w:r>
          </w:p>
          <w:p w14:paraId="4F6AF773" w14:textId="6828D80F" w:rsidR="00A15990" w:rsidRDefault="00686A62">
            <w:pPr>
              <w:pStyle w:val="P68B1DB1-Normal8"/>
              <w:spacing w:after="0" w:line="240" w:lineRule="auto"/>
              <w:rPr>
                <w:rFonts w:eastAsia="Times New Roman" w:cs="Calibri"/>
                <w:noProof/>
              </w:rPr>
            </w:pPr>
            <w:r>
              <w:rPr>
                <w:noProof/>
              </w:rPr>
              <w:t>În plus, se vor crea 91 medii de învățare inovatoare pentru a permite noi abordări metodologice în procesul de predare și învățare.</w:t>
            </w:r>
          </w:p>
        </w:tc>
      </w:tr>
    </w:tbl>
    <w:p w14:paraId="63F6E735"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7DF53512" w14:textId="77777777" w:rsidR="00A15990" w:rsidRDefault="00A15990">
      <w:pPr>
        <w:keepNext/>
        <w:spacing w:before="40" w:after="0" w:line="259" w:lineRule="auto"/>
        <w:jc w:val="both"/>
        <w:rPr>
          <w:rFonts w:ascii="Times New Roman" w:eastAsiaTheme="minorEastAsia" w:hAnsi="Times New Roman" w:cs="Times New Roman"/>
          <w:noProof/>
          <w:sz w:val="24"/>
        </w:rPr>
        <w:sectPr w:rsidR="00A15990" w:rsidSect="00E00EDD">
          <w:headerReference w:type="even" r:id="rId362"/>
          <w:headerReference w:type="default" r:id="rId363"/>
          <w:footerReference w:type="even" r:id="rId364"/>
          <w:footerReference w:type="default" r:id="rId365"/>
          <w:headerReference w:type="first" r:id="rId366"/>
          <w:footerReference w:type="first" r:id="rId367"/>
          <w:pgSz w:w="16839" w:h="11907" w:orient="landscape"/>
          <w:pgMar w:top="1134" w:right="1134" w:bottom="1134" w:left="1134" w:header="567" w:footer="567" w:gutter="0"/>
          <w:cols w:space="720"/>
          <w:docGrid w:linePitch="360"/>
        </w:sectPr>
      </w:pPr>
    </w:p>
    <w:p w14:paraId="581F76B7" w14:textId="7D5951D9"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COMPONENTA U. 21: REPowerEU</w:t>
      </w:r>
    </w:p>
    <w:p w14:paraId="0F35EBBE" w14:textId="77777777" w:rsidR="00A15990" w:rsidRDefault="00686A62">
      <w:pPr>
        <w:pStyle w:val="P68B1DB1-Normal4"/>
        <w:spacing w:before="40" w:after="0" w:line="259" w:lineRule="auto"/>
        <w:jc w:val="both"/>
        <w:rPr>
          <w:rFonts w:cs="Times New Roman"/>
          <w:noProof/>
        </w:rPr>
      </w:pPr>
      <w:r>
        <w:rPr>
          <w:noProof/>
        </w:rPr>
        <w:t xml:space="preserve">Obiectivul capitolului privind REPowerEU este de a sprijini ambițiile Portugaliei în ceea ce privește independența energetică și tranziția verde, în contextul noilor situații geopolitice și de pe piața energiei. </w:t>
      </w:r>
    </w:p>
    <w:p w14:paraId="22A180DD" w14:textId="50AD9BCD" w:rsidR="00A15990" w:rsidRDefault="00686A62">
      <w:pPr>
        <w:pStyle w:val="P68B1DB1-Normal4"/>
        <w:spacing w:before="40" w:after="0" w:line="259" w:lineRule="auto"/>
        <w:jc w:val="both"/>
        <w:rPr>
          <w:rFonts w:cs="Times New Roman"/>
          <w:noProof/>
        </w:rPr>
      </w:pPr>
      <w:r>
        <w:rPr>
          <w:noProof/>
        </w:rPr>
        <w:t>Reformele și investițiile din cadrul REPowerEU vizează consolidarea suveranității energetice a Portugaliei și accelerarea decarbonizării economiei sale. Capitolul include reforme care vor raționaliza procedurile de acordare a licențelor pentru energia din surse regenerabile, vor crea un ghișeu unic pentru acordarea de licențe pentru proiectele din domeniul energiei din surse regenerabile, precum și vor promova adoptarea biometanului și a hidrogenului din surse regenerabile în țară. O investiție va consta în elaborarea de studii tehnice pentru adoptarea energiei eoliene offshore. În plus, Portugalia abordează provocarea pe care o reprezintă recalificarea forței de muncă pentru tranziția verde printr-o reformă privind competențele verzi, care urmărește să creeze o ofertă cuprinzătoare de formare profesională pentru dezvoltarea competențelor verzi și să formeze 25 de mii de persoane în următorii doi ani.</w:t>
      </w:r>
    </w:p>
    <w:p w14:paraId="28D9518A" w14:textId="77777777" w:rsidR="00A15990" w:rsidRDefault="00686A62">
      <w:pPr>
        <w:pStyle w:val="P68B1DB1-Normal4"/>
        <w:spacing w:before="40" w:after="0" w:line="259" w:lineRule="auto"/>
        <w:jc w:val="both"/>
        <w:rPr>
          <w:rFonts w:cs="Times New Roman"/>
          <w:noProof/>
        </w:rPr>
      </w:pPr>
      <w:r>
        <w:rPr>
          <w:noProof/>
        </w:rPr>
        <w:t xml:space="preserve">Capitolul include, de asemenea, investiții pentru combaterea sărăciei energetice prin investiții menite să sporească eficiența energetică în clădirile rezidențiale, de servicii și publice, precum și reforme pentru a institui un observator național privind sărăcia energetică și pentru a dezvolta un model de ghișeu unic pentru a sprijini cetățenii în punerea în aplicare a intervențiilor în materie de eficiență energetică. </w:t>
      </w:r>
    </w:p>
    <w:p w14:paraId="3419D7E7" w14:textId="54D4EF87" w:rsidR="00A15990" w:rsidRDefault="00686A62">
      <w:pPr>
        <w:pStyle w:val="P68B1DB1-Normal4"/>
        <w:spacing w:before="40" w:after="0" w:line="259" w:lineRule="auto"/>
        <w:jc w:val="both"/>
        <w:rPr>
          <w:rFonts w:cs="Times New Roman"/>
          <w:noProof/>
        </w:rPr>
      </w:pPr>
      <w:r>
        <w:rPr>
          <w:noProof/>
        </w:rPr>
        <w:t>Portugalia își sporește, de asemenea, reziliența prin realizarea de investiții strategice pentru a sprijini producția de tehnologii care contribuie la obiectivul zero emisii nete, prin intensificarea investițiilor existente în gazele din surse regenerabile și în transportul cu emisii zero, precum și prin consolidarea capacității de stocare pentru a spori flexibilitatea sistemului energetic, promovând în același timp sursele regenerabile de energie. O serie de noi investiții în transportul cu emisii zero sunt planificate și răspândite în întreaga țară, inclusiv construirea unei linii de tranzit rapid cu autobuzul în Braga și a unui funicular în nazare”.</w:t>
      </w:r>
    </w:p>
    <w:p w14:paraId="5E7C784E" w14:textId="0274E162" w:rsidR="00A15990" w:rsidRDefault="00686A62">
      <w:pPr>
        <w:pStyle w:val="P68B1DB1-Normal4"/>
        <w:spacing w:before="40" w:after="0" w:line="259" w:lineRule="auto"/>
        <w:jc w:val="both"/>
        <w:rPr>
          <w:rFonts w:cs="Times New Roman"/>
          <w:noProof/>
        </w:rPr>
      </w:pPr>
      <w:r>
        <w:rPr>
          <w:noProof/>
        </w:rPr>
        <w:t>Mai multe măsuri vor implica o dimensiune transfrontalieră, care va fi dezvoltată în cea mai mare parte prin investiții în sursele regenerabile de energie și în eficiența energetică.</w:t>
      </w:r>
    </w:p>
    <w:p w14:paraId="053BB105" w14:textId="3BC176B9" w:rsidR="00A15990" w:rsidRDefault="00686A62">
      <w:pPr>
        <w:pStyle w:val="P68B1DB1-Normal4"/>
        <w:keepNext/>
        <w:spacing w:before="40" w:after="0" w:line="259" w:lineRule="auto"/>
        <w:jc w:val="both"/>
        <w:rPr>
          <w:rFonts w:eastAsiaTheme="minorEastAsia" w:cs="Times New Roman"/>
          <w:noProof/>
        </w:rPr>
      </w:pPr>
      <w:r>
        <w:rPr>
          <w:noProof/>
        </w:rPr>
        <w:t>Componenta contribuie la abordarea recomandării specifice fiecărei țări adresate Portugaliei de a-și reduce dependența de combustibilii fosili (recomandările specifice fiecărei țări 4 2022 și 2023) și de a concentra investițiile pe tranziția energetică și cu emisii scăzute de dioxid de carbon (recomandarea specifică fiecărei țări 3 2019), precum și pe producția și utilizarea nepoluantă și eficientă a energiei (recomandarea specifică fiecărei țări 3 2020). Acesta include, în special, măsuri de accelerare a utilizării surselor regenerabile de energie, de simplificare a autorizării, de decarbonizare a sectorului transporturilor, de îmbunătățire a eficienței energetice a clădirilor, de modernizare a rețelelor de transport și distribuție a energiei electrice, de creștere a stocării energiei electrice și de consolidare a dobândirii competențelor verzi necesare pentru tranziția verde.</w:t>
      </w:r>
    </w:p>
    <w:p w14:paraId="68203BCC" w14:textId="77777777" w:rsidR="00A15990" w:rsidRDefault="00686A62">
      <w:pPr>
        <w:pStyle w:val="P68B1DB1-Normal4"/>
        <w:spacing w:before="40" w:after="0" w:line="259" w:lineRule="auto"/>
        <w:jc w:val="both"/>
        <w:rPr>
          <w:rFonts w:cs="Times New Roman"/>
          <w:noProof/>
        </w:rPr>
      </w:pPr>
      <w:r>
        <w:rPr>
          <w:noProof/>
        </w:rPr>
        <w:t>Se preconizează că nicio măsură din cadrul acestei componente nu prejudiciază în mod semnificativ obiectivele de mediu în sensul articolul 17 din Regulamentul (UE) 2020/852, ținând seama de descrierea măsurilor și a etapelor de atenuare prevăzute în planul de redresare și reziliență în conformitate cu Orientările tehnice DNSH (2021/C58/01).</w:t>
      </w:r>
    </w:p>
    <w:p w14:paraId="40A068BA" w14:textId="77777777" w:rsidR="00A15990" w:rsidRDefault="00A15990">
      <w:pPr>
        <w:keepNext/>
        <w:spacing w:before="40" w:after="0" w:line="259" w:lineRule="auto"/>
        <w:jc w:val="both"/>
        <w:outlineLvl w:val="1"/>
        <w:rPr>
          <w:rFonts w:ascii="Times New Roman" w:eastAsiaTheme="majorEastAsia" w:hAnsi="Times New Roman" w:cs="Times New Roman"/>
          <w:b/>
          <w:noProof/>
          <w:sz w:val="24"/>
          <w:u w:val="single"/>
        </w:rPr>
      </w:pPr>
    </w:p>
    <w:p w14:paraId="3FDCB5A0" w14:textId="4CC2E66E"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U.1. Descrierea reformelor și a investițiilor pentru sprijinul financiar nerambursabil</w:t>
      </w:r>
    </w:p>
    <w:p w14:paraId="1C306676" w14:textId="6845FEE8" w:rsidR="00A15990" w:rsidRDefault="00686A62">
      <w:pPr>
        <w:pStyle w:val="P68B1DB1-Normal5"/>
        <w:spacing w:before="240" w:after="0"/>
        <w:rPr>
          <w:rFonts w:eastAsiaTheme="minorEastAsia" w:cs="Times New Roman"/>
          <w:noProof/>
        </w:rPr>
      </w:pPr>
      <w:bookmarkStart w:id="35" w:name="_Toc137472477"/>
      <w:r>
        <w:rPr>
          <w:noProof/>
        </w:rPr>
        <w:t>Investiția RP-C21-i01: Măsură extinsă: Decarbonizarea industriei</w:t>
      </w:r>
      <w:bookmarkEnd w:id="35"/>
    </w:p>
    <w:p w14:paraId="07D772F8" w14:textId="59DEB25F" w:rsidR="00A15990" w:rsidRDefault="00686A62">
      <w:pPr>
        <w:pStyle w:val="P68B1DB1-Normal4"/>
        <w:spacing w:before="40" w:after="0" w:line="259" w:lineRule="auto"/>
        <w:jc w:val="both"/>
        <w:rPr>
          <w:rFonts w:cs="Times New Roman"/>
          <w:noProof/>
        </w:rPr>
      </w:pPr>
      <w:r>
        <w:rPr>
          <w:noProof/>
        </w:rPr>
        <w:t>Obiectivul acestei măsuri este de a extinde investițiile TC-C11-I01: Decarbonizarea industriei, în cadrul componentei 11.</w:t>
      </w:r>
    </w:p>
    <w:p w14:paraId="6F624D1D" w14:textId="5DD7C54D" w:rsidR="00A15990" w:rsidRDefault="00686A62">
      <w:pPr>
        <w:pStyle w:val="P68B1DB1-Normal4"/>
        <w:spacing w:before="40" w:after="0" w:line="259" w:lineRule="auto"/>
        <w:jc w:val="both"/>
        <w:rPr>
          <w:rFonts w:cs="Times New Roman"/>
          <w:noProof/>
        </w:rPr>
      </w:pPr>
      <w:r>
        <w:rPr>
          <w:noProof/>
        </w:rPr>
        <w:t>Partea extinsă a măsurii mărește numărul de proiecte de decarbonizare sprijinite. Sprijinul pentru partea extinsă a măsurii se acordă unui număr de 500 de întreprinderi mici și mijlocii pentru proiecte de maximum 200 000 EUR pe întreprindere pe parcursul a trei exerciții financiare (proiecte „simplificate”).</w:t>
      </w:r>
    </w:p>
    <w:p w14:paraId="29353424" w14:textId="77777777" w:rsidR="00A15990" w:rsidRDefault="00686A62">
      <w:pPr>
        <w:pStyle w:val="P68B1DB1-Normal4"/>
        <w:spacing w:before="40" w:after="0" w:line="259" w:lineRule="auto"/>
        <w:jc w:val="both"/>
        <w:rPr>
          <w:rFonts w:cs="Times New Roman"/>
          <w:noProof/>
        </w:rPr>
      </w:pPr>
      <w:r>
        <w:rPr>
          <w:noProof/>
        </w:rPr>
        <w:t>Punerea în aplicare a investiției se va finaliza până la 30 iunie 2026.</w:t>
      </w:r>
    </w:p>
    <w:p w14:paraId="579DBFB6" w14:textId="4A98A963" w:rsidR="00A15990" w:rsidRDefault="00686A62">
      <w:pPr>
        <w:pStyle w:val="P68B1DB1-Normal5"/>
        <w:keepNext/>
        <w:spacing w:before="240" w:after="0" w:line="259" w:lineRule="auto"/>
        <w:ind w:left="851"/>
        <w:jc w:val="both"/>
        <w:outlineLvl w:val="2"/>
        <w:rPr>
          <w:rFonts w:eastAsiaTheme="minorEastAsia" w:cs="Times New Roman"/>
          <w:noProof/>
        </w:rPr>
      </w:pPr>
      <w:bookmarkStart w:id="36" w:name="_Toc137472478"/>
      <w:r>
        <w:rPr>
          <w:noProof/>
        </w:rPr>
        <w:t>Investiția RP-C21-i02: Măsură extinsă: Eficiența energetică a clădirilor rezidențiale</w:t>
      </w:r>
      <w:bookmarkEnd w:id="36"/>
    </w:p>
    <w:p w14:paraId="59D08E92" w14:textId="437238A1" w:rsidR="00A15990" w:rsidRDefault="00686A62">
      <w:pPr>
        <w:pStyle w:val="P68B1DB1-Normal4"/>
        <w:spacing w:after="0"/>
        <w:jc w:val="both"/>
        <w:rPr>
          <w:rFonts w:cs="Times New Roman"/>
          <w:noProof/>
        </w:rPr>
      </w:pPr>
      <w:r>
        <w:rPr>
          <w:noProof/>
        </w:rPr>
        <w:t xml:space="preserve">Obiectivul măsurii este de a extinde măsura TC-C13-I01: Eficiența energetică a clădirilor rezidențiale în cadrul componentei 13. </w:t>
      </w:r>
    </w:p>
    <w:p w14:paraId="5ED787E9" w14:textId="7157997D" w:rsidR="00A15990" w:rsidRDefault="00686A62">
      <w:pPr>
        <w:pStyle w:val="P68B1DB1-Normal4"/>
        <w:spacing w:after="0"/>
        <w:jc w:val="both"/>
        <w:rPr>
          <w:rFonts w:cs="Times New Roman"/>
          <w:noProof/>
        </w:rPr>
      </w:pPr>
      <w:r>
        <w:rPr>
          <w:noProof/>
        </w:rPr>
        <w:t>Partea de extindere a măsurii mărește numărul clădirilor rezidențiale renovate și numărul producției de energie din surse regenerabile pentru autoconsum. 60 % din suprafața renovată în cadrul acestei investiții se realizează în clădiri cu mai multe apartamente.</w:t>
      </w:r>
    </w:p>
    <w:p w14:paraId="1A06BA32" w14:textId="0369DD0D" w:rsidR="00A15990" w:rsidRDefault="00686A62">
      <w:pPr>
        <w:pStyle w:val="P68B1DB1-Normal4"/>
        <w:spacing w:after="0"/>
        <w:jc w:val="both"/>
        <w:rPr>
          <w:rFonts w:cs="Times New Roman"/>
          <w:noProof/>
        </w:rPr>
      </w:pPr>
      <w:r>
        <w:rPr>
          <w:noProof/>
        </w:rPr>
        <w:t>Punerea în aplicare a investiției se va finaliza până la 30 septembrie 2025.</w:t>
      </w:r>
    </w:p>
    <w:p w14:paraId="7450F2F2" w14:textId="64382BF4" w:rsidR="00A15990" w:rsidRDefault="00A15990">
      <w:pPr>
        <w:spacing w:after="0"/>
        <w:jc w:val="both"/>
        <w:rPr>
          <w:rFonts w:ascii="Times New Roman" w:hAnsi="Times New Roman" w:cs="Times New Roman"/>
          <w:noProof/>
          <w:sz w:val="24"/>
        </w:rPr>
      </w:pPr>
    </w:p>
    <w:p w14:paraId="10433ABC" w14:textId="26B19E0B" w:rsidR="00A15990" w:rsidRDefault="00686A62">
      <w:pPr>
        <w:pStyle w:val="P68B1DB1-Normal5"/>
        <w:keepNext/>
        <w:spacing w:before="240" w:after="0" w:line="259" w:lineRule="auto"/>
        <w:ind w:left="851"/>
        <w:jc w:val="both"/>
        <w:outlineLvl w:val="2"/>
        <w:rPr>
          <w:rFonts w:eastAsiaTheme="minorEastAsia" w:cs="Times New Roman"/>
          <w:noProof/>
        </w:rPr>
      </w:pPr>
      <w:bookmarkStart w:id="37" w:name="_Toc137472479"/>
      <w:bookmarkStart w:id="38" w:name="_Hlk140143655"/>
      <w:r>
        <w:rPr>
          <w:noProof/>
        </w:rPr>
        <w:t>Investiția RP-C21-i03: Măsură extinsă: Eficiența energetică a clădirilor utilizate de sectorul serviciilor</w:t>
      </w:r>
      <w:bookmarkEnd w:id="37"/>
    </w:p>
    <w:bookmarkEnd w:id="38"/>
    <w:p w14:paraId="7E310686" w14:textId="29A7DFDE" w:rsidR="00A15990" w:rsidRDefault="00686A62">
      <w:pPr>
        <w:pStyle w:val="P68B1DB1-Normal4"/>
        <w:spacing w:after="0"/>
        <w:jc w:val="both"/>
        <w:rPr>
          <w:rFonts w:cs="Times New Roman"/>
          <w:noProof/>
        </w:rPr>
      </w:pPr>
      <w:r>
        <w:rPr>
          <w:noProof/>
        </w:rPr>
        <w:t>Obiectivul acestei măsuri este de a extinde măsura TC-C13-I03 Eficiența energetică a clădirilor utilizate de sectorul serviciilor în cadrul componentei 13. Partea extinsă a măsurii extinde suprafața clădirilor de servicii private renovate.</w:t>
      </w:r>
    </w:p>
    <w:p w14:paraId="39D446C7" w14:textId="77777777" w:rsidR="00A15990" w:rsidRDefault="00686A62">
      <w:pPr>
        <w:pStyle w:val="P68B1DB1-Normal4"/>
        <w:spacing w:after="0"/>
        <w:jc w:val="both"/>
        <w:rPr>
          <w:rFonts w:cs="Times New Roman"/>
          <w:noProof/>
        </w:rPr>
      </w:pPr>
      <w:r>
        <w:rPr>
          <w:noProof/>
        </w:rPr>
        <w:t>Punerea în aplicare a investiției se va finaliza până la 30 iunie 2026.</w:t>
      </w:r>
    </w:p>
    <w:p w14:paraId="09DB76BB" w14:textId="795DCBD2" w:rsidR="00A15990" w:rsidRDefault="00686A62">
      <w:pPr>
        <w:pStyle w:val="P68B1DB1-Normal5"/>
        <w:keepNext/>
        <w:spacing w:before="240" w:after="0" w:line="259" w:lineRule="auto"/>
        <w:ind w:left="851"/>
        <w:jc w:val="both"/>
        <w:outlineLvl w:val="2"/>
        <w:rPr>
          <w:rFonts w:eastAsiaTheme="minorEastAsia" w:cs="Times New Roman"/>
          <w:noProof/>
        </w:rPr>
      </w:pPr>
      <w:bookmarkStart w:id="39" w:name="_Toc137472480"/>
      <w:r>
        <w:rPr>
          <w:noProof/>
        </w:rPr>
        <w:t>Investiția RP-C21-i04-RAM: Eficiența energetică a clădirilor publice</w:t>
      </w:r>
      <w:bookmarkEnd w:id="39"/>
      <w:r>
        <w:rPr>
          <w:noProof/>
        </w:rPr>
        <w:t xml:space="preserve"> din Madeira</w:t>
      </w:r>
    </w:p>
    <w:p w14:paraId="4366A173" w14:textId="69F8BE3B" w:rsidR="00A15990" w:rsidRDefault="00686A62">
      <w:pPr>
        <w:pStyle w:val="P68B1DB1-Normal4"/>
        <w:spacing w:before="40" w:after="0" w:line="259" w:lineRule="auto"/>
        <w:jc w:val="both"/>
        <w:rPr>
          <w:rFonts w:cs="Times New Roman"/>
          <w:noProof/>
        </w:rPr>
      </w:pPr>
      <w:r>
        <w:rPr>
          <w:noProof/>
        </w:rPr>
        <w:t>Obiectivul acestei investiții este de a promova renovarea energetică, de a promova eficiența energetică și utilizarea eficientă a resurselor și de a crește autoconsumul de energie din surse regenerabile al clădirilor publice din Madeira.</w:t>
      </w:r>
    </w:p>
    <w:p w14:paraId="534C977C" w14:textId="236F0827" w:rsidR="00A15990" w:rsidRDefault="00686A62">
      <w:pPr>
        <w:pStyle w:val="P68B1DB1-Normal4"/>
        <w:spacing w:before="40" w:after="0" w:line="259" w:lineRule="auto"/>
        <w:jc w:val="both"/>
        <w:rPr>
          <w:rFonts w:cs="Times New Roman"/>
          <w:noProof/>
        </w:rPr>
      </w:pPr>
      <w:r>
        <w:rPr>
          <w:noProof/>
        </w:rPr>
        <w:t xml:space="preserve">Această investiție constă în măsuri de promovare a renovării, a eficienței energetice, a decarbonizării, a utilizării eficiente a apei și a economiei circulare în clădirile publice din regiunea autonomă Madeira, realizând renovări de adâncime medie. </w:t>
      </w:r>
    </w:p>
    <w:p w14:paraId="3C5C60AA" w14:textId="77777777" w:rsidR="00A15990" w:rsidRDefault="00686A62">
      <w:pPr>
        <w:pStyle w:val="P68B1DB1-Normal4"/>
        <w:spacing w:before="40" w:after="0" w:line="259" w:lineRule="auto"/>
        <w:jc w:val="both"/>
        <w:rPr>
          <w:rFonts w:cs="Times New Roman"/>
          <w:noProof/>
        </w:rPr>
      </w:pPr>
      <w:r>
        <w:rPr>
          <w:noProof/>
        </w:rPr>
        <w:t xml:space="preserve">Clădirile eligibile pentru intervenție sunt toate de utilitate publică, în special în domeniile sănătății, educației și administrației publice regionale. </w:t>
      </w:r>
    </w:p>
    <w:p w14:paraId="3EF533D2" w14:textId="5F948B86" w:rsidR="00A15990" w:rsidRDefault="00686A62">
      <w:pPr>
        <w:pStyle w:val="P68B1DB1-Normal4"/>
        <w:spacing w:before="40" w:after="0" w:line="259" w:lineRule="auto"/>
        <w:jc w:val="both"/>
        <w:rPr>
          <w:rFonts w:cs="Times New Roman"/>
          <w:noProof/>
        </w:rPr>
      </w:pPr>
      <w:r>
        <w:rPr>
          <w:noProof/>
        </w:rPr>
        <w:t>Punerea în aplicare a investiției se va finaliza până la 31 decembrie 2025.</w:t>
      </w:r>
    </w:p>
    <w:p w14:paraId="5362038B" w14:textId="78F3A9C9" w:rsidR="00A15990" w:rsidRDefault="00686A62">
      <w:pPr>
        <w:pStyle w:val="P68B1DB1-Normal5"/>
        <w:keepNext/>
        <w:spacing w:before="240" w:after="0" w:line="259" w:lineRule="auto"/>
        <w:ind w:left="851"/>
        <w:jc w:val="both"/>
        <w:outlineLvl w:val="2"/>
        <w:rPr>
          <w:rFonts w:eastAsiaTheme="minorEastAsia" w:cs="Times New Roman"/>
          <w:noProof/>
        </w:rPr>
      </w:pPr>
      <w:bookmarkStart w:id="40" w:name="_Toc137472481"/>
      <w:r>
        <w:rPr>
          <w:noProof/>
        </w:rPr>
        <w:t>Reforma RP-C21-r43: Observatorul național al sărăciei energetice</w:t>
      </w:r>
      <w:bookmarkEnd w:id="40"/>
      <w:r>
        <w:rPr>
          <w:noProof/>
        </w:rPr>
        <w:t xml:space="preserve"> </w:t>
      </w:r>
    </w:p>
    <w:p w14:paraId="722EBB4B" w14:textId="77777777" w:rsidR="00A15990" w:rsidRDefault="00686A62">
      <w:pPr>
        <w:pStyle w:val="P68B1DB1-Normal4"/>
        <w:spacing w:beforeLines="40" w:before="96" w:after="0" w:line="22" w:lineRule="atLeast"/>
        <w:jc w:val="both"/>
        <w:rPr>
          <w:rFonts w:cs="Times New Roman"/>
          <w:noProof/>
        </w:rPr>
      </w:pPr>
      <w:r>
        <w:rPr>
          <w:noProof/>
        </w:rPr>
        <w:t xml:space="preserve">Obiectivul acestei reforme este de a înființa un organism pentru autoritățile naționale, regionale și locale care să monitorizeze situația sărăciei energetice și să analizeze și să elaboreze politici publice pentru eradicarea acesteia în Portugalia. </w:t>
      </w:r>
    </w:p>
    <w:p w14:paraId="05D42E40" w14:textId="672AEEFC" w:rsidR="00A15990" w:rsidRDefault="00686A62">
      <w:pPr>
        <w:pStyle w:val="P68B1DB1-Normal4"/>
        <w:spacing w:beforeLines="40" w:before="96" w:after="0" w:line="22" w:lineRule="atLeast"/>
        <w:jc w:val="both"/>
        <w:rPr>
          <w:rFonts w:eastAsia="MS Mincho" w:cs="Times New Roman"/>
          <w:noProof/>
        </w:rPr>
      </w:pPr>
      <w:r>
        <w:rPr>
          <w:noProof/>
        </w:rPr>
        <w:t xml:space="preserve">Reforma instituie Observatorul Național al Sărăciei Energetice (ONPE), care are următoarele atribuții: </w:t>
      </w:r>
    </w:p>
    <w:p w14:paraId="37FF066C" w14:textId="57280600" w:rsidR="00A15990" w:rsidRDefault="00686A62">
      <w:pPr>
        <w:pStyle w:val="ListParagraph"/>
        <w:keepNext w:val="0"/>
        <w:numPr>
          <w:ilvl w:val="0"/>
          <w:numId w:val="86"/>
        </w:numPr>
        <w:spacing w:beforeLines="40" w:before="96" w:after="0" w:line="22" w:lineRule="atLeast"/>
        <w:rPr>
          <w:rFonts w:eastAsia="MS Mincho"/>
          <w:noProof/>
        </w:rPr>
      </w:pPr>
      <w:r>
        <w:rPr>
          <w:noProof/>
        </w:rPr>
        <w:t>Monitorizarea, supravegherea, coordonarea și raportarea cu privire la punerea în aplicare a Strategiei pe termen lung privind sărăcia energetică (ELPPE);</w:t>
      </w:r>
    </w:p>
    <w:p w14:paraId="4DA6276A" w14:textId="77777777" w:rsidR="00A15990" w:rsidRDefault="00686A62">
      <w:pPr>
        <w:pStyle w:val="ListParagraph"/>
        <w:keepNext w:val="0"/>
        <w:numPr>
          <w:ilvl w:val="0"/>
          <w:numId w:val="86"/>
        </w:numPr>
        <w:spacing w:beforeLines="40" w:before="96" w:after="0" w:line="22" w:lineRule="atLeast"/>
        <w:rPr>
          <w:noProof/>
        </w:rPr>
      </w:pPr>
      <w:r>
        <w:rPr>
          <w:noProof/>
        </w:rPr>
        <w:t>Coordonarea activităților de politică legate de sărăcia energetică legate de elaborarea și punerea în aplicare a planului național privind energia și clima (PNEC) și a planurilor naționale pentru atenuarea impactului social al acțiunilor climatice;</w:t>
      </w:r>
    </w:p>
    <w:p w14:paraId="7A42E09A" w14:textId="357B042B" w:rsidR="00A15990" w:rsidRDefault="00686A62">
      <w:pPr>
        <w:pStyle w:val="ListParagraph"/>
        <w:keepNext w:val="0"/>
        <w:numPr>
          <w:ilvl w:val="0"/>
          <w:numId w:val="86"/>
        </w:numPr>
        <w:spacing w:beforeLines="40" w:before="96" w:after="0" w:line="22" w:lineRule="atLeast"/>
        <w:rPr>
          <w:rFonts w:eastAsia="MS Mincho"/>
          <w:noProof/>
        </w:rPr>
      </w:pPr>
      <w:r>
        <w:rPr>
          <w:noProof/>
        </w:rPr>
        <w:t>Propunerea către guvern a planurilor de acțiune pe zece ani (orizonturile 2030, 2040 și 2050), precum și revizuirea acestora și revizuirea ELPPE, cu o frecvență de cel puțin trei ani și, respectiv, cinci ani;</w:t>
      </w:r>
    </w:p>
    <w:p w14:paraId="72AF5EA4" w14:textId="77777777" w:rsidR="00A15990" w:rsidRDefault="00686A62">
      <w:pPr>
        <w:pStyle w:val="ListParagraph"/>
        <w:keepNext w:val="0"/>
        <w:numPr>
          <w:ilvl w:val="0"/>
          <w:numId w:val="86"/>
        </w:numPr>
        <w:spacing w:beforeLines="40" w:before="96" w:after="0" w:line="22" w:lineRule="atLeast"/>
        <w:rPr>
          <w:rFonts w:eastAsia="MS Mincho"/>
          <w:noProof/>
        </w:rPr>
      </w:pPr>
      <w:r>
        <w:rPr>
          <w:noProof/>
        </w:rPr>
        <w:t>Punerea în aplicare a unor acțiuni de consolidare a capacităților pentru agenții publici și privați, naționali, regionali și locali implicați în punerea în aplicare a Strategiei pe termen lung privind sărăcia energetică;</w:t>
      </w:r>
    </w:p>
    <w:p w14:paraId="4CCEAC98" w14:textId="77777777" w:rsidR="00A15990" w:rsidRDefault="00686A62">
      <w:pPr>
        <w:pStyle w:val="ListParagraph"/>
        <w:keepNext w:val="0"/>
        <w:numPr>
          <w:ilvl w:val="0"/>
          <w:numId w:val="86"/>
        </w:numPr>
        <w:spacing w:beforeLines="40" w:before="96" w:after="0" w:line="22" w:lineRule="atLeast"/>
        <w:rPr>
          <w:noProof/>
        </w:rPr>
      </w:pPr>
      <w:r>
        <w:rPr>
          <w:noProof/>
        </w:rPr>
        <w:t>Identificarea și monitorizarea gospodăriilor afectate de sărăcia energetică prin instituirea și punerea în aplicare a unui instrument de anchetă periodică;</w:t>
      </w:r>
    </w:p>
    <w:p w14:paraId="2FC0162A" w14:textId="77777777" w:rsidR="00A15990" w:rsidRDefault="00686A62">
      <w:pPr>
        <w:pStyle w:val="ListParagraph"/>
        <w:keepNext w:val="0"/>
        <w:numPr>
          <w:ilvl w:val="0"/>
          <w:numId w:val="86"/>
        </w:numPr>
        <w:spacing w:beforeLines="40" w:before="96" w:after="0" w:line="22" w:lineRule="atLeast"/>
        <w:rPr>
          <w:rFonts w:eastAsia="MS Mincho"/>
          <w:noProof/>
        </w:rPr>
      </w:pPr>
      <w:r>
        <w:rPr>
          <w:noProof/>
        </w:rPr>
        <w:t>Propunerea unui instrument de finanțare (sau fiscal) pentru măsurile de eficiență energetică dedicate gospodăriilor afectate de sărăcia energetică;</w:t>
      </w:r>
    </w:p>
    <w:p w14:paraId="771F2604" w14:textId="77777777" w:rsidR="00A15990" w:rsidRDefault="00686A62">
      <w:pPr>
        <w:pStyle w:val="ListParagraph"/>
        <w:keepNext w:val="0"/>
        <w:numPr>
          <w:ilvl w:val="0"/>
          <w:numId w:val="86"/>
        </w:numPr>
        <w:spacing w:beforeLines="40" w:before="96" w:after="0" w:line="22" w:lineRule="atLeast"/>
        <w:rPr>
          <w:rFonts w:eastAsia="MS Mincho"/>
          <w:noProof/>
        </w:rPr>
      </w:pPr>
      <w:r>
        <w:rPr>
          <w:noProof/>
        </w:rPr>
        <w:t>Elaborarea de materiale și campanii de îmbunătățire a alfabetizării energetice adecvate profilului gospodăriilor afectate de sărăcia energetică;</w:t>
      </w:r>
    </w:p>
    <w:p w14:paraId="010262B7" w14:textId="77777777" w:rsidR="00A15990" w:rsidRDefault="00686A62">
      <w:pPr>
        <w:pStyle w:val="ListParagraph"/>
        <w:keepNext w:val="0"/>
        <w:numPr>
          <w:ilvl w:val="0"/>
          <w:numId w:val="86"/>
        </w:numPr>
        <w:spacing w:beforeLines="40" w:before="96" w:after="0" w:line="22" w:lineRule="atLeast"/>
        <w:rPr>
          <w:rFonts w:eastAsia="MS Mincho"/>
          <w:noProof/>
        </w:rPr>
      </w:pPr>
      <w:r>
        <w:rPr>
          <w:noProof/>
        </w:rPr>
        <w:t xml:space="preserve">Promovarea și diseminarea activităților legate de fenomenul sărăciei energetice, inclusiv crearea unei rețele de entități și actori interesați care vizează abordarea problemei. </w:t>
      </w:r>
    </w:p>
    <w:p w14:paraId="5391B250" w14:textId="270C4ECC" w:rsidR="00A15990" w:rsidRDefault="00686A62">
      <w:pPr>
        <w:pStyle w:val="P68B1DB1-Normal4"/>
        <w:spacing w:beforeLines="40" w:before="96" w:after="0" w:line="22" w:lineRule="atLeast"/>
        <w:jc w:val="both"/>
        <w:rPr>
          <w:rFonts w:eastAsia="@MS Mincho" w:cs="Times New Roman"/>
          <w:noProof/>
        </w:rPr>
      </w:pPr>
      <w:r>
        <w:rPr>
          <w:noProof/>
        </w:rPr>
        <w:t xml:space="preserve">ONPE include în structura sa de guvernanță i) o unitate de gestionare, care este responsabilă de gestionarea operațională a ONPE, ii) un comitet strategic, condus de Ministerul Mediului și Politicilor Climatice și care include membri din domeniile guvernamentale relevante (cum ar fi locuințele, securitatea socială, sănătatea, finanțele, educația, coeziunea teritorială) și iii) un comitet consultativ, care include părți interesate stabilite, cum ar fi universități, municipalități, agenții energetice locale, organizații neguvernamentale implicate în acțiuni de eradicare a sărăciei energetice, operatori de rețele energetice, asociații ale consumatorilor și asociații imobiliare, asociații sectoriale și entități financiare private. Reforma garantează că aceste organisme cooperează și au un rol clar în urmărirea obiectivelor stabilite în mandatul ONPE. Colaborarea dintre ONPE și organismele statistice portugheze este asigurată pentru colectarea datelor. </w:t>
      </w:r>
    </w:p>
    <w:p w14:paraId="17728ADF" w14:textId="315EB82E" w:rsidR="00A15990" w:rsidRDefault="00686A62">
      <w:pPr>
        <w:pStyle w:val="P68B1DB1-Normal4"/>
        <w:spacing w:beforeLines="40" w:before="96" w:after="0" w:line="22" w:lineRule="atLeast"/>
        <w:jc w:val="both"/>
        <w:rPr>
          <w:rFonts w:cs="Times New Roman"/>
          <w:noProof/>
        </w:rPr>
      </w:pPr>
      <w:r>
        <w:rPr>
          <w:noProof/>
        </w:rPr>
        <w:t>Reforma asigură, de asemenea, instituirea unui instrument de finanțare pentru măsurile de eficiență energetică în sectorul rezidențial pentru a combate sărăcia energetică pentru profilurile identificate ale gospodăriilor, adoptat prin intrarea în vigoare a unei legi sau prin adoptarea unei decizii de către o instituție financiară relevantă.</w:t>
      </w:r>
    </w:p>
    <w:p w14:paraId="204649DB" w14:textId="77777777" w:rsidR="00A15990" w:rsidRDefault="00686A62">
      <w:pPr>
        <w:pStyle w:val="P68B1DB1-Normal4"/>
        <w:spacing w:beforeLines="40" w:before="96" w:after="0" w:line="22" w:lineRule="atLeast"/>
        <w:jc w:val="both"/>
        <w:rPr>
          <w:rFonts w:cs="Times New Roman"/>
          <w:noProof/>
        </w:rPr>
      </w:pPr>
      <w:r>
        <w:rPr>
          <w:noProof/>
        </w:rPr>
        <w:t xml:space="preserve">Punerea în aplicare a acestei reforme se finalizează până la 31 martie 2025.  </w:t>
      </w:r>
    </w:p>
    <w:p w14:paraId="6F25AA6D" w14:textId="339B7EBE" w:rsidR="00A15990" w:rsidRDefault="00686A62">
      <w:pPr>
        <w:pStyle w:val="P68B1DB1-Normal5"/>
        <w:keepNext/>
        <w:spacing w:before="240" w:after="0" w:line="259" w:lineRule="auto"/>
        <w:ind w:left="851"/>
        <w:jc w:val="both"/>
        <w:outlineLvl w:val="2"/>
        <w:rPr>
          <w:rFonts w:eastAsiaTheme="minorEastAsia" w:cs="Times New Roman"/>
          <w:noProof/>
        </w:rPr>
      </w:pPr>
      <w:bookmarkStart w:id="41" w:name="_Toc137472482"/>
      <w:r>
        <w:rPr>
          <w:noProof/>
        </w:rPr>
        <w:t xml:space="preserve">Reforma RP-C21-r44: Dezvoltarea unor ghișee unice pentru cetățeni în materie de eficiență energetică (Spațiile energetice ale cetățenilor) </w:t>
      </w:r>
      <w:bookmarkEnd w:id="41"/>
    </w:p>
    <w:p w14:paraId="13080FDC" w14:textId="77777777" w:rsidR="00A15990" w:rsidRDefault="00686A62">
      <w:pPr>
        <w:pStyle w:val="P68B1DB1-Normal4"/>
        <w:spacing w:beforeLines="40" w:before="96" w:after="0" w:line="22" w:lineRule="atLeast"/>
        <w:jc w:val="both"/>
        <w:rPr>
          <w:rFonts w:cs="Times New Roman"/>
          <w:noProof/>
        </w:rPr>
      </w:pPr>
      <w:r>
        <w:rPr>
          <w:noProof/>
        </w:rPr>
        <w:t xml:space="preserve">Obiectivul acestei reforme este de a sprijini cetățenii în pregătirea și punerea în aplicare a măsurilor privind eficiența energetică și energia din surse regenerabile și de a adopta comportamente durabile în ceea ce privește utilizarea energiei, prin îmbunătățirea cunoștințelor în domeniul energiei. </w:t>
      </w:r>
    </w:p>
    <w:p w14:paraId="375532EE" w14:textId="046F8E8A" w:rsidR="00A15990" w:rsidRDefault="00686A62">
      <w:pPr>
        <w:pStyle w:val="P68B1DB1-Normal4"/>
        <w:spacing w:beforeLines="40" w:before="96" w:after="0" w:line="22" w:lineRule="atLeast"/>
        <w:jc w:val="both"/>
        <w:rPr>
          <w:rFonts w:cs="Times New Roman"/>
          <w:noProof/>
        </w:rPr>
      </w:pPr>
      <w:r>
        <w:rPr>
          <w:noProof/>
        </w:rPr>
        <w:t>Pe baza proiectului-pilot elaborat în cadrul investițiilor TC-C13-I01.01, reforma va crea ghișee unice de eficiență energetică pentru cetățeni (Spațiile energetice cetățenești</w:t>
      </w:r>
      <w:r>
        <w:rPr>
          <w:i/>
          <w:noProof/>
        </w:rPr>
        <w:t xml:space="preserve"> </w:t>
      </w:r>
      <w:r>
        <w:rPr>
          <w:noProof/>
        </w:rPr>
        <w:t xml:space="preserve">– </w:t>
      </w:r>
      <w:r>
        <w:rPr>
          <w:i/>
          <w:noProof/>
        </w:rPr>
        <w:t>Espaços Cidadão Energia</w:t>
      </w:r>
      <w:r>
        <w:rPr>
          <w:noProof/>
        </w:rPr>
        <w:t>) înființate de autoritățile locale sau regionale sau de alte entități locale, care să fie incluse în planurile municipale de acțiune în domeniul climei în conformitate cu Legea nr. 98/2021 și să ofere o serie de servicii rezidenților, cum ar fi:</w:t>
      </w:r>
    </w:p>
    <w:p w14:paraId="5A8F9D4A" w14:textId="77777777" w:rsidR="00A15990" w:rsidRDefault="00686A62">
      <w:pPr>
        <w:pStyle w:val="ListParagraph"/>
        <w:keepNext w:val="0"/>
        <w:numPr>
          <w:ilvl w:val="0"/>
          <w:numId w:val="87"/>
        </w:numPr>
        <w:spacing w:beforeLines="40" w:before="96" w:after="0" w:line="22" w:lineRule="atLeast"/>
        <w:rPr>
          <w:noProof/>
        </w:rPr>
      </w:pPr>
      <w:r>
        <w:rPr>
          <w:noProof/>
        </w:rPr>
        <w:t>Furnizarea de informații și asistență tehnică, de la interpretarea facturilor la energie până la utilizarea energiei durabile și drepturile consumatorilor;</w:t>
      </w:r>
    </w:p>
    <w:p w14:paraId="52920F00" w14:textId="77777777" w:rsidR="00A15990" w:rsidRDefault="00686A62">
      <w:pPr>
        <w:pStyle w:val="ListParagraph"/>
        <w:keepNext w:val="0"/>
        <w:numPr>
          <w:ilvl w:val="0"/>
          <w:numId w:val="87"/>
        </w:numPr>
        <w:spacing w:beforeLines="40" w:before="96" w:after="0" w:line="22" w:lineRule="atLeast"/>
        <w:rPr>
          <w:noProof/>
        </w:rPr>
      </w:pPr>
      <w:r>
        <w:rPr>
          <w:noProof/>
        </w:rPr>
        <w:t>Consiliere, inclusiv pentru achiziționarea de energie, achiziționarea de echipamente, selectarea soluțiilor de eficiență energetică și de energie din surse regenerabile, selectarea ofertelor comerciale pentru punerea în aplicare a soluțiilor;</w:t>
      </w:r>
    </w:p>
    <w:p w14:paraId="48565B26" w14:textId="77777777" w:rsidR="00A15990" w:rsidRDefault="00686A62">
      <w:pPr>
        <w:pStyle w:val="ListParagraph"/>
        <w:keepNext w:val="0"/>
        <w:numPr>
          <w:ilvl w:val="0"/>
          <w:numId w:val="87"/>
        </w:numPr>
        <w:spacing w:beforeLines="40" w:before="96" w:after="0" w:line="22" w:lineRule="atLeast"/>
        <w:rPr>
          <w:noProof/>
        </w:rPr>
      </w:pPr>
      <w:r>
        <w:rPr>
          <w:noProof/>
        </w:rPr>
        <w:t>Evaluarea energetică a locuințelor și propuneri de investiții în vederea creșterii confortului termic și a reducerii facturilor la energie;</w:t>
      </w:r>
    </w:p>
    <w:p w14:paraId="33F3AD14" w14:textId="77777777" w:rsidR="00A15990" w:rsidRDefault="00686A62">
      <w:pPr>
        <w:pStyle w:val="ListParagraph"/>
        <w:keepNext w:val="0"/>
        <w:numPr>
          <w:ilvl w:val="0"/>
          <w:numId w:val="87"/>
        </w:numPr>
        <w:spacing w:beforeLines="40" w:before="96" w:after="0" w:line="22" w:lineRule="atLeast"/>
        <w:rPr>
          <w:noProof/>
        </w:rPr>
      </w:pPr>
      <w:r>
        <w:rPr>
          <w:noProof/>
        </w:rPr>
        <w:t>Consiliere privind accesul la stimulente și instrumente de finanțare publice și private, naționale și locale;</w:t>
      </w:r>
    </w:p>
    <w:p w14:paraId="26439DCD" w14:textId="77777777" w:rsidR="00A15990" w:rsidRDefault="00686A62">
      <w:pPr>
        <w:pStyle w:val="ListParagraph"/>
        <w:keepNext w:val="0"/>
        <w:numPr>
          <w:ilvl w:val="0"/>
          <w:numId w:val="87"/>
        </w:numPr>
        <w:spacing w:beforeLines="40" w:before="96" w:after="0" w:line="22" w:lineRule="atLeast"/>
        <w:rPr>
          <w:noProof/>
        </w:rPr>
      </w:pPr>
      <w:r>
        <w:rPr>
          <w:noProof/>
        </w:rPr>
        <w:t>Colectarea de date privind utilizatorii care urmează să fie partajate cu Observatorul național al sărăciei energetice.</w:t>
      </w:r>
    </w:p>
    <w:p w14:paraId="0B098A88" w14:textId="214DA97F" w:rsidR="00A15990" w:rsidRDefault="00686A62">
      <w:pPr>
        <w:pStyle w:val="P68B1DB1-Normal4"/>
        <w:spacing w:beforeLines="40" w:before="96" w:after="0" w:line="22" w:lineRule="atLeast"/>
        <w:jc w:val="both"/>
        <w:rPr>
          <w:rFonts w:cs="Times New Roman"/>
          <w:i/>
          <w:noProof/>
        </w:rPr>
      </w:pPr>
      <w:r>
        <w:rPr>
          <w:noProof/>
        </w:rPr>
        <w:t>Se întreprind acțiuni de consolidare a capacităților pentru a se asigura că cel puțin trei sute de persoane sunt instruite pentru funcționarea spațiilor energetice ale cetățenilor</w:t>
      </w:r>
      <w:r>
        <w:rPr>
          <w:i/>
          <w:noProof/>
        </w:rPr>
        <w:t>.</w:t>
      </w:r>
    </w:p>
    <w:p w14:paraId="08143AB5" w14:textId="77777777" w:rsidR="00A15990" w:rsidRDefault="00686A62">
      <w:pPr>
        <w:pStyle w:val="P68B1DB1-Normal4"/>
        <w:spacing w:beforeLines="40" w:before="96" w:after="0" w:line="22" w:lineRule="atLeast"/>
        <w:jc w:val="both"/>
        <w:rPr>
          <w:rFonts w:cs="Times New Roman"/>
          <w:noProof/>
        </w:rPr>
      </w:pPr>
      <w:r>
        <w:rPr>
          <w:noProof/>
        </w:rPr>
        <w:t xml:space="preserve">Punerea în aplicare a acestei reforme se finalizează până la 31 martie 2025. </w:t>
      </w:r>
    </w:p>
    <w:p w14:paraId="52B18F1E" w14:textId="4BD6F41C" w:rsidR="00A15990" w:rsidRDefault="00686A62">
      <w:pPr>
        <w:pStyle w:val="P68B1DB1-Normal5"/>
        <w:keepNext/>
        <w:spacing w:before="240" w:after="0" w:line="259" w:lineRule="auto"/>
        <w:ind w:left="851"/>
        <w:jc w:val="both"/>
        <w:outlineLvl w:val="2"/>
        <w:rPr>
          <w:rFonts w:eastAsiaTheme="minorEastAsia" w:cs="Times New Roman"/>
          <w:noProof/>
        </w:rPr>
      </w:pPr>
      <w:bookmarkStart w:id="42" w:name="_Toc137472487"/>
      <w:r>
        <w:rPr>
          <w:noProof/>
        </w:rPr>
        <w:t>Investiția RP-C21-i05: Sprijin pentru dezvoltarea industriei ecologice</w:t>
      </w:r>
    </w:p>
    <w:bookmarkEnd w:id="42"/>
    <w:p w14:paraId="00CC59FA" w14:textId="4B5BBB1D" w:rsidR="00A15990" w:rsidRDefault="00686A62">
      <w:pPr>
        <w:pStyle w:val="P68B1DB1-Normal4"/>
        <w:spacing w:beforeLines="40" w:before="96" w:after="0" w:line="22" w:lineRule="atLeast"/>
        <w:jc w:val="both"/>
        <w:rPr>
          <w:rFonts w:cs="Times New Roman"/>
          <w:noProof/>
          <w:highlight w:val="yellow"/>
        </w:rPr>
      </w:pPr>
      <w:r>
        <w:rPr>
          <w:noProof/>
        </w:rPr>
        <w:t>Obiectivul acestei investiții, care vizează întreprinderile, este de a spori capacitatea de producție a tehnologiilor pentru energia din surse regenerabile, decarbonizare și eficiență energetică, în conformitate cu țintele PNEC pentru 2030 și cu obiectivele Planului industrial al Pactului verde european [COM (2023) 62 final].</w:t>
      </w:r>
    </w:p>
    <w:p w14:paraId="556C247F" w14:textId="1E2A984E" w:rsidR="00A15990" w:rsidRDefault="00686A62">
      <w:pPr>
        <w:pStyle w:val="P68B1DB1-Normal4"/>
        <w:spacing w:beforeLines="40" w:before="96" w:after="0" w:line="22" w:lineRule="atLeast"/>
        <w:jc w:val="both"/>
        <w:rPr>
          <w:rFonts w:cs="Times New Roman"/>
          <w:noProof/>
        </w:rPr>
      </w:pPr>
      <w:r>
        <w:rPr>
          <w:noProof/>
        </w:rPr>
        <w:t xml:space="preserve">Investițiile constau în granturi destinate întreprinderilor sau proiectelor individuale și sprijină investițiile industriale în producția de tehnologii strategice pentru tranziția climatică, care sunt direct legate de energia solară fotovoltaică și termică solară, electrolizoare și pile de combustie, energia eoliană terestră și energia din surse regenerabile offshore, biogazul/biometanul durabil, bateriile și stocarea, captarea și stocarea dioxidului de carbon, pompele de căldură, eficiența energetică, energia geotermală sau soluțiile de rețea.  </w:t>
      </w:r>
    </w:p>
    <w:p w14:paraId="30C0F048" w14:textId="78A9077F" w:rsidR="00A15990" w:rsidRDefault="00686A62">
      <w:pPr>
        <w:pStyle w:val="P68B1DB1-Normal4"/>
        <w:spacing w:beforeLines="40" w:before="96" w:after="0" w:line="22" w:lineRule="atLeast"/>
        <w:jc w:val="both"/>
        <w:rPr>
          <w:rFonts w:cs="Times New Roman"/>
          <w:noProof/>
        </w:rPr>
      </w:pPr>
      <w:r>
        <w:rPr>
          <w:noProof/>
        </w:rPr>
        <w:t>Pentru a se asigura că măsura respectă principiul de „a nu prejudicia în mod semnificativ” în temeiul Mecanismului de redresare și reziliență, astfel cum este prevăzut în Orientările tehnice de „a nu prejudicia în mod semnificativ” (2021/C58/01), criteriile de eligibilitate cuprinse în termenii de referință pentru viitoarele cereri de proiecte:</w:t>
      </w:r>
    </w:p>
    <w:p w14:paraId="74CED351" w14:textId="01F86180" w:rsidR="00A15990" w:rsidRDefault="00686A62">
      <w:pPr>
        <w:pStyle w:val="ListParagraph"/>
        <w:keepNext w:val="0"/>
        <w:numPr>
          <w:ilvl w:val="0"/>
          <w:numId w:val="118"/>
        </w:numPr>
        <w:spacing w:line="240" w:lineRule="auto"/>
        <w:rPr>
          <w:noProof/>
        </w:rPr>
      </w:pPr>
      <w:r>
        <w:rPr>
          <w:noProof/>
        </w:rPr>
        <w:t>excluderea de la eligibilitate a următoarei liste de activități și active: (I) activități și active legate de combustibilii fosili, inclusiv utilizarea în aval</w:t>
      </w:r>
      <w:r>
        <w:rPr>
          <w:rStyle w:val="FootnoteReference"/>
          <w:noProof/>
        </w:rPr>
        <w:footnoteReference w:id="78"/>
      </w:r>
      <w:r>
        <w:rPr>
          <w:noProof/>
        </w:rPr>
        <w:t>; (II) activitățile și activele din cadrul schemei UE de comercializare a certificatelor de emisii (ETS) care realizează emisii de gaze cu efect de seră preconizate care nu sunt mai mici decât valorile de referință relevante</w:t>
      </w:r>
      <w:r>
        <w:rPr>
          <w:rStyle w:val="FootnoteReference"/>
          <w:noProof/>
        </w:rPr>
        <w:footnoteReference w:id="79"/>
      </w:r>
      <w:r>
        <w:rPr>
          <w:noProof/>
        </w:rPr>
        <w:t xml:space="preserve"> și stațiile de tratare mecano-biologică</w:t>
      </w:r>
      <w:r>
        <w:rPr>
          <w:rStyle w:val="FootnoteReference"/>
          <w:noProof/>
        </w:rPr>
        <w:footnoteReference w:id="80"/>
      </w:r>
      <w:r>
        <w:rPr>
          <w:noProof/>
        </w:rPr>
        <w:t>; (III) activități și active legate de depozitele de deșeuri, incineratoarele</w:t>
      </w:r>
      <w:r>
        <w:rPr>
          <w:rStyle w:val="FootnoteReference"/>
          <w:noProof/>
        </w:rPr>
        <w:footnoteReference w:id="81"/>
      </w:r>
      <w:r>
        <w:rPr>
          <w:noProof/>
        </w:rPr>
        <w:t xml:space="preserve"> și stațiile de tratare mecano-biologică</w:t>
      </w:r>
      <w:r>
        <w:rPr>
          <w:rStyle w:val="FootnoteReference"/>
          <w:noProof/>
        </w:rPr>
        <w:footnoteReference w:id="82"/>
      </w:r>
      <w:r>
        <w:rPr>
          <w:noProof/>
        </w:rPr>
        <w:t xml:space="preserve">; și </w:t>
      </w:r>
    </w:p>
    <w:p w14:paraId="3D8DD079" w14:textId="77777777" w:rsidR="00A15990" w:rsidRDefault="00686A62">
      <w:pPr>
        <w:pStyle w:val="ListParagraph"/>
        <w:numPr>
          <w:ilvl w:val="0"/>
          <w:numId w:val="74"/>
        </w:numPr>
        <w:spacing w:beforeLines="40" w:before="96" w:after="0" w:line="240" w:lineRule="auto"/>
        <w:rPr>
          <w:noProof/>
        </w:rPr>
      </w:pPr>
      <w:r>
        <w:rPr>
          <w:noProof/>
        </w:rPr>
        <w:t>să solicite respectarea legislației UE și naționale relevante a destinatarului în materie de mediu.</w:t>
      </w:r>
    </w:p>
    <w:p w14:paraId="04838A27" w14:textId="77777777" w:rsidR="00A15990" w:rsidRDefault="00686A62">
      <w:pPr>
        <w:pStyle w:val="P68B1DB1-Normal4"/>
        <w:spacing w:beforeLines="40" w:before="96" w:after="0" w:line="22" w:lineRule="atLeast"/>
        <w:jc w:val="both"/>
        <w:rPr>
          <w:rFonts w:eastAsia="MS Mincho" w:cs="Times New Roman"/>
          <w:noProof/>
        </w:rPr>
      </w:pPr>
      <w:r>
        <w:rPr>
          <w:noProof/>
        </w:rPr>
        <w:t xml:space="preserve">Punerea în aplicare a acestei investiții se finalizează până la 30 iunie 2026.  </w:t>
      </w:r>
    </w:p>
    <w:p w14:paraId="2F9D54F1" w14:textId="2C2676E2"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RP-C21-r45: Competențe verzi</w:t>
      </w:r>
    </w:p>
    <w:p w14:paraId="41D07A31" w14:textId="03311566" w:rsidR="00A15990" w:rsidRDefault="00686A62">
      <w:pPr>
        <w:pStyle w:val="P68B1DB1-Normal4"/>
        <w:spacing w:beforeLines="40" w:before="96" w:after="0" w:line="22" w:lineRule="atLeast"/>
        <w:jc w:val="both"/>
        <w:rPr>
          <w:rFonts w:cs="Times New Roman"/>
          <w:noProof/>
        </w:rPr>
      </w:pPr>
      <w:r>
        <w:rPr>
          <w:noProof/>
        </w:rPr>
        <w:t xml:space="preserve">Obiectivul acestei reforme este de a crea o ofertă de formare profesională pe termen lung pentru dezvoltarea, recunoașterea, validarea și certificarea competențelor ecologice, cu scopul de a preveni riscul șomajului, de a promova păstrarea locurilor de muncă și de a stimula crearea de noi locuri de muncă. </w:t>
      </w:r>
    </w:p>
    <w:p w14:paraId="75EC7F11" w14:textId="0661E934" w:rsidR="00A15990" w:rsidRDefault="00686A62">
      <w:pPr>
        <w:pStyle w:val="P68B1DB1-Normal4"/>
        <w:spacing w:beforeLines="40" w:before="96" w:after="0" w:line="22" w:lineRule="atLeast"/>
        <w:jc w:val="both"/>
        <w:rPr>
          <w:rFonts w:cs="Times New Roman"/>
          <w:noProof/>
        </w:rPr>
      </w:pPr>
      <w:r>
        <w:rPr>
          <w:noProof/>
        </w:rPr>
        <w:t>Reforma constă în următoarele:</w:t>
      </w:r>
    </w:p>
    <w:p w14:paraId="0CD3A424" w14:textId="41E7B03D" w:rsidR="00A15990" w:rsidRDefault="00686A62">
      <w:pPr>
        <w:pStyle w:val="ListParagraph"/>
        <w:keepNext w:val="0"/>
        <w:numPr>
          <w:ilvl w:val="0"/>
          <w:numId w:val="88"/>
        </w:numPr>
        <w:spacing w:beforeLines="40" w:before="96" w:after="0" w:line="22" w:lineRule="atLeast"/>
        <w:rPr>
          <w:noProof/>
        </w:rPr>
      </w:pPr>
      <w:r>
        <w:rPr>
          <w:noProof/>
        </w:rPr>
        <w:t>Programul privind munca și competențele ecologice: să ofere formare profesională și recalificare unui număr de 12 500 de lucrători implicați în procesele de tranziție energetică ale angajatorilor lor, lucrătorilor expuși riscului de șomaj din cauza închiderii industriilor combustibililor fosili, precum și șomerilor. Acesta este pus în aplicare de Institutul pentru ocuparea forței de muncă și formare profesională prin cursuri de formare pe termen scurt și mediu și ar trebui să se concentreze pe dezvoltarea competențelor verzi.</w:t>
      </w:r>
    </w:p>
    <w:p w14:paraId="480A983D" w14:textId="34B135A1" w:rsidR="00A15990" w:rsidRDefault="00686A62">
      <w:pPr>
        <w:pStyle w:val="ListParagraph"/>
        <w:keepNext w:val="0"/>
        <w:numPr>
          <w:ilvl w:val="0"/>
          <w:numId w:val="88"/>
        </w:numPr>
        <w:spacing w:beforeLines="40" w:before="96" w:after="0" w:line="22" w:lineRule="atLeast"/>
        <w:rPr>
          <w:noProof/>
        </w:rPr>
      </w:pPr>
      <w:r>
        <w:rPr>
          <w:noProof/>
        </w:rPr>
        <w:t xml:space="preserve">Cursuri în cadrul Centrului de formare pentru tranziția energetică: furnizarea de formare pe termen lung pentru încă 12 500 de persoane în domeniul tranziției energetice și al acțiunilor climatice, inclusiv în domeniul energiei din surse regenerabile, al hidrogenului verde, al combustibililor sintetici nebiologici și al eficienței energetice. </w:t>
      </w:r>
    </w:p>
    <w:p w14:paraId="492E8053" w14:textId="095C1539" w:rsidR="00A15990" w:rsidRDefault="00686A62">
      <w:pPr>
        <w:pStyle w:val="P68B1DB1-Normal4"/>
        <w:spacing w:beforeLines="40" w:before="96" w:after="0" w:line="22" w:lineRule="atLeast"/>
        <w:jc w:val="both"/>
        <w:rPr>
          <w:noProof/>
        </w:rPr>
      </w:pPr>
      <w:r>
        <w:rPr>
          <w:noProof/>
        </w:rPr>
        <w:t xml:space="preserve">Pe lângă beneficiarii programului de lucru și competențe verzi, se acordă prioritate acelor beneficiari care doresc să dobândească competențe identificate ca fiind esențiale pentru executarea proiectelor privind sursele regenerabile de energie (inclusiv hidrogenul) și eficiența energetică. </w:t>
      </w:r>
    </w:p>
    <w:p w14:paraId="2E4CC163" w14:textId="3B761BEC" w:rsidR="00A15990" w:rsidRDefault="00686A62">
      <w:pPr>
        <w:pStyle w:val="P68B1DB1-Normal4"/>
        <w:spacing w:beforeLines="40" w:before="96" w:after="0" w:line="22" w:lineRule="atLeast"/>
        <w:jc w:val="both"/>
        <w:rPr>
          <w:rFonts w:eastAsiaTheme="minorEastAsia" w:cs="Times New Roman"/>
          <w:noProof/>
        </w:rPr>
      </w:pPr>
      <w:r>
        <w:rPr>
          <w:noProof/>
        </w:rPr>
        <w:t xml:space="preserve">Parcursurile de formare se elaborează în funcție de nevoile identificate de piață și de asociațiile industriale. Actorii din domeniul energiei din surse regenerabile și al eficienței energetice identifică competențele considerate esențiale pe baza cererii de pe piața forței de muncă. Conținutul formării trebuie să reflecte aceste nevoi. Oferta de formare este elaborată de Centrul de formare pentru tranziția energetică. </w:t>
      </w:r>
      <w:bookmarkStart w:id="43" w:name="_Int_OV5GmRrb"/>
      <w:bookmarkStart w:id="44" w:name="_Int_knsy2AsN"/>
      <w:bookmarkEnd w:id="43"/>
      <w:bookmarkEnd w:id="44"/>
    </w:p>
    <w:p w14:paraId="1A64A2BF" w14:textId="77777777" w:rsidR="00A15990" w:rsidRDefault="00686A62">
      <w:pPr>
        <w:pStyle w:val="P68B1DB1-Normal4"/>
        <w:spacing w:beforeLines="40" w:before="96" w:after="0" w:line="22" w:lineRule="atLeast"/>
        <w:jc w:val="both"/>
        <w:rPr>
          <w:rFonts w:cs="Times New Roman"/>
          <w:noProof/>
        </w:rPr>
      </w:pPr>
      <w:r>
        <w:rPr>
          <w:noProof/>
        </w:rPr>
        <w:t xml:space="preserve">Punerea în aplicare a reformei se finalizează până la 31 decembrie 2025.  </w:t>
      </w:r>
    </w:p>
    <w:p w14:paraId="52BA1BAC" w14:textId="753C1FAF"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RP-C21-r46: Cadrul de reglementare pentru hidrogenul din surse regenerabile</w:t>
      </w:r>
    </w:p>
    <w:p w14:paraId="48C489B3" w14:textId="77777777" w:rsidR="00A15990" w:rsidRDefault="00686A62">
      <w:pPr>
        <w:pStyle w:val="P68B1DB1-Normal4"/>
        <w:spacing w:before="40" w:after="0" w:line="259" w:lineRule="auto"/>
        <w:jc w:val="both"/>
        <w:rPr>
          <w:rFonts w:cs="Times New Roman"/>
          <w:noProof/>
        </w:rPr>
      </w:pPr>
      <w:r>
        <w:rPr>
          <w:noProof/>
        </w:rPr>
        <w:t>Obiectivul acestei reforme este de a încuraja promovarea hidrogenului din surse regenerabile ca parte a unei strategii de tranziție mai cuprinzătoare către o economie decarbonizată. Această reformă urmărește, de asemenea, să creeze condițiile pentru decarbonizarea rețelei de gaze naturale și să contribuie la dezvoltarea lanțului valoric al hidrogenului din surse regenerabile.</w:t>
      </w:r>
    </w:p>
    <w:p w14:paraId="36E3674D" w14:textId="1E98692D" w:rsidR="00A15990" w:rsidRDefault="00686A62">
      <w:pPr>
        <w:pStyle w:val="P68B1DB1-Normal4"/>
        <w:spacing w:before="40" w:after="0" w:line="259" w:lineRule="auto"/>
        <w:jc w:val="both"/>
        <w:rPr>
          <w:rFonts w:cs="Times New Roman"/>
          <w:noProof/>
        </w:rPr>
      </w:pPr>
      <w:r>
        <w:rPr>
          <w:noProof/>
        </w:rPr>
        <w:t xml:space="preserve">Reforma constă în revizuirea Regulamentului privind Rețeaua Națională de Transport al Gazelor și a Regulamentului privind Rețeaua Națională de Distribuție a Gazelor, care urmează să fie aprobate de Direcția Generală Energie și Geologie (respectiv Ordinul nr. 806-B/2022 și Ordinul nr. 806-C/2022). Cele două regulamente modificate stabilesc criteriile tehnice și aspectele operaționale pentru producția de hidrogen din surse regenerabile, certificarea, transportul, stocarea, evitarea scurgerilor și, dacă este cazul, pentru injectarea în rețeaua de gaze, definind entitatea responsabilă cu gestionarea injectării și stabilind criterii pentru a nu depăși concentrația maximă permisă de hidrogen în rețeaua de gaze (în conformitate cu Strategia națională portugheză revizuită privind hidrogenul). Ele definesc, de asemenea, utilizatorii finali ai hidrogenului din surse regenerabile în conformitate cu strategia UE privind hidrogenul, vizând aplicațiile dificil de decarbonizat în sectoarele industriei și transporturilor, precum și norme de asigurare a transparenței cu privire la sistemul de facturare, capacitatea de încălzire și calitatea gazului [cum ar fi valoarea calorică brută (PCS), indicele Wobbe (indicatorul de calitate al arderii) și prezența unor componente suplimentare (cum ar fi CO2, hidrocarburi, H2O, sulf etc.).  </w:t>
      </w:r>
    </w:p>
    <w:p w14:paraId="4CFED58E" w14:textId="3EFE5584" w:rsidR="00A15990" w:rsidRDefault="00686A62">
      <w:pPr>
        <w:pStyle w:val="P68B1DB1-Normal4"/>
        <w:spacing w:before="40" w:after="0" w:line="259" w:lineRule="auto"/>
        <w:jc w:val="both"/>
        <w:rPr>
          <w:rFonts w:cs="Times New Roman"/>
          <w:noProof/>
        </w:rPr>
      </w:pPr>
      <w:r>
        <w:rPr>
          <w:noProof/>
        </w:rPr>
        <w:t>În plus, un act administrativ sau juridic se publică în Jurnalul Oficial – Diário da República și intră în vigoare în care se precizează că numai unitățile industriale care respectă cerințele Directivei privind energia din surse regenerabile și ale actelor sale delegate (2018/2001/UE) sunt considerate instalații de producere a hidrogenului din surse regenerabile. Actul stabilește, de asemenea, procedura care trebuie urmată de solicitanții de autorizații de producere a gazelor de origine regenerabilă, impunând celor care solicită o licență să depună o declarație prin care să își asume angajamentul de a îndeplini cerințele privind utilizarea energiei din surse regenerabile, astfel cum sunt prevăzute în Directiva privind energia din surse regenerabile și în actele delegate ale acesteia (2018/2001/UE), și să asigure originea regenerabilă a hidrogenului produs.</w:t>
      </w:r>
    </w:p>
    <w:p w14:paraId="67538798" w14:textId="16C7329E" w:rsidR="00A15990" w:rsidRDefault="00686A62">
      <w:pPr>
        <w:pStyle w:val="P68B1DB1-Normal4"/>
        <w:spacing w:before="40" w:after="0" w:line="259" w:lineRule="auto"/>
        <w:jc w:val="both"/>
        <w:rPr>
          <w:rFonts w:cs="Times New Roman"/>
          <w:noProof/>
        </w:rPr>
      </w:pPr>
      <w:r>
        <w:rPr>
          <w:noProof/>
        </w:rPr>
        <w:t>Actul administrativ sau juridic menționat anterior prevede, de asemenea, că, înainte de începerea producției de hidrogen din surse regenerabile, pentru a obține „autorizația pentru instalarea și exploatarea instalației industriale”, solicitantul trebuie să prezinte, dacă este cazul, contractul final de achiziționare a energiei din surse regenerabile pe care o consumă în procesul de producție, precum și informațiile necesare pentru a demonstra că angajamentele asumate în declarație au fost îndeplinite.</w:t>
      </w:r>
    </w:p>
    <w:p w14:paraId="0A85B859" w14:textId="77777777" w:rsidR="00A15990" w:rsidRDefault="00686A62">
      <w:pPr>
        <w:pStyle w:val="P68B1DB1-Normal4"/>
        <w:spacing w:before="40" w:after="0" w:line="259" w:lineRule="auto"/>
        <w:jc w:val="both"/>
        <w:rPr>
          <w:rFonts w:eastAsiaTheme="minorEastAsia" w:cs="Times New Roman"/>
          <w:noProof/>
        </w:rPr>
      </w:pPr>
      <w:r>
        <w:rPr>
          <w:noProof/>
        </w:rPr>
        <w:t>Punerea în aplicare a reformei se finalizează până la 30 iunie 2024.</w:t>
      </w:r>
    </w:p>
    <w:p w14:paraId="6FC4D499" w14:textId="16F151BF" w:rsidR="00A15990" w:rsidRDefault="00686A62">
      <w:pPr>
        <w:pStyle w:val="P68B1DB1-Normal5"/>
        <w:keepNext/>
        <w:spacing w:before="240" w:after="0" w:line="259" w:lineRule="auto"/>
        <w:ind w:left="851"/>
        <w:jc w:val="both"/>
        <w:outlineLvl w:val="2"/>
        <w:rPr>
          <w:rFonts w:eastAsiaTheme="minorEastAsia"/>
          <w:noProof/>
        </w:rPr>
      </w:pPr>
      <w:bookmarkStart w:id="45" w:name="bookmark30"/>
      <w:r>
        <w:rPr>
          <w:noProof/>
        </w:rPr>
        <w:t>Reforma RP-C21-r47: Prima licitație pentru planul de acțiune privind biometanul</w:t>
      </w:r>
      <w:bookmarkEnd w:id="45"/>
      <w:r>
        <w:rPr>
          <w:noProof/>
        </w:rPr>
        <w:t xml:space="preserve"> și biometanul durabil</w:t>
      </w:r>
    </w:p>
    <w:p w14:paraId="6D1CD5D5" w14:textId="1350F59D" w:rsidR="00A15990" w:rsidRDefault="00686A62">
      <w:pPr>
        <w:pStyle w:val="P68B1DB1-Normal4"/>
        <w:spacing w:before="40" w:after="0" w:line="259" w:lineRule="auto"/>
        <w:jc w:val="both"/>
        <w:rPr>
          <w:rFonts w:cs="Times New Roman"/>
          <w:noProof/>
        </w:rPr>
      </w:pPr>
      <w:r>
        <w:rPr>
          <w:noProof/>
        </w:rPr>
        <w:t xml:space="preserve">Obiectivul acestei reforme este de a promova și de a stimula producția și consumul de biometan durabil, creând condițiile necesare pentru dezvoltarea unei economii bazate pe biometan în Portugalia. </w:t>
      </w:r>
    </w:p>
    <w:p w14:paraId="06444E15" w14:textId="479A0C14" w:rsidR="00A15990" w:rsidRDefault="00686A62">
      <w:pPr>
        <w:pStyle w:val="P68B1DB1-Normal4"/>
        <w:spacing w:before="40" w:after="0" w:line="259" w:lineRule="auto"/>
        <w:jc w:val="both"/>
        <w:rPr>
          <w:rFonts w:cs="Times New Roman"/>
          <w:noProof/>
        </w:rPr>
      </w:pPr>
      <w:r>
        <w:rPr>
          <w:noProof/>
        </w:rPr>
        <w:t>Reforma presupune lansarea primei licitații pentru achiziționarea centralizată de biometan durabil de către Marketer cu ridicata (CURg), în conformitate cu Ordonanța Guvernului nr. 15/2023 din 4 ianuarie. Licitația vizează achiziționarea a 150 GWh/an de biometan pentru a fi injectat în rețeaua națională de gaze. Reforma implică, de asemenea, adoptarea Planului de acțiune privind biometanul, care stabilește o strategie pentru dezvoltarea biometanului în Portugalia. Planul de acțiune propune acțiuni pentru a asigura un cadru de reglementare favorabil, împreună cu un set de politici publice care sprijină crearea unei piețe interne pentru biometan, atât pentru a sprijini producția, cât și pentru a încuraja consumul.</w:t>
      </w:r>
    </w:p>
    <w:p w14:paraId="05743F4B" w14:textId="77777777" w:rsidR="00A15990" w:rsidRDefault="00686A62">
      <w:pPr>
        <w:pStyle w:val="P68B1DB1-Normal4"/>
        <w:spacing w:before="40" w:after="0" w:line="259" w:lineRule="auto"/>
        <w:jc w:val="both"/>
        <w:rPr>
          <w:rFonts w:eastAsiaTheme="minorEastAsia" w:cs="Times New Roman"/>
          <w:noProof/>
        </w:rPr>
      </w:pPr>
      <w:r>
        <w:rPr>
          <w:noProof/>
        </w:rPr>
        <w:t>Punerea în aplicare a reformei se finalizează până la 31 martie 2024.</w:t>
      </w:r>
    </w:p>
    <w:p w14:paraId="69A70CF0" w14:textId="37012EB1"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RP-C21-r48: Simplificarea cadrului juridic și de reglementare aplicabil proiectelor privind energia din surse regenerabile</w:t>
      </w:r>
    </w:p>
    <w:p w14:paraId="48A84454" w14:textId="77777777" w:rsidR="00A15990" w:rsidRDefault="00686A62">
      <w:pPr>
        <w:pStyle w:val="P68B1DB1-Bodytext2020"/>
        <w:spacing w:before="40" w:after="0" w:line="259" w:lineRule="auto"/>
        <w:ind w:firstLine="0"/>
        <w:jc w:val="both"/>
        <w:rPr>
          <w:rFonts w:cs="Times New Roman"/>
          <w:b/>
          <w:noProof/>
        </w:rPr>
      </w:pPr>
      <w:r>
        <w:rPr>
          <w:noProof/>
        </w:rPr>
        <w:t xml:space="preserve">Obiectivul acestei reforme este de a promova proiecte în domeniul energiei din surse regenerabile prin simplificarea cadrului juridic și de reglementare privind autorizarea energiei din surse regenerabile și formarea celor care se ocupă de autorizare și a instrumentului digital implicat. </w:t>
      </w:r>
    </w:p>
    <w:p w14:paraId="7A522EFE" w14:textId="77777777" w:rsidR="00A15990" w:rsidRDefault="00686A62">
      <w:pPr>
        <w:pStyle w:val="P68B1DB1-Bodytext2020"/>
        <w:spacing w:before="40" w:after="0" w:line="259" w:lineRule="auto"/>
        <w:ind w:firstLine="0"/>
        <w:jc w:val="both"/>
        <w:rPr>
          <w:rFonts w:cs="Times New Roman"/>
          <w:b/>
          <w:noProof/>
        </w:rPr>
      </w:pPr>
      <w:r>
        <w:rPr>
          <w:noProof/>
        </w:rPr>
        <w:t>Reforma include:</w:t>
      </w:r>
    </w:p>
    <w:p w14:paraId="3DE1B65E" w14:textId="44219824" w:rsidR="00A15990" w:rsidRDefault="00686A62">
      <w:pPr>
        <w:pStyle w:val="ListParagraph"/>
        <w:keepNext w:val="0"/>
        <w:numPr>
          <w:ilvl w:val="0"/>
          <w:numId w:val="89"/>
        </w:numPr>
        <w:spacing w:before="40" w:after="0" w:line="259" w:lineRule="auto"/>
        <w:rPr>
          <w:noProof/>
        </w:rPr>
      </w:pPr>
      <w:r>
        <w:rPr>
          <w:noProof/>
        </w:rPr>
        <w:t>Intrarea în vigoare a actului legislativ de instituire a Unității de misiuni pentru autorizarea proiectelor din domeniul energiei din surse regenerabile 2030 (uer 2030). Printre altele, sarcina lui 2030 este:</w:t>
      </w:r>
    </w:p>
    <w:p w14:paraId="171E03CD" w14:textId="77777777" w:rsidR="00A15990" w:rsidRDefault="00686A62">
      <w:pPr>
        <w:pStyle w:val="ListParagraph"/>
        <w:keepNext w:val="0"/>
        <w:numPr>
          <w:ilvl w:val="1"/>
          <w:numId w:val="89"/>
        </w:numPr>
        <w:spacing w:before="40" w:after="0" w:line="259" w:lineRule="auto"/>
        <w:rPr>
          <w:noProof/>
        </w:rPr>
      </w:pPr>
      <w:r>
        <w:rPr>
          <w:noProof/>
        </w:rPr>
        <w:t>Să asigure îndeplinirea obiectivelor Planului național revizuit privind energia și clima pentru 2030 și să accelereze punerea în aplicare a proiectelor privind energia din surse regenerabile în Portugalia;</w:t>
      </w:r>
    </w:p>
    <w:p w14:paraId="7584862B" w14:textId="77777777" w:rsidR="00A15990" w:rsidRDefault="00686A62">
      <w:pPr>
        <w:pStyle w:val="ListParagraph"/>
        <w:keepNext w:val="0"/>
        <w:numPr>
          <w:ilvl w:val="1"/>
          <w:numId w:val="89"/>
        </w:numPr>
        <w:spacing w:before="40" w:after="0" w:line="259" w:lineRule="auto"/>
        <w:rPr>
          <w:noProof/>
        </w:rPr>
      </w:pPr>
      <w:r>
        <w:rPr>
          <w:noProof/>
        </w:rPr>
        <w:t xml:space="preserve">Să elaboreze un manual de proceduri pentru a sprijini și a simplifica procedura de acordare a licențelor pentru autoconsum și comunitățile de energie din surse regenerabile; </w:t>
      </w:r>
    </w:p>
    <w:p w14:paraId="781C1063" w14:textId="77777777" w:rsidR="00A15990" w:rsidRDefault="00686A62">
      <w:pPr>
        <w:pStyle w:val="ListParagraph"/>
        <w:keepNext w:val="0"/>
        <w:numPr>
          <w:ilvl w:val="1"/>
          <w:numId w:val="89"/>
        </w:numPr>
        <w:spacing w:before="40" w:after="0" w:line="259" w:lineRule="auto"/>
        <w:rPr>
          <w:noProof/>
        </w:rPr>
      </w:pPr>
      <w:r>
        <w:rPr>
          <w:noProof/>
        </w:rPr>
        <w:t xml:space="preserve">Dezvoltarea, punerea în aplicare și gestionarea </w:t>
      </w:r>
      <w:r>
        <w:rPr>
          <w:i/>
          <w:noProof/>
        </w:rPr>
        <w:t>ghișeului unic</w:t>
      </w:r>
      <w:r>
        <w:rPr>
          <w:noProof/>
        </w:rPr>
        <w:t xml:space="preserve"> pentru autorizarea și monitorizarea proiectelor în domeniul energiei din surse regenerabile (RP-C14-i02);</w:t>
      </w:r>
    </w:p>
    <w:p w14:paraId="67AD8E0A" w14:textId="77777777" w:rsidR="00A15990" w:rsidRDefault="00686A62">
      <w:pPr>
        <w:pStyle w:val="ListParagraph"/>
        <w:keepNext w:val="0"/>
        <w:numPr>
          <w:ilvl w:val="1"/>
          <w:numId w:val="89"/>
        </w:numPr>
        <w:spacing w:before="40" w:after="0" w:line="259" w:lineRule="auto"/>
        <w:rPr>
          <w:noProof/>
        </w:rPr>
      </w:pPr>
      <w:r>
        <w:rPr>
          <w:noProof/>
        </w:rPr>
        <w:t>Elaborarea unei propuneri de program sectorial pentru zonele pretabile dezvoltării proiectelor de producere a energiei din surse regenerabile;</w:t>
      </w:r>
    </w:p>
    <w:p w14:paraId="082EFB04" w14:textId="77777777" w:rsidR="00A15990" w:rsidRDefault="00686A62">
      <w:pPr>
        <w:pStyle w:val="ListParagraph"/>
        <w:keepNext w:val="0"/>
        <w:numPr>
          <w:ilvl w:val="1"/>
          <w:numId w:val="89"/>
        </w:numPr>
        <w:spacing w:before="40" w:after="0" w:line="259" w:lineRule="auto"/>
        <w:rPr>
          <w:noProof/>
        </w:rPr>
      </w:pPr>
      <w:r>
        <w:rPr>
          <w:noProof/>
        </w:rPr>
        <w:t>Consolidarea cadrului juridic și de reglementare aplicabil acordării de licențe pentru energia electrică și de mediu pentru proiectele de energie din surse regenerabile și de stocare.</w:t>
      </w:r>
    </w:p>
    <w:p w14:paraId="0D6072B7" w14:textId="77777777" w:rsidR="00A15990" w:rsidRDefault="00686A62">
      <w:pPr>
        <w:pStyle w:val="P68B1DB1-Bodytext2020"/>
        <w:widowControl/>
        <w:numPr>
          <w:ilvl w:val="0"/>
          <w:numId w:val="89"/>
        </w:numPr>
        <w:shd w:val="clear" w:color="auto" w:fill="auto"/>
        <w:spacing w:before="40" w:after="0" w:line="259" w:lineRule="auto"/>
        <w:jc w:val="both"/>
        <w:rPr>
          <w:rFonts w:eastAsiaTheme="minorEastAsia" w:cs="Times New Roman"/>
          <w:b/>
          <w:noProof/>
        </w:rPr>
      </w:pPr>
      <w:r>
        <w:rPr>
          <w:noProof/>
        </w:rPr>
        <w:t>Reforma implică, de asemenea, instituirea unui regulament privind acordarea de licențe municipale pentru proiectele de energie din surse regenerabile și de stocare prin modificarea Ordinului ministerial 113/2015, care definește elementele relevante care trebuie prezentate pentru procedura municipală de acordare a licențelor pentru proiectele din domeniul energiei din surse regenerabile.</w:t>
      </w:r>
    </w:p>
    <w:p w14:paraId="481D9B0A" w14:textId="77777777" w:rsidR="00A15990" w:rsidRDefault="00686A62">
      <w:pPr>
        <w:pStyle w:val="P68B1DB1-Bodytext2020"/>
        <w:widowControl/>
        <w:numPr>
          <w:ilvl w:val="0"/>
          <w:numId w:val="89"/>
        </w:numPr>
        <w:shd w:val="clear" w:color="auto" w:fill="auto"/>
        <w:spacing w:before="40" w:after="0" w:line="259" w:lineRule="auto"/>
        <w:jc w:val="both"/>
        <w:rPr>
          <w:rFonts w:cs="Times New Roman"/>
          <w:b/>
          <w:noProof/>
        </w:rPr>
      </w:pPr>
      <w:r>
        <w:rPr>
          <w:noProof/>
        </w:rPr>
        <w:t>Reforma prevede, de asemenea, un calendar pentru alocarea de noi capacități de energie din surse regenerabile, cu un accent deosebit pe zonele geografice care rezultă din programul sectorial „Zonele din surse regenerabile”.</w:t>
      </w:r>
    </w:p>
    <w:p w14:paraId="32D1B031" w14:textId="77777777" w:rsidR="00A15990" w:rsidRDefault="00686A62">
      <w:pPr>
        <w:pStyle w:val="P68B1DB1-Bodytext2020"/>
        <w:widowControl/>
        <w:numPr>
          <w:ilvl w:val="0"/>
          <w:numId w:val="89"/>
        </w:numPr>
        <w:shd w:val="clear" w:color="auto" w:fill="auto"/>
        <w:spacing w:before="40" w:after="0" w:line="259" w:lineRule="auto"/>
        <w:jc w:val="both"/>
        <w:rPr>
          <w:rFonts w:cs="Times New Roman"/>
          <w:b/>
          <w:noProof/>
        </w:rPr>
      </w:pPr>
      <w:r>
        <w:rPr>
          <w:noProof/>
        </w:rPr>
        <w:t xml:space="preserve">Reforma implică, de asemenea, formarea a 500 de manageri și tehnicieni ai administrației publice centrale, regionale și locale în ceea ce privește procedurile de autorizare pentru proiectele privind energia din surse regenerabile și stocarea energiei. </w:t>
      </w:r>
    </w:p>
    <w:p w14:paraId="31610E4F" w14:textId="77777777" w:rsidR="00A15990" w:rsidRDefault="00686A62">
      <w:pPr>
        <w:pStyle w:val="P68B1DB1-Normal4"/>
        <w:spacing w:before="40" w:after="0" w:line="259" w:lineRule="auto"/>
        <w:jc w:val="both"/>
        <w:rPr>
          <w:rFonts w:cs="Times New Roman"/>
          <w:noProof/>
        </w:rPr>
      </w:pPr>
      <w:r>
        <w:rPr>
          <w:noProof/>
        </w:rPr>
        <w:t>Punerea în aplicare a reformei se finalizează până la 30 iunie 2024.</w:t>
      </w:r>
    </w:p>
    <w:p w14:paraId="2D61E7C0" w14:textId="436900C9" w:rsidR="00A15990" w:rsidRDefault="00686A62">
      <w:pPr>
        <w:pStyle w:val="P68B1DB1-Normal5"/>
        <w:keepNext/>
        <w:spacing w:before="240" w:after="0" w:line="259" w:lineRule="auto"/>
        <w:ind w:left="851"/>
        <w:jc w:val="both"/>
        <w:outlineLvl w:val="2"/>
        <w:rPr>
          <w:rFonts w:eastAsiaTheme="minorEastAsia" w:cs="Times New Roman"/>
          <w:noProof/>
        </w:rPr>
      </w:pPr>
      <w:bookmarkStart w:id="46" w:name="_Hlk140157845"/>
      <w:r>
        <w:rPr>
          <w:noProof/>
        </w:rPr>
        <w:t xml:space="preserve">Măsura de extindere </w:t>
      </w:r>
      <w:bookmarkEnd w:id="46"/>
      <w:r>
        <w:rPr>
          <w:noProof/>
        </w:rPr>
        <w:t>a investițiilor RP-C21-i06: Hidrogen și gaze din surse regenerabile</w:t>
      </w:r>
    </w:p>
    <w:p w14:paraId="20046906" w14:textId="77777777" w:rsidR="00A15990" w:rsidRDefault="00686A62">
      <w:pPr>
        <w:pStyle w:val="P68B1DB1-Normal4"/>
        <w:spacing w:before="40" w:after="0" w:line="259" w:lineRule="auto"/>
        <w:jc w:val="both"/>
        <w:rPr>
          <w:rFonts w:cs="Times New Roman"/>
          <w:noProof/>
        </w:rPr>
      </w:pPr>
      <w:r>
        <w:rPr>
          <w:noProof/>
        </w:rPr>
        <w:t xml:space="preserve">Obiectivul acestei investiții este de a extinde investițiile existente </w:t>
      </w:r>
      <w:r>
        <w:rPr>
          <w:i/>
          <w:noProof/>
        </w:rPr>
        <w:t xml:space="preserve">C14-I01: Hidrogenul și gazele din surse regenerabile </w:t>
      </w:r>
      <w:r>
        <w:rPr>
          <w:noProof/>
        </w:rPr>
        <w:t>în cadrul componentei 14.</w:t>
      </w:r>
    </w:p>
    <w:p w14:paraId="643DCE77" w14:textId="77777777" w:rsidR="00A15990" w:rsidRDefault="00686A62">
      <w:pPr>
        <w:pStyle w:val="P68B1DB1-Bodytext2020"/>
        <w:spacing w:before="40" w:after="0" w:line="259" w:lineRule="auto"/>
        <w:ind w:firstLine="0"/>
        <w:jc w:val="both"/>
        <w:rPr>
          <w:rFonts w:eastAsiaTheme="minorEastAsia" w:cs="Times New Roman"/>
          <w:b/>
          <w:noProof/>
        </w:rPr>
      </w:pPr>
      <w:r>
        <w:rPr>
          <w:noProof/>
        </w:rPr>
        <w:t>Partea extinsă a măsurii mărește capacitatea de producție a hidrogenului din surse regenerabile și a gazelor din surse regenerabile. Măsura constă în acțiuni de favorizare a producției, stocării, transportului și distribuției de gaze din surse regenerabile, cu scopul de a crește contribuția gazelor din surse regenerabile la consumul de energie, de a reduce emisiile de gaze cu efect de seră, de a reduce dependența energetică și de a îmbunătăți securitatea aprovizionării cu energie.</w:t>
      </w:r>
    </w:p>
    <w:p w14:paraId="3226896B" w14:textId="77777777" w:rsidR="00A15990" w:rsidRDefault="00686A62">
      <w:pPr>
        <w:pStyle w:val="P68B1DB1-Bodytext2020"/>
        <w:spacing w:before="40" w:after="0" w:line="259" w:lineRule="auto"/>
        <w:ind w:firstLine="0"/>
        <w:jc w:val="both"/>
        <w:rPr>
          <w:rFonts w:eastAsiaTheme="minorEastAsia" w:cs="Times New Roman"/>
          <w:b/>
          <w:noProof/>
        </w:rPr>
      </w:pPr>
      <w:r>
        <w:rPr>
          <w:noProof/>
        </w:rPr>
        <w:t xml:space="preserve">Sunt sprijinite diverse aplicații, cum ar fi utilizarea gazelor din surse regenerabile pentru transport și injectarea de gaze din surse regenerabile în rețeaua de gaze naturale. </w:t>
      </w:r>
    </w:p>
    <w:p w14:paraId="0B728DB7" w14:textId="77777777" w:rsidR="00A15990" w:rsidRDefault="00686A62">
      <w:pPr>
        <w:pStyle w:val="P68B1DB1-Bodytext2020"/>
        <w:spacing w:before="40" w:after="0" w:line="259" w:lineRule="auto"/>
        <w:ind w:firstLine="0"/>
        <w:jc w:val="both"/>
        <w:rPr>
          <w:rFonts w:eastAsiaTheme="minorEastAsia" w:cs="Times New Roman"/>
          <w:b/>
          <w:noProof/>
        </w:rPr>
      </w:pPr>
      <w:r>
        <w:rPr>
          <w:noProof/>
        </w:rPr>
        <w:t xml:space="preserve">Pentru producția de hidrogen din surse regenerabile se utilizează numai electroliza. </w:t>
      </w:r>
    </w:p>
    <w:p w14:paraId="44B34FAA" w14:textId="77777777" w:rsidR="00A15990" w:rsidRDefault="00686A62">
      <w:pPr>
        <w:pStyle w:val="P68B1DB1-Bodytext2020"/>
        <w:spacing w:before="40" w:after="0" w:line="259" w:lineRule="auto"/>
        <w:ind w:firstLine="0"/>
        <w:jc w:val="both"/>
        <w:rPr>
          <w:rFonts w:eastAsiaTheme="minorEastAsia" w:cs="Times New Roman"/>
          <w:b/>
          <w:noProof/>
        </w:rPr>
      </w:pPr>
      <w:r>
        <w:rPr>
          <w:noProof/>
        </w:rPr>
        <w:t xml:space="preserve">Pentru producerea altor gaze de origine regenerabilă se utilizează alte tehnologii: a) procese termochimice și hidrotermice (exclusiv pentru producția de biometan durabil); b) procese biologice (biophotoliză și fermentație); c) îmbogățirea cu biogaz rezultată din digestia anaerobă a materialelor din biomasă se utilizează exclusiv pentru producția de biometan durabil (producția de biogaz ar putea fi sprijinită dacă include și transformarea biogazului în biometan durabil); și d) metanizarea se produce numai din deșeuri biologice. </w:t>
      </w:r>
    </w:p>
    <w:p w14:paraId="2E0410B7" w14:textId="77C7C6FA" w:rsidR="00A15990" w:rsidRDefault="00686A62">
      <w:pPr>
        <w:pStyle w:val="P68B1DB1-Bodytext2020"/>
        <w:spacing w:before="40" w:after="0" w:line="259" w:lineRule="auto"/>
        <w:ind w:firstLine="0"/>
        <w:jc w:val="both"/>
        <w:rPr>
          <w:rFonts w:eastAsiaTheme="minorEastAsia" w:cs="Times New Roman"/>
          <w:b/>
          <w:noProof/>
        </w:rPr>
      </w:pPr>
      <w:r>
        <w:rPr>
          <w:noProof/>
        </w:rPr>
        <w:t xml:space="preserve">Producția de hidrogen din surse regenerabile și alte gaze de origine regenerabilă trebuie să respecte Directiva privind energia din surse regenerabile și actele sale delegate (2018/2001/UE). </w:t>
      </w:r>
    </w:p>
    <w:p w14:paraId="6D01FBCB" w14:textId="34B7C01C" w:rsidR="00A15990" w:rsidRDefault="00686A62">
      <w:pPr>
        <w:pStyle w:val="P68B1DB1-Bodytext2020"/>
        <w:spacing w:before="40" w:after="0" w:line="259" w:lineRule="auto"/>
        <w:ind w:firstLine="0"/>
        <w:jc w:val="both"/>
        <w:rPr>
          <w:rFonts w:eastAsiaTheme="minorEastAsia" w:cs="Times New Roman"/>
          <w:b/>
          <w:noProof/>
        </w:rPr>
      </w:pPr>
      <w:r>
        <w:rPr>
          <w:noProof/>
        </w:rPr>
        <w:t xml:space="preserve">Investițiile trebuie să pună un accent foarte specific și să vizeze creșterea capacității instalate pentru producția de hidrogen din surse regenerabile și de alte gaze din surse regenerabile, inclusiv capacitatea instalată în electrolizoare pentru producția de hidrogen din surse regenerabile. Proiectul este pus în aplicare prin intermediul unei (unor) cereri de oferte deschise, cu scopul de a sprijini proiecte cu o valoare maximă de 15 000 000 EUR pe proiect. </w:t>
      </w:r>
    </w:p>
    <w:p w14:paraId="0025873F" w14:textId="77777777" w:rsidR="00A15990" w:rsidRDefault="00686A62">
      <w:pPr>
        <w:pStyle w:val="P68B1DB1-Bodytext2020"/>
        <w:spacing w:before="40" w:after="0" w:line="259" w:lineRule="auto"/>
        <w:ind w:firstLine="0"/>
        <w:jc w:val="both"/>
        <w:rPr>
          <w:rFonts w:eastAsiaTheme="minorEastAsia" w:cs="Times New Roman"/>
          <w:b/>
          <w:noProof/>
        </w:rPr>
      </w:pPr>
      <w:r>
        <w:rPr>
          <w:noProof/>
        </w:rPr>
        <w:t>Această măsură sprijină tehnologiile mature (TRL &gt; 8), încurajând nu numai producția de hidrogen din surse regenerabile, ci și producția de alte gaze din surse regenerabile prin valorificarea energetică a componentei organice a deșeurilor municipale, a nămolurilor provenite de la stațiile de epurare a apelor uzate, a efluenților agricoli și industriali, printre altele (cu excepția deșeurilor de plastic). Producția de combustibili pe bază de carbon reciclat nu este prevăzută ca parte a acestei investiții.</w:t>
      </w:r>
    </w:p>
    <w:p w14:paraId="46B6D36C" w14:textId="77777777" w:rsidR="00A15990" w:rsidRDefault="00686A62">
      <w:pPr>
        <w:pStyle w:val="P68B1DB1-Bodytext2020"/>
        <w:spacing w:before="40" w:after="0" w:line="259" w:lineRule="auto"/>
        <w:ind w:firstLine="0"/>
        <w:jc w:val="both"/>
        <w:rPr>
          <w:rFonts w:eastAsiaTheme="minorEastAsia" w:cs="Times New Roman"/>
          <w:b/>
          <w:noProof/>
        </w:rPr>
      </w:pPr>
      <w:r>
        <w:rPr>
          <w:noProof/>
        </w:rPr>
        <w:t>Punerea în aplicare a investiției se va finaliza până la 30 iunie 2026.</w:t>
      </w:r>
    </w:p>
    <w:p w14:paraId="1D5BE002" w14:textId="08876800" w:rsidR="00A15990" w:rsidRDefault="00686A62">
      <w:pPr>
        <w:pStyle w:val="P68B1DB1-Normal5"/>
        <w:keepNext/>
        <w:spacing w:before="240" w:after="0" w:line="259" w:lineRule="auto"/>
        <w:ind w:left="851"/>
        <w:jc w:val="both"/>
        <w:outlineLvl w:val="2"/>
        <w:rPr>
          <w:rFonts w:eastAsiaTheme="minorEastAsia" w:cs="Times New Roman"/>
          <w:noProof/>
        </w:rPr>
      </w:pPr>
      <w:bookmarkStart w:id="47" w:name="bookmark45"/>
      <w:r>
        <w:rPr>
          <w:noProof/>
        </w:rPr>
        <w:t>Investiția RP-C21-i07: Studii tehnice privind potențialul energetic offshore</w:t>
      </w:r>
      <w:bookmarkEnd w:id="47"/>
    </w:p>
    <w:p w14:paraId="68AD5D6E" w14:textId="77777777" w:rsidR="00A15990" w:rsidRDefault="00686A62">
      <w:pPr>
        <w:pStyle w:val="P68B1DB1-Bodytext2020"/>
        <w:spacing w:before="40" w:after="0" w:line="259" w:lineRule="auto"/>
        <w:ind w:firstLine="0"/>
        <w:jc w:val="both"/>
        <w:rPr>
          <w:rFonts w:eastAsiaTheme="minorEastAsia" w:cs="Times New Roman"/>
          <w:noProof/>
        </w:rPr>
      </w:pPr>
      <w:bookmarkStart w:id="48" w:name="_Hlk137476371"/>
      <w:r>
        <w:rPr>
          <w:noProof/>
        </w:rPr>
        <w:t xml:space="preserve">Obiectivul acestei investiții este de a permite statului portughez să desfășoare proceduri competitive de atribuire pentru instalarea de capacități eoliene offshore plutitoare. </w:t>
      </w:r>
    </w:p>
    <w:p w14:paraId="023D26BD" w14:textId="77777777" w:rsidR="00A15990" w:rsidRDefault="00686A62">
      <w:pPr>
        <w:pStyle w:val="P68B1DB1-Bodytext2020"/>
        <w:spacing w:before="40" w:after="0" w:line="259" w:lineRule="auto"/>
        <w:ind w:firstLine="0"/>
        <w:jc w:val="both"/>
        <w:rPr>
          <w:rFonts w:eastAsiaTheme="minorEastAsia" w:cs="Times New Roman"/>
          <w:noProof/>
        </w:rPr>
      </w:pPr>
      <w:r>
        <w:rPr>
          <w:noProof/>
        </w:rPr>
        <w:t xml:space="preserve">Investiția constă în dezvoltarea unor studii geofizice, geotehnice, eoliene, valuri și actuale de înaltă rezoluție, pe o suprafață de cel puțin 2 000 km² în Oceanul Atlantic. După finalizarea lor, studiile servesc drept bază pentru lansarea de licitații ulterioare pentru zonele offshore enumerate în Planul național de situație a amenajării spațiului maritim (PSOEM). </w:t>
      </w:r>
    </w:p>
    <w:p w14:paraId="609A2BBF" w14:textId="28DEB11B" w:rsidR="00A15990" w:rsidRDefault="00686A62">
      <w:pPr>
        <w:pStyle w:val="P68B1DB1-Bodytext2020"/>
        <w:spacing w:before="40" w:after="0" w:line="259" w:lineRule="auto"/>
        <w:ind w:firstLine="0"/>
        <w:jc w:val="both"/>
        <w:rPr>
          <w:rFonts w:eastAsiaTheme="minorEastAsia" w:cs="Times New Roman"/>
          <w:noProof/>
        </w:rPr>
      </w:pPr>
      <w:r>
        <w:rPr>
          <w:noProof/>
        </w:rPr>
        <w:t xml:space="preserve">Punerea în aplicare a investiției se va finaliza până la 30 iunie 2026. </w:t>
      </w:r>
    </w:p>
    <w:bookmarkEnd w:id="48"/>
    <w:p w14:paraId="42F0CC47" w14:textId="36768B60"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RP-C21-i08: Flexibilitatea rețelei și stocarea</w:t>
      </w:r>
    </w:p>
    <w:p w14:paraId="2AD9942A" w14:textId="77777777" w:rsidR="00A15990" w:rsidRDefault="00686A62">
      <w:pPr>
        <w:pStyle w:val="P68B1DB1-Bodytext2020"/>
        <w:spacing w:before="40" w:after="0" w:line="259" w:lineRule="auto"/>
        <w:ind w:firstLine="0"/>
        <w:jc w:val="both"/>
        <w:rPr>
          <w:rFonts w:eastAsiaTheme="minorEastAsia" w:cs="Times New Roman"/>
          <w:noProof/>
        </w:rPr>
      </w:pPr>
      <w:r>
        <w:rPr>
          <w:noProof/>
        </w:rPr>
        <w:t xml:space="preserve">Obiectivul acestei investiții este de a spori flexibilitatea în rețeaua publică de energie electrică, permițând optimizarea și gestionarea flexibilă a sistemului de energie electrică, având în vedere, de asemenea, creșterea preconizată a producției și a consumului de energie electrică din surse regenerabile. </w:t>
      </w:r>
    </w:p>
    <w:p w14:paraId="7815D6F6" w14:textId="0347E7C2" w:rsidR="00A15990" w:rsidRDefault="00686A62">
      <w:pPr>
        <w:pStyle w:val="P68B1DB1-Bodytext2020"/>
        <w:spacing w:before="40" w:after="0" w:line="259" w:lineRule="auto"/>
        <w:ind w:firstLine="0"/>
        <w:jc w:val="both"/>
        <w:rPr>
          <w:rFonts w:eastAsiaTheme="minorEastAsia" w:cs="Times New Roman"/>
          <w:noProof/>
        </w:rPr>
      </w:pPr>
      <w:r>
        <w:rPr>
          <w:noProof/>
        </w:rPr>
        <w:t>Investiția include sprijin pentru instalarea unei capacități de stocare a energiei de cel puțin 500 MW în rețeaua de energie electrică (atât la nivel de transport, cât și la nivel de distribuție). Capacitatea de stocare se alocă pe baza identificării prealabile a zonelor care au cea mai mare nevoie de sprijin, cum ar fi cele cu cele mai mari constrângeri ale rețelei sau cu cea mai mare penetrare a energiei din surse regenerabile. Proiectele sunt sprijinite până la 20 % din costurile eligibile.</w:t>
      </w:r>
    </w:p>
    <w:p w14:paraId="78E4950C" w14:textId="77777777" w:rsidR="00A15990" w:rsidRDefault="00686A62">
      <w:pPr>
        <w:pStyle w:val="P68B1DB1-Bodytext2020"/>
        <w:spacing w:before="40" w:after="0" w:line="259" w:lineRule="auto"/>
        <w:ind w:firstLine="0"/>
        <w:jc w:val="both"/>
        <w:rPr>
          <w:rFonts w:eastAsiaTheme="minorEastAsia" w:cs="Times New Roman"/>
          <w:noProof/>
        </w:rPr>
      </w:pPr>
      <w:r>
        <w:rPr>
          <w:noProof/>
        </w:rPr>
        <w:t>Punerea în aplicare a acestei investiții se finalizează până la 31 decembrie 2025.</w:t>
      </w:r>
    </w:p>
    <w:p w14:paraId="60EBD781" w14:textId="7CCDA1C9" w:rsidR="00A15990" w:rsidRDefault="00686A62">
      <w:pPr>
        <w:pStyle w:val="P68B1DB1-Normal5"/>
        <w:keepNext/>
        <w:spacing w:before="240" w:after="0" w:line="259" w:lineRule="auto"/>
        <w:ind w:left="851"/>
        <w:jc w:val="both"/>
        <w:outlineLvl w:val="2"/>
        <w:rPr>
          <w:rFonts w:eastAsiaTheme="minorEastAsia" w:cs="Times New Roman"/>
          <w:noProof/>
        </w:rPr>
      </w:pPr>
      <w:bookmarkStart w:id="49" w:name="_Toc137472488"/>
      <w:r>
        <w:rPr>
          <w:noProof/>
        </w:rPr>
        <w:t xml:space="preserve">Investiția RP-C21-i09: Ghișeul unic pentru autorizarea și monitorizarea proiectelor în </w:t>
      </w:r>
      <w:bookmarkEnd w:id="49"/>
      <w:r>
        <w:rPr>
          <w:noProof/>
        </w:rPr>
        <w:t>domeniul energiei din surse regenerabile</w:t>
      </w:r>
    </w:p>
    <w:p w14:paraId="52B75311" w14:textId="7CBD5A8C" w:rsidR="00A15990" w:rsidRDefault="00686A62">
      <w:pPr>
        <w:pStyle w:val="P68B1DB1-Normal4"/>
        <w:spacing w:beforeLines="40" w:before="96" w:after="0" w:line="22" w:lineRule="atLeast"/>
        <w:jc w:val="both"/>
        <w:rPr>
          <w:rFonts w:cs="Times New Roman"/>
          <w:noProof/>
        </w:rPr>
      </w:pPr>
      <w:r>
        <w:rPr>
          <w:noProof/>
        </w:rPr>
        <w:t xml:space="preserve">Scopul acestei investiții este de a facilita dezvoltarea de proiecte în domeniul energiei din surse regenerabile prin dezvoltarea unei platforme digitale unice de autorizare și monitorizare a proiectelor privind energia din surse regenerabile. </w:t>
      </w:r>
    </w:p>
    <w:p w14:paraId="5DFA9FE5" w14:textId="6B59B56A" w:rsidR="00A15990" w:rsidRDefault="00686A62">
      <w:pPr>
        <w:pStyle w:val="P68B1DB1-Normal4"/>
        <w:spacing w:beforeLines="40" w:before="96" w:after="0" w:line="22" w:lineRule="atLeast"/>
        <w:jc w:val="both"/>
        <w:rPr>
          <w:rFonts w:cs="Times New Roman"/>
          <w:noProof/>
        </w:rPr>
      </w:pPr>
      <w:r>
        <w:rPr>
          <w:noProof/>
        </w:rPr>
        <w:t>Investiția constă în dezvoltarea și lansarea platformei digitale de tip ghișeu unic. Platforma include următoarele funcții:</w:t>
      </w:r>
    </w:p>
    <w:p w14:paraId="72D50388" w14:textId="364D295F" w:rsidR="00A15990" w:rsidRDefault="00686A62">
      <w:pPr>
        <w:pStyle w:val="ListParagraph"/>
        <w:keepNext w:val="0"/>
        <w:numPr>
          <w:ilvl w:val="0"/>
          <w:numId w:val="91"/>
        </w:numPr>
        <w:spacing w:beforeLines="40" w:before="96" w:after="0" w:line="22" w:lineRule="atLeast"/>
        <w:rPr>
          <w:rFonts w:eastAsia="MS Mincho"/>
          <w:noProof/>
        </w:rPr>
      </w:pPr>
      <w:r>
        <w:rPr>
          <w:noProof/>
        </w:rPr>
        <w:t>Modulul de acordare a licențelor pentru proiectele privind autoconsumul și comunitățile de energie din surse regenerabile, precum și pentru stocarea în sisteme din spatele contorului;</w:t>
      </w:r>
    </w:p>
    <w:p w14:paraId="70F57575" w14:textId="53348937" w:rsidR="00A15990" w:rsidRDefault="00686A62">
      <w:pPr>
        <w:pStyle w:val="ListParagraph"/>
        <w:keepNext w:val="0"/>
        <w:numPr>
          <w:ilvl w:val="0"/>
          <w:numId w:val="91"/>
        </w:numPr>
        <w:spacing w:beforeLines="40" w:before="96" w:after="0" w:line="22" w:lineRule="atLeast"/>
        <w:rPr>
          <w:rFonts w:eastAsia="MS Mincho"/>
          <w:noProof/>
        </w:rPr>
      </w:pPr>
      <w:r>
        <w:rPr>
          <w:noProof/>
        </w:rPr>
        <w:t>Modulul de acordare a licențelor pentru proiectele centralizate în domeniul energiei din surse regenerabile exclusiv de rețea și pentru stocarea în sisteme din spatele contorului;</w:t>
      </w:r>
    </w:p>
    <w:p w14:paraId="13A80FDA" w14:textId="77777777" w:rsidR="00A15990" w:rsidRDefault="00686A62">
      <w:pPr>
        <w:pStyle w:val="ListParagraph"/>
        <w:keepNext w:val="0"/>
        <w:numPr>
          <w:ilvl w:val="0"/>
          <w:numId w:val="91"/>
        </w:numPr>
        <w:spacing w:beforeLines="40" w:before="96" w:after="0" w:line="22" w:lineRule="atLeast"/>
        <w:rPr>
          <w:rFonts w:eastAsia="MS Mincho"/>
          <w:noProof/>
        </w:rPr>
      </w:pPr>
      <w:r>
        <w:rPr>
          <w:noProof/>
        </w:rPr>
        <w:t xml:space="preserve">Modulul de acordare a licențelor pentru proiectele exclusiv legate de depozitare; </w:t>
      </w:r>
    </w:p>
    <w:p w14:paraId="3174EBE6" w14:textId="31F04ED3" w:rsidR="00A15990" w:rsidRDefault="00686A62">
      <w:pPr>
        <w:pStyle w:val="ListParagraph"/>
        <w:keepNext w:val="0"/>
        <w:numPr>
          <w:ilvl w:val="0"/>
          <w:numId w:val="91"/>
        </w:numPr>
        <w:spacing w:beforeLines="40" w:before="96" w:after="0" w:line="22" w:lineRule="atLeast"/>
        <w:rPr>
          <w:rFonts w:eastAsia="MS Mincho"/>
          <w:noProof/>
        </w:rPr>
      </w:pPr>
      <w:r>
        <w:rPr>
          <w:noProof/>
        </w:rPr>
        <w:t>Modulul de observabilitate și statistică pentru proiectele din domeniul energiei din surse regenerabile.</w:t>
      </w:r>
    </w:p>
    <w:p w14:paraId="6D8A97E4" w14:textId="33FAB76E" w:rsidR="00A15990" w:rsidRDefault="00686A62">
      <w:pPr>
        <w:pStyle w:val="P68B1DB1-Normal4"/>
        <w:spacing w:beforeLines="40" w:before="96" w:after="0" w:line="22" w:lineRule="atLeast"/>
        <w:jc w:val="both"/>
        <w:rPr>
          <w:rFonts w:eastAsia="MS Mincho" w:cs="Times New Roman"/>
          <w:noProof/>
        </w:rPr>
      </w:pPr>
      <w:r>
        <w:rPr>
          <w:noProof/>
        </w:rPr>
        <w:t xml:space="preserve">Ghișeul unic se dezvoltă în două etape: </w:t>
      </w:r>
    </w:p>
    <w:p w14:paraId="78F1EEA6" w14:textId="77777777" w:rsidR="00A15990" w:rsidRDefault="00686A62">
      <w:pPr>
        <w:pStyle w:val="ListParagraph"/>
        <w:keepNext w:val="0"/>
        <w:numPr>
          <w:ilvl w:val="0"/>
          <w:numId w:val="92"/>
        </w:numPr>
        <w:spacing w:beforeLines="40" w:before="96" w:after="0" w:line="22" w:lineRule="atLeast"/>
        <w:rPr>
          <w:rFonts w:eastAsia="MS Mincho"/>
          <w:noProof/>
        </w:rPr>
      </w:pPr>
      <w:r>
        <w:rPr>
          <w:noProof/>
        </w:rPr>
        <w:t xml:space="preserve">În prima etapă, platforma digitală are cele trei module de acordare a licențelor operaționale, permițând utilizatorilor să monitorizeze diferitele etape ale procedurii de acordare a licențelor (inclusiv etapele de dezvoltare, punere în funcțiune, testare și lansare). Platforma prezintă cerințele și termenele referitoare la acordarea de licențe pentru proiectele legate de energia din surse regenerabile. </w:t>
      </w:r>
    </w:p>
    <w:p w14:paraId="745D5B00" w14:textId="77777777" w:rsidR="00A15990" w:rsidRDefault="00686A62">
      <w:pPr>
        <w:pStyle w:val="ListParagraph"/>
        <w:keepNext w:val="0"/>
        <w:numPr>
          <w:ilvl w:val="0"/>
          <w:numId w:val="92"/>
        </w:numPr>
        <w:spacing w:beforeLines="40" w:before="96" w:after="0" w:line="22" w:lineRule="atLeast"/>
        <w:rPr>
          <w:noProof/>
        </w:rPr>
      </w:pPr>
      <w:r>
        <w:rPr>
          <w:noProof/>
        </w:rPr>
        <w:t xml:space="preserve">În a doua etapă, platforma digitală dispune, de asemenea, de module de observabilitate și statistici operaționale, care permit utilizatorilor să introducă date și să facă schimb de documente legate de procedurile de acordare a licențelor, precum și de punerea în aplicare a proiectului care face obiectul licenței. Platforma include caracteristici de observare la distanță (imagistică prin satelit) pentru a îmbunătăți monitorizarea punerii în aplicare a proiectelor de către autoritățile publice. </w:t>
      </w:r>
    </w:p>
    <w:p w14:paraId="3C790337" w14:textId="0383A6A5" w:rsidR="00A15990" w:rsidRDefault="00686A62">
      <w:pPr>
        <w:pStyle w:val="P68B1DB1-Normal4"/>
        <w:spacing w:beforeLines="40" w:before="96" w:after="0" w:line="22" w:lineRule="atLeast"/>
        <w:jc w:val="both"/>
        <w:rPr>
          <w:rFonts w:eastAsiaTheme="minorEastAsia" w:cs="Times New Roman"/>
          <w:noProof/>
        </w:rPr>
      </w:pPr>
      <w:r>
        <w:rPr>
          <w:noProof/>
        </w:rPr>
        <w:t xml:space="preserve">În plus, investiția include dematerializarea (digitizarea, arhivarea și eliminarea) documentelor de autorizare existente, astfel cum este stabilită de Direcția Generală Energie și Geologie. </w:t>
      </w:r>
    </w:p>
    <w:p w14:paraId="097D2455" w14:textId="77777777" w:rsidR="00A15990" w:rsidRDefault="00686A62">
      <w:pPr>
        <w:pStyle w:val="P68B1DB1-Normal4"/>
        <w:spacing w:beforeLines="40" w:before="96" w:after="0" w:line="22" w:lineRule="atLeast"/>
        <w:jc w:val="both"/>
        <w:rPr>
          <w:rFonts w:eastAsia="MS Mincho" w:cs="Times New Roman"/>
          <w:noProof/>
        </w:rPr>
      </w:pPr>
      <w:r>
        <w:rPr>
          <w:noProof/>
        </w:rPr>
        <w:t>Ghișeul unic respectă „Codul european de conduită privind eficiența energetică a centrelor de date”.</w:t>
      </w:r>
    </w:p>
    <w:p w14:paraId="20E79212" w14:textId="77777777" w:rsidR="00A15990" w:rsidRDefault="00686A62">
      <w:pPr>
        <w:pStyle w:val="P68B1DB1-Normal4"/>
        <w:spacing w:beforeLines="40" w:before="96" w:after="0" w:line="22" w:lineRule="atLeast"/>
        <w:jc w:val="both"/>
        <w:rPr>
          <w:rFonts w:cs="Times New Roman"/>
          <w:noProof/>
        </w:rPr>
      </w:pPr>
      <w:r>
        <w:rPr>
          <w:noProof/>
        </w:rPr>
        <w:t xml:space="preserve">Punerea în aplicare a acestei investiții se finalizează până la 30 iunie 2025.    </w:t>
      </w:r>
    </w:p>
    <w:p w14:paraId="359C93E7" w14:textId="1F1F1DB0"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Investiții RP-C21-i10-RAA: Sistem de stimulente pentru achiziționarea și instalarea de sisteme de stocare a energiei din surse regenerabile în Insulele Azore</w:t>
      </w:r>
    </w:p>
    <w:p w14:paraId="52E2CCD9" w14:textId="77777777" w:rsidR="00A15990" w:rsidRDefault="00686A62">
      <w:pPr>
        <w:pStyle w:val="P68B1DB1-Normal4"/>
        <w:spacing w:before="40" w:after="0" w:line="259" w:lineRule="auto"/>
        <w:jc w:val="both"/>
        <w:rPr>
          <w:rFonts w:cs="Times New Roman"/>
          <w:noProof/>
        </w:rPr>
      </w:pPr>
      <w:r>
        <w:rPr>
          <w:noProof/>
        </w:rPr>
        <w:t xml:space="preserve">Obiectivul acestei investiții este de a promova tranziția energetică în Azore, contribuind la creșterea independenței energetice a arhipelagului. </w:t>
      </w:r>
    </w:p>
    <w:p w14:paraId="61D9890E" w14:textId="77777777" w:rsidR="00A15990" w:rsidRDefault="00686A62">
      <w:pPr>
        <w:pStyle w:val="P68B1DB1-Normal4"/>
        <w:spacing w:before="40" w:after="0" w:line="259" w:lineRule="auto"/>
        <w:jc w:val="both"/>
        <w:rPr>
          <w:rFonts w:cs="Times New Roman"/>
          <w:noProof/>
        </w:rPr>
      </w:pPr>
      <w:r>
        <w:rPr>
          <w:noProof/>
        </w:rPr>
        <w:t xml:space="preserve">Investiția constă într-un sistem de stimulente pentru achiziționarea și instalarea de sisteme de stocare care vizează stocarea energiei electrice din surse regenerabile pentru autoconsum de către gospodării, întreprinderi, cooperative, organizații non-profit și instituții caritabile. Investiția trebuie să fie în conformitate cu Decretul legislativ regional 12/2023/A, care a introdus un stimulent de până la 85 % pentru achiziționarea și instalarea de sisteme de stocare a energiei, atunci când acestea sunt destinate să completeze sistemele fotovoltaice achiziționate în cadrul SOLENERGE, un program de stimulente finanțat prin planul de redresare și reziliență (C14-i03-RAA). </w:t>
      </w:r>
    </w:p>
    <w:p w14:paraId="716BD153" w14:textId="77777777" w:rsidR="00A15990" w:rsidRDefault="00686A62">
      <w:pPr>
        <w:pStyle w:val="P68B1DB1-Normal4"/>
        <w:spacing w:before="40" w:after="0" w:line="259" w:lineRule="auto"/>
        <w:jc w:val="both"/>
        <w:rPr>
          <w:rFonts w:cs="Times New Roman"/>
          <w:noProof/>
        </w:rPr>
      </w:pPr>
      <w:r>
        <w:rPr>
          <w:noProof/>
        </w:rPr>
        <w:t xml:space="preserve">Punerea în aplicare a acestei investiții se finalizează până la 31 decembrie 2025.  </w:t>
      </w:r>
    </w:p>
    <w:p w14:paraId="47B7A438" w14:textId="07C2A7E2"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RP-C21-i11-RAM: Sistem de stimulente pentru producția și stocarea energiei din surse regenerabile în Madeira și Porto Santo</w:t>
      </w:r>
    </w:p>
    <w:p w14:paraId="6B23E104" w14:textId="3138E54B" w:rsidR="00A15990" w:rsidRDefault="00686A62">
      <w:pPr>
        <w:pStyle w:val="P68B1DB1-Normal4"/>
        <w:spacing w:before="40" w:after="0" w:line="259" w:lineRule="auto"/>
        <w:jc w:val="both"/>
        <w:rPr>
          <w:rFonts w:cs="Times New Roman"/>
          <w:noProof/>
        </w:rPr>
      </w:pPr>
      <w:r>
        <w:rPr>
          <w:noProof/>
        </w:rPr>
        <w:t xml:space="preserve">Obiectivul acestei investiții este de a promova tranziția energetică în Regiunea Autonomă Madeira, inclusiv în insula Porto Santo, contribuind la creșterea independenței sale energetice. </w:t>
      </w:r>
    </w:p>
    <w:p w14:paraId="5A7C4D23" w14:textId="2D9E8807" w:rsidR="00A15990" w:rsidRDefault="00686A62">
      <w:pPr>
        <w:pStyle w:val="P68B1DB1-Normal4"/>
        <w:spacing w:before="40" w:after="0" w:line="259" w:lineRule="auto"/>
        <w:jc w:val="both"/>
        <w:rPr>
          <w:rFonts w:cs="Times New Roman"/>
          <w:noProof/>
        </w:rPr>
      </w:pPr>
      <w:r>
        <w:rPr>
          <w:noProof/>
        </w:rPr>
        <w:t>Investiția constă într-un sistem de stimulente pentru achiziționarea și instalarea de sisteme de producere și stocare a energiei electrice din surse regenerabile pentru autoconsum, precum și pentru achiziționarea și instalarea de echipamente pentru producția de apă caldă și producerea de căldură din surse regenerabile de energie de către gospodării, microîntreprinderi, întreprinderi mici și mijlocii și instituții fără scop lucrativ.</w:t>
      </w:r>
    </w:p>
    <w:p w14:paraId="6DA82D20" w14:textId="77777777" w:rsidR="00A15990" w:rsidRDefault="00686A62">
      <w:pPr>
        <w:pStyle w:val="P68B1DB1-Normal4"/>
        <w:spacing w:before="40" w:after="0" w:line="259" w:lineRule="auto"/>
        <w:jc w:val="both"/>
        <w:rPr>
          <w:rFonts w:cs="Times New Roman"/>
          <w:noProof/>
        </w:rPr>
      </w:pPr>
      <w:r>
        <w:rPr>
          <w:noProof/>
        </w:rPr>
        <w:t>Toate persoanele fizice și juridice care dețin o clădire în Regiunea Autonomă Madeira, cu excepția administrației regionale autonome, a administrației locale și a administrației directe a statului, sunt eligibile pentru alocarea de subvenții nerambursabile.</w:t>
      </w:r>
    </w:p>
    <w:p w14:paraId="67D816AA" w14:textId="77777777" w:rsidR="00A15990" w:rsidRDefault="00686A62">
      <w:pPr>
        <w:pStyle w:val="P68B1DB1-Normal4"/>
        <w:spacing w:before="40" w:after="0" w:line="259" w:lineRule="auto"/>
        <w:jc w:val="both"/>
        <w:rPr>
          <w:rFonts w:cs="Times New Roman"/>
          <w:noProof/>
        </w:rPr>
      </w:pPr>
      <w:r>
        <w:rPr>
          <w:noProof/>
        </w:rPr>
        <w:t xml:space="preserve">Punerea în aplicare a acestei investiții se finalizează până la 31 martie 2026.  </w:t>
      </w:r>
    </w:p>
    <w:p w14:paraId="28B947D6" w14:textId="51AF2C64" w:rsidR="00A15990" w:rsidRDefault="00686A62">
      <w:pPr>
        <w:pStyle w:val="P68B1DB1-Normal5"/>
        <w:keepNext/>
        <w:spacing w:before="240" w:after="0" w:line="259" w:lineRule="auto"/>
        <w:ind w:left="851"/>
        <w:jc w:val="both"/>
        <w:outlineLvl w:val="2"/>
        <w:rPr>
          <w:rFonts w:eastAsiaTheme="minorEastAsia" w:cs="Times New Roman"/>
          <w:noProof/>
        </w:rPr>
      </w:pPr>
      <w:bookmarkStart w:id="50" w:name="_Toc137472490"/>
      <w:r>
        <w:rPr>
          <w:noProof/>
        </w:rPr>
        <w:t>Investiția RP-C21-i12: Măsură extinsă: Decarbonizarea transportului public</w:t>
      </w:r>
      <w:bookmarkEnd w:id="50"/>
    </w:p>
    <w:p w14:paraId="6705B588" w14:textId="77777777" w:rsidR="00A15990" w:rsidRDefault="00686A62">
      <w:pPr>
        <w:pStyle w:val="P68B1DB1-Normal4"/>
        <w:spacing w:before="40" w:after="0" w:line="259" w:lineRule="auto"/>
        <w:jc w:val="both"/>
        <w:rPr>
          <w:rFonts w:cs="Times New Roman"/>
          <w:noProof/>
        </w:rPr>
      </w:pPr>
      <w:r>
        <w:rPr>
          <w:noProof/>
        </w:rPr>
        <w:t>Obiectivul investiției este de a extinde TC-C15-I05: Decarbonizarea transportului public în cadrul componentei 15.</w:t>
      </w:r>
    </w:p>
    <w:p w14:paraId="6112059C" w14:textId="168CF149" w:rsidR="00A15990" w:rsidRDefault="00686A62">
      <w:pPr>
        <w:pStyle w:val="P68B1DB1-Normal4"/>
        <w:spacing w:before="40" w:after="0" w:line="259" w:lineRule="auto"/>
        <w:jc w:val="both"/>
        <w:rPr>
          <w:rFonts w:cs="Times New Roman"/>
          <w:noProof/>
        </w:rPr>
      </w:pPr>
      <w:r>
        <w:rPr>
          <w:noProof/>
        </w:rPr>
        <w:t>Partea extinsă a măsurii mărește numărul de autobuze noi cu emisii zero utilizate pentru transportul public. Domeniul de aplicare al investiției se extinde de la zonele metropolitane Lisabona și Porto la întregul teritoriu continental portughez și include, de asemenea, instalarea de stații de reîncărcare sau de realimentare.</w:t>
      </w:r>
    </w:p>
    <w:p w14:paraId="6ED94F94" w14:textId="381133EB" w:rsidR="00A15990" w:rsidRDefault="00686A62">
      <w:pPr>
        <w:pStyle w:val="P68B1DB1-Normal5"/>
        <w:keepNext/>
        <w:spacing w:before="240" w:after="0" w:line="259" w:lineRule="auto"/>
        <w:ind w:left="851"/>
        <w:jc w:val="both"/>
        <w:outlineLvl w:val="2"/>
        <w:rPr>
          <w:rFonts w:eastAsiaTheme="minorEastAsia" w:cs="Times New Roman"/>
          <w:noProof/>
        </w:rPr>
      </w:pPr>
      <w:bookmarkStart w:id="51" w:name="_Toc137472491"/>
      <w:r>
        <w:rPr>
          <w:noProof/>
        </w:rPr>
        <w:t>Investiția RP-C21-i13-RAM: Decarbonizarea transporturilor</w:t>
      </w:r>
      <w:bookmarkEnd w:id="51"/>
    </w:p>
    <w:p w14:paraId="21CED56E" w14:textId="77777777" w:rsidR="00A15990" w:rsidRDefault="00686A62">
      <w:pPr>
        <w:pStyle w:val="P68B1DB1-Normal4"/>
        <w:spacing w:before="40" w:after="0" w:line="259" w:lineRule="auto"/>
        <w:jc w:val="both"/>
        <w:rPr>
          <w:rFonts w:cs="Times New Roman"/>
          <w:noProof/>
        </w:rPr>
      </w:pPr>
      <w:r>
        <w:rPr>
          <w:noProof/>
        </w:rPr>
        <w:t xml:space="preserve">Obiectivul acestei măsuri este de a promova decarbonizarea transporturilor în Regiunea Autonomă Madeira. </w:t>
      </w:r>
    </w:p>
    <w:p w14:paraId="16DEAFC2" w14:textId="77777777" w:rsidR="00A15990" w:rsidRDefault="00686A62">
      <w:pPr>
        <w:pStyle w:val="P68B1DB1-Normal4"/>
        <w:spacing w:before="40" w:after="0" w:line="259" w:lineRule="auto"/>
        <w:jc w:val="both"/>
        <w:rPr>
          <w:rFonts w:cs="Times New Roman"/>
          <w:noProof/>
        </w:rPr>
      </w:pPr>
      <w:r>
        <w:rPr>
          <w:noProof/>
        </w:rPr>
        <w:t>Investiția include:</w:t>
      </w:r>
    </w:p>
    <w:p w14:paraId="7809744C" w14:textId="065D66D6" w:rsidR="00A15990" w:rsidRDefault="00686A62">
      <w:pPr>
        <w:pStyle w:val="P68B1DB1-Normal4"/>
        <w:spacing w:before="40" w:after="0" w:line="259" w:lineRule="auto"/>
        <w:jc w:val="both"/>
        <w:rPr>
          <w:rFonts w:cs="Times New Roman"/>
          <w:noProof/>
        </w:rPr>
      </w:pPr>
      <w:r>
        <w:rPr>
          <w:noProof/>
        </w:rPr>
        <w:t>(I) Achiziționarea a 26 autobuze cu emisii zero (electrice sau alimentate cu hidrogen) pentru transportul public de călători și servicii turistice.</w:t>
      </w:r>
    </w:p>
    <w:p w14:paraId="1DBF8B1C" w14:textId="53E2B8FF" w:rsidR="00A15990" w:rsidRDefault="00686A62">
      <w:pPr>
        <w:pStyle w:val="P68B1DB1-Normal4"/>
        <w:spacing w:before="40" w:after="0" w:line="259" w:lineRule="auto"/>
        <w:jc w:val="both"/>
        <w:rPr>
          <w:rFonts w:cs="Times New Roman"/>
          <w:noProof/>
        </w:rPr>
      </w:pPr>
      <w:r>
        <w:rPr>
          <w:noProof/>
        </w:rPr>
        <w:t xml:space="preserve">(II) Instalarea punctelor de reîncărcare necesare pentru exploatarea autobuzelor. </w:t>
      </w:r>
    </w:p>
    <w:p w14:paraId="5848829E" w14:textId="7927C66D" w:rsidR="00A15990" w:rsidRDefault="00686A62">
      <w:pPr>
        <w:pStyle w:val="P68B1DB1-Normal4"/>
        <w:spacing w:before="40" w:after="0" w:line="259" w:lineRule="auto"/>
        <w:jc w:val="both"/>
        <w:rPr>
          <w:rFonts w:cs="Times New Roman"/>
          <w:noProof/>
        </w:rPr>
      </w:pPr>
      <w:r>
        <w:rPr>
          <w:noProof/>
        </w:rPr>
        <w:t xml:space="preserve">(III) Un program de casare a vehiculelor, cu condiția ca acestea să fie înlocuite cu achiziționarea de vehicule electrice, cu o contribuție financiară maximă de 6 000 EUR pentru fiecare vehicul casat și cu stimulente în funcție de diferitele categorii socio-economice. </w:t>
      </w:r>
    </w:p>
    <w:p w14:paraId="70C7D23E" w14:textId="77777777" w:rsidR="00A15990" w:rsidRDefault="00686A62">
      <w:pPr>
        <w:pStyle w:val="P68B1DB1-Normal4"/>
        <w:spacing w:before="40" w:after="0" w:line="259" w:lineRule="auto"/>
        <w:jc w:val="both"/>
        <w:rPr>
          <w:rFonts w:cs="Times New Roman"/>
          <w:noProof/>
        </w:rPr>
      </w:pPr>
      <w:r>
        <w:rPr>
          <w:noProof/>
        </w:rPr>
        <w:t xml:space="preserve">Punerea în aplicare a acestei investiții se finalizează până la 31 martie 2026.  </w:t>
      </w:r>
    </w:p>
    <w:p w14:paraId="1AA9D1E2" w14:textId="05F4472D"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 xml:space="preserve">Investiția RP-C21-i14: Autobuz Transit rapid Braga </w:t>
      </w:r>
    </w:p>
    <w:p w14:paraId="7FE597E6" w14:textId="77777777" w:rsidR="00A15990" w:rsidRDefault="00686A62">
      <w:pPr>
        <w:pStyle w:val="P68B1DB1-Normal4"/>
        <w:spacing w:before="40" w:after="0" w:line="259" w:lineRule="auto"/>
        <w:jc w:val="both"/>
        <w:rPr>
          <w:rFonts w:cs="Times New Roman"/>
          <w:noProof/>
        </w:rPr>
      </w:pPr>
      <w:r>
        <w:rPr>
          <w:noProof/>
        </w:rPr>
        <w:t>Această investiție vizează îmbunătățirea transportului public durabil în Braga.</w:t>
      </w:r>
    </w:p>
    <w:p w14:paraId="260159BA" w14:textId="08272C53" w:rsidR="00A15990" w:rsidRDefault="00686A62">
      <w:pPr>
        <w:pStyle w:val="P68B1DB1-Normal4"/>
        <w:spacing w:before="40" w:after="0" w:line="259" w:lineRule="auto"/>
        <w:jc w:val="both"/>
        <w:rPr>
          <w:rFonts w:cs="Times New Roman"/>
          <w:noProof/>
        </w:rPr>
      </w:pPr>
      <w:r>
        <w:rPr>
          <w:noProof/>
        </w:rPr>
        <w:t>Investiția constă în crearea unui nou sistem de tranzit rapid cu autobuzul în orașul Braga. Sistemul funcționează în principal pe benzi dedicate și numai cu autobuze cu emisii zero (electrice sau alimentate cu hidrogen). Se construiesc două linii: linia galbenă dintre gara de tren și Avenida Robert Smith și Linia Roșie, între gara de tren și spitalul Braga.</w:t>
      </w:r>
    </w:p>
    <w:p w14:paraId="1CDC0220" w14:textId="36D380BF" w:rsidR="00A15990" w:rsidRDefault="00686A62">
      <w:pPr>
        <w:pStyle w:val="P68B1DB1-Normal4"/>
        <w:spacing w:before="40" w:after="0" w:line="259" w:lineRule="auto"/>
        <w:jc w:val="both"/>
        <w:rPr>
          <w:rFonts w:cs="Times New Roman"/>
          <w:noProof/>
        </w:rPr>
      </w:pPr>
      <w:r>
        <w:rPr>
          <w:noProof/>
        </w:rPr>
        <w:t xml:space="preserve">Investiția include, de asemenea, achiziționarea a zece autobuze cu emisii zero, inclusiv a stațiilor de încărcare necesare pentru exploatarea liniilor.  </w:t>
      </w:r>
    </w:p>
    <w:p w14:paraId="3F4A3907" w14:textId="77777777" w:rsidR="00A15990" w:rsidRDefault="00686A62">
      <w:pPr>
        <w:pStyle w:val="P68B1DB1-Normal4"/>
        <w:spacing w:before="40" w:after="0" w:line="259" w:lineRule="auto"/>
        <w:jc w:val="both"/>
        <w:rPr>
          <w:rFonts w:cs="Times New Roman"/>
          <w:noProof/>
        </w:rPr>
      </w:pPr>
      <w:r>
        <w:rPr>
          <w:noProof/>
        </w:rPr>
        <w:t xml:space="preserve">Punerea în aplicare a acestei investiții se finalizează până la 30 iunie 2026.  </w:t>
      </w:r>
    </w:p>
    <w:p w14:paraId="39CFA3B4" w14:textId="075B3B54" w:rsidR="00A15990" w:rsidRDefault="00686A62">
      <w:pPr>
        <w:pStyle w:val="P68B1DB1-Normal5"/>
        <w:keepNext/>
        <w:spacing w:before="240" w:after="0" w:line="259" w:lineRule="auto"/>
        <w:ind w:left="851"/>
        <w:jc w:val="both"/>
        <w:outlineLvl w:val="2"/>
        <w:rPr>
          <w:rFonts w:eastAsiaTheme="minorEastAsia" w:cs="Times New Roman"/>
          <w:noProof/>
        </w:rPr>
      </w:pPr>
      <w:bookmarkStart w:id="52" w:name="_Toc137472492"/>
      <w:r>
        <w:rPr>
          <w:noProof/>
        </w:rPr>
        <w:t xml:space="preserve">Investiții RP-C21-i15-RAA: Achiziționarea a două </w:t>
      </w:r>
      <w:bookmarkEnd w:id="52"/>
      <w:r>
        <w:rPr>
          <w:noProof/>
        </w:rPr>
        <w:t>feriboturi electrice</w:t>
      </w:r>
    </w:p>
    <w:p w14:paraId="6DC814CB" w14:textId="77777777" w:rsidR="00A15990" w:rsidRDefault="00686A62">
      <w:pPr>
        <w:pStyle w:val="P68B1DB1-Normal4"/>
        <w:spacing w:before="40" w:after="0" w:line="259" w:lineRule="auto"/>
        <w:jc w:val="both"/>
        <w:rPr>
          <w:rFonts w:cs="Times New Roman"/>
          <w:noProof/>
        </w:rPr>
      </w:pPr>
      <w:r>
        <w:rPr>
          <w:noProof/>
        </w:rPr>
        <w:t xml:space="preserve">Această investiție urmărește să stimuleze decarbonizarea transporturilor și mobilitatea internă în regiunea autonomă Azore. </w:t>
      </w:r>
    </w:p>
    <w:p w14:paraId="2FD2AFE0" w14:textId="487179FD" w:rsidR="00A15990" w:rsidRDefault="00686A62">
      <w:pPr>
        <w:pStyle w:val="P68B1DB1-Normal4"/>
        <w:spacing w:before="40" w:after="0" w:line="259" w:lineRule="auto"/>
        <w:jc w:val="both"/>
        <w:rPr>
          <w:rFonts w:cs="Times New Roman"/>
          <w:noProof/>
        </w:rPr>
      </w:pPr>
      <w:r>
        <w:rPr>
          <w:noProof/>
        </w:rPr>
        <w:t>Investiția constă în achiziționarea a două feriboturi electrice pentru societatea publică Atlanticoline S.A. pentru transportul de pasageri și de vehicule între insulele Pico, Faial și São Jorge. Feriboturile trebuie să aibă o capacitate minimă de 200 și 100 de pasageri.</w:t>
      </w:r>
    </w:p>
    <w:p w14:paraId="40B1EF3B" w14:textId="77777777" w:rsidR="00A15990" w:rsidRDefault="00686A62">
      <w:pPr>
        <w:pStyle w:val="P68B1DB1-Normal4"/>
        <w:spacing w:before="40" w:after="0" w:line="259" w:lineRule="auto"/>
        <w:jc w:val="both"/>
        <w:rPr>
          <w:rFonts w:cs="Times New Roman"/>
          <w:noProof/>
        </w:rPr>
      </w:pPr>
      <w:r>
        <w:rPr>
          <w:noProof/>
        </w:rPr>
        <w:t xml:space="preserve">Punerea în aplicare a acestei investiții se finalizează până la 31 decembrie 2025. </w:t>
      </w:r>
    </w:p>
    <w:p w14:paraId="72E1DF93" w14:textId="6FEAFE37"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Investiția RP-C21-i16: Nazaré Funicular</w:t>
      </w:r>
    </w:p>
    <w:p w14:paraId="5E4AFA32" w14:textId="77777777" w:rsidR="00A15990" w:rsidRDefault="00686A62">
      <w:pPr>
        <w:pStyle w:val="P68B1DB1-Normal4"/>
        <w:spacing w:before="40" w:after="0" w:line="259" w:lineRule="auto"/>
        <w:jc w:val="both"/>
        <w:rPr>
          <w:rFonts w:cs="Times New Roman"/>
          <w:noProof/>
        </w:rPr>
      </w:pPr>
      <w:r>
        <w:rPr>
          <w:noProof/>
        </w:rPr>
        <w:t xml:space="preserve">Această investiție vizează asigurarea unui transport public durabil în Nazaré. </w:t>
      </w:r>
    </w:p>
    <w:p w14:paraId="7D6D2A4D" w14:textId="77777777" w:rsidR="00A15990" w:rsidRDefault="00686A62">
      <w:pPr>
        <w:pStyle w:val="P68B1DB1-Normal4"/>
        <w:spacing w:before="40" w:after="0" w:line="259" w:lineRule="auto"/>
        <w:jc w:val="both"/>
        <w:rPr>
          <w:rFonts w:cs="Times New Roman"/>
          <w:noProof/>
        </w:rPr>
      </w:pPr>
      <w:r>
        <w:rPr>
          <w:noProof/>
        </w:rPr>
        <w:t>Investiția include implementarea unei soluții mecanice de transport (funicular) de aproximativ 200 metri lungime între Praia și zona Pedreneira. Funicularul este integrat în rețeaua de transport public și este accesibil bicicletelor și persoanelor cu mobilitate redusă.</w:t>
      </w:r>
    </w:p>
    <w:p w14:paraId="39B86464" w14:textId="77777777" w:rsidR="00A15990" w:rsidRDefault="00686A62">
      <w:pPr>
        <w:pStyle w:val="P68B1DB1-Normal4"/>
        <w:spacing w:before="40" w:after="0" w:line="259" w:lineRule="auto"/>
        <w:jc w:val="both"/>
        <w:rPr>
          <w:rFonts w:cs="Times New Roman"/>
          <w:noProof/>
        </w:rPr>
        <w:sectPr w:rsidR="00A15990" w:rsidSect="00E00EDD">
          <w:headerReference w:type="even" r:id="rId368"/>
          <w:headerReference w:type="default" r:id="rId369"/>
          <w:footerReference w:type="even" r:id="rId370"/>
          <w:footerReference w:type="default" r:id="rId371"/>
          <w:headerReference w:type="first" r:id="rId372"/>
          <w:footerReference w:type="first" r:id="rId373"/>
          <w:pgSz w:w="11906" w:h="16838"/>
          <w:pgMar w:top="1134" w:right="1134" w:bottom="1134" w:left="1134" w:header="567" w:footer="567" w:gutter="0"/>
          <w:cols w:space="708"/>
          <w:docGrid w:linePitch="360"/>
        </w:sectPr>
      </w:pPr>
      <w:r>
        <w:rPr>
          <w:noProof/>
        </w:rPr>
        <w:t>Punerea în aplicare a acestei investiții se finalizează până la 31 martie 2026.</w:t>
      </w:r>
    </w:p>
    <w:p w14:paraId="0274D0A2" w14:textId="267B412C"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U.2. Obiective de etapă, ținte, indicatori și calendar pentru monitorizarea și punerea în aplicare a sprijinului financiar nerambursabil</w:t>
      </w:r>
    </w:p>
    <w:p w14:paraId="7DFE2BC4" w14:textId="77777777" w:rsidR="00A15990" w:rsidRDefault="00A15990">
      <w:pPr>
        <w:spacing w:after="0"/>
        <w:jc w:val="both"/>
        <w:rPr>
          <w:rFonts w:ascii="Times New Roman" w:hAnsi="Times New Roman" w:cs="Times New Roman"/>
          <w:noProof/>
          <w:sz w:val="24"/>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701"/>
        <w:gridCol w:w="1275"/>
        <w:gridCol w:w="993"/>
        <w:gridCol w:w="992"/>
        <w:gridCol w:w="992"/>
        <w:gridCol w:w="567"/>
        <w:gridCol w:w="708"/>
        <w:gridCol w:w="3969"/>
      </w:tblGrid>
      <w:tr w:rsidR="00A15990" w14:paraId="2FB90E61" w14:textId="77777777">
        <w:trPr>
          <w:trHeight w:val="910"/>
          <w:tblHeader/>
        </w:trPr>
        <w:tc>
          <w:tcPr>
            <w:tcW w:w="1135" w:type="dxa"/>
            <w:vMerge w:val="restart"/>
            <w:shd w:val="clear" w:color="auto" w:fill="BDD6EE"/>
            <w:vAlign w:val="center"/>
            <w:hideMark/>
          </w:tcPr>
          <w:p w14:paraId="6370AB5A"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vAlign w:val="center"/>
            <w:hideMark/>
          </w:tcPr>
          <w:p w14:paraId="746A88F0"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vAlign w:val="center"/>
            <w:hideMark/>
          </w:tcPr>
          <w:p w14:paraId="361458F2" w14:textId="0F16D0C2"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701" w:type="dxa"/>
            <w:vMerge w:val="restart"/>
            <w:shd w:val="clear" w:color="auto" w:fill="BDD6EE"/>
            <w:vAlign w:val="center"/>
            <w:hideMark/>
          </w:tcPr>
          <w:p w14:paraId="45A51C32" w14:textId="77777777" w:rsidR="00A15990" w:rsidRDefault="00686A62">
            <w:pPr>
              <w:pStyle w:val="P68B1DB1-Normal6"/>
              <w:spacing w:after="0" w:line="240" w:lineRule="auto"/>
              <w:jc w:val="center"/>
              <w:rPr>
                <w:rFonts w:eastAsia="Times New Roman" w:cs="Times New Roman"/>
                <w:noProof/>
              </w:rPr>
            </w:pPr>
            <w:r>
              <w:rPr>
                <w:noProof/>
              </w:rPr>
              <w:t>Nume</w:t>
            </w:r>
          </w:p>
        </w:tc>
        <w:tc>
          <w:tcPr>
            <w:tcW w:w="1275" w:type="dxa"/>
            <w:vMerge w:val="restart"/>
            <w:shd w:val="clear" w:color="auto" w:fill="BDD6EE"/>
            <w:vAlign w:val="center"/>
            <w:hideMark/>
          </w:tcPr>
          <w:p w14:paraId="6A3793A9"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977" w:type="dxa"/>
            <w:gridSpan w:val="3"/>
            <w:shd w:val="clear" w:color="auto" w:fill="BDD6EE"/>
            <w:vAlign w:val="center"/>
            <w:hideMark/>
          </w:tcPr>
          <w:p w14:paraId="7128B101"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vAlign w:val="center"/>
            <w:hideMark/>
          </w:tcPr>
          <w:p w14:paraId="411B61CF" w14:textId="77777777" w:rsidR="00A15990" w:rsidRDefault="00686A62">
            <w:pPr>
              <w:pStyle w:val="P68B1DB1-Normal6"/>
              <w:spacing w:after="0" w:line="240" w:lineRule="auto"/>
              <w:jc w:val="center"/>
              <w:rPr>
                <w:rFonts w:eastAsia="Times New Roman" w:cs="Times New Roman"/>
                <w:noProof/>
              </w:rPr>
            </w:pPr>
            <w:r>
              <w:rPr>
                <w:noProof/>
              </w:rPr>
              <w:t>Calendar orientativ pentru finalizare</w:t>
            </w:r>
          </w:p>
        </w:tc>
        <w:tc>
          <w:tcPr>
            <w:tcW w:w="3969" w:type="dxa"/>
            <w:vMerge w:val="restart"/>
            <w:shd w:val="clear" w:color="auto" w:fill="BDD6EE"/>
            <w:vAlign w:val="center"/>
            <w:hideMark/>
          </w:tcPr>
          <w:p w14:paraId="52841226"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1758BE16" w14:textId="77777777">
        <w:trPr>
          <w:trHeight w:val="470"/>
          <w:tblHeader/>
        </w:trPr>
        <w:tc>
          <w:tcPr>
            <w:tcW w:w="1135" w:type="dxa"/>
            <w:vMerge/>
            <w:vAlign w:val="center"/>
            <w:hideMark/>
          </w:tcPr>
          <w:p w14:paraId="69695928"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098E3D09"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vAlign w:val="center"/>
            <w:hideMark/>
          </w:tcPr>
          <w:p w14:paraId="30C82C28" w14:textId="77777777" w:rsidR="00A15990" w:rsidRDefault="00A15990">
            <w:pPr>
              <w:spacing w:after="0" w:line="240" w:lineRule="auto"/>
              <w:jc w:val="center"/>
              <w:rPr>
                <w:rFonts w:ascii="Times New Roman" w:eastAsia="Times New Roman" w:hAnsi="Times New Roman" w:cs="Times New Roman"/>
                <w:b/>
                <w:noProof/>
                <w:sz w:val="18"/>
              </w:rPr>
            </w:pPr>
          </w:p>
        </w:tc>
        <w:tc>
          <w:tcPr>
            <w:tcW w:w="1701" w:type="dxa"/>
            <w:vMerge/>
            <w:vAlign w:val="center"/>
            <w:hideMark/>
          </w:tcPr>
          <w:p w14:paraId="0A52C29E" w14:textId="77777777" w:rsidR="00A15990" w:rsidRDefault="00A15990">
            <w:pPr>
              <w:spacing w:after="0" w:line="240" w:lineRule="auto"/>
              <w:jc w:val="center"/>
              <w:rPr>
                <w:rFonts w:ascii="Times New Roman" w:eastAsia="Times New Roman" w:hAnsi="Times New Roman" w:cs="Times New Roman"/>
                <w:b/>
                <w:noProof/>
                <w:sz w:val="18"/>
              </w:rPr>
            </w:pPr>
          </w:p>
        </w:tc>
        <w:tc>
          <w:tcPr>
            <w:tcW w:w="1275" w:type="dxa"/>
            <w:vMerge/>
            <w:vAlign w:val="center"/>
            <w:hideMark/>
          </w:tcPr>
          <w:p w14:paraId="2400D0D6" w14:textId="77777777" w:rsidR="00A15990" w:rsidRDefault="00A15990">
            <w:pPr>
              <w:spacing w:after="0" w:line="240" w:lineRule="auto"/>
              <w:rPr>
                <w:rFonts w:ascii="Times New Roman" w:eastAsia="Times New Roman" w:hAnsi="Times New Roman" w:cs="Times New Roman"/>
                <w:b/>
                <w:noProof/>
                <w:sz w:val="18"/>
              </w:rPr>
            </w:pPr>
          </w:p>
        </w:tc>
        <w:tc>
          <w:tcPr>
            <w:tcW w:w="993" w:type="dxa"/>
            <w:shd w:val="clear" w:color="auto" w:fill="BDD6EE"/>
            <w:vAlign w:val="center"/>
            <w:hideMark/>
          </w:tcPr>
          <w:p w14:paraId="4E586660"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vAlign w:val="center"/>
            <w:hideMark/>
          </w:tcPr>
          <w:p w14:paraId="305C5967"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992" w:type="dxa"/>
            <w:shd w:val="clear" w:color="auto" w:fill="BDD6EE"/>
            <w:vAlign w:val="center"/>
            <w:hideMark/>
          </w:tcPr>
          <w:p w14:paraId="61DE86CD"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vAlign w:val="center"/>
            <w:hideMark/>
          </w:tcPr>
          <w:p w14:paraId="30E66421"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vAlign w:val="center"/>
            <w:hideMark/>
          </w:tcPr>
          <w:p w14:paraId="119C10EB" w14:textId="77777777" w:rsidR="00A15990" w:rsidRDefault="00686A62">
            <w:pPr>
              <w:pStyle w:val="P68B1DB1-Normal6"/>
              <w:spacing w:after="0" w:line="240" w:lineRule="auto"/>
              <w:jc w:val="center"/>
              <w:rPr>
                <w:rFonts w:eastAsia="Times New Roman" w:cs="Times New Roman"/>
                <w:noProof/>
              </w:rPr>
            </w:pPr>
            <w:r>
              <w:rPr>
                <w:noProof/>
              </w:rPr>
              <w:t>Anul</w:t>
            </w:r>
          </w:p>
        </w:tc>
        <w:tc>
          <w:tcPr>
            <w:tcW w:w="3969" w:type="dxa"/>
            <w:vMerge/>
            <w:vAlign w:val="center"/>
            <w:hideMark/>
          </w:tcPr>
          <w:p w14:paraId="2B41D36D" w14:textId="77777777" w:rsidR="00A15990" w:rsidRDefault="00A15990">
            <w:pPr>
              <w:spacing w:after="0" w:line="240" w:lineRule="auto"/>
              <w:jc w:val="both"/>
              <w:rPr>
                <w:rFonts w:ascii="Times New Roman" w:eastAsia="Times New Roman" w:hAnsi="Times New Roman" w:cs="Times New Roman"/>
                <w:b/>
                <w:noProof/>
                <w:sz w:val="18"/>
              </w:rPr>
            </w:pPr>
          </w:p>
        </w:tc>
      </w:tr>
      <w:tr w:rsidR="00A15990" w14:paraId="1B415B45" w14:textId="77777777">
        <w:trPr>
          <w:trHeight w:val="430"/>
        </w:trPr>
        <w:tc>
          <w:tcPr>
            <w:tcW w:w="1135" w:type="dxa"/>
            <w:shd w:val="clear" w:color="auto" w:fill="C4EFCE"/>
            <w:vAlign w:val="center"/>
          </w:tcPr>
          <w:p w14:paraId="42812264" w14:textId="024AEF5D" w:rsidR="00A15990" w:rsidRDefault="00686A62">
            <w:pPr>
              <w:pStyle w:val="P68B1DB1-Normal11"/>
              <w:spacing w:after="0" w:line="240" w:lineRule="auto"/>
              <w:jc w:val="center"/>
              <w:rPr>
                <w:rFonts w:eastAsia="Times New Roman" w:cstheme="minorHAnsi"/>
                <w:noProof/>
              </w:rPr>
            </w:pPr>
            <w:r>
              <w:rPr>
                <w:noProof/>
              </w:rPr>
              <w:t>21.1</w:t>
            </w:r>
          </w:p>
        </w:tc>
        <w:tc>
          <w:tcPr>
            <w:tcW w:w="1276" w:type="dxa"/>
            <w:shd w:val="clear" w:color="auto" w:fill="C4EFCE"/>
            <w:noWrap/>
            <w:vAlign w:val="center"/>
          </w:tcPr>
          <w:p w14:paraId="6F112C58" w14:textId="0FCD6E79" w:rsidR="00A15990" w:rsidRDefault="00686A62">
            <w:pPr>
              <w:pStyle w:val="P68B1DB1-Normal12"/>
              <w:spacing w:after="0" w:line="240" w:lineRule="auto"/>
              <w:jc w:val="center"/>
              <w:rPr>
                <w:rFonts w:eastAsia="Times New Roman" w:cstheme="minorHAnsi"/>
                <w:noProof/>
              </w:rPr>
            </w:pPr>
            <w:r>
              <w:rPr>
                <w:noProof/>
              </w:rPr>
              <w:t>RP-C21-i01</w:t>
            </w:r>
          </w:p>
        </w:tc>
        <w:tc>
          <w:tcPr>
            <w:tcW w:w="1134" w:type="dxa"/>
            <w:shd w:val="clear" w:color="auto" w:fill="C4EFCE"/>
            <w:noWrap/>
            <w:vAlign w:val="center"/>
          </w:tcPr>
          <w:p w14:paraId="00DF19E5" w14:textId="5713C776"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9F1054A" w14:textId="2CD7F0DB" w:rsidR="00A15990" w:rsidRDefault="00686A62">
            <w:pPr>
              <w:pStyle w:val="P68B1DB1-Normal12"/>
              <w:spacing w:after="0" w:line="240" w:lineRule="auto"/>
              <w:jc w:val="center"/>
              <w:rPr>
                <w:rFonts w:eastAsia="Times New Roman" w:cstheme="minorHAnsi"/>
                <w:noProof/>
              </w:rPr>
            </w:pPr>
            <w:r>
              <w:rPr>
                <w:noProof/>
              </w:rPr>
              <w:t>Sprijin financiar pentru proiecte simplificate de decarbonizare industrială</w:t>
            </w:r>
          </w:p>
        </w:tc>
        <w:tc>
          <w:tcPr>
            <w:tcW w:w="1275" w:type="dxa"/>
            <w:shd w:val="clear" w:color="auto" w:fill="C4EFCE"/>
            <w:noWrap/>
            <w:vAlign w:val="center"/>
          </w:tcPr>
          <w:p w14:paraId="7E64A9F8" w14:textId="7B347046"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76D97C60" w14:textId="733FC61D"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1085590D" w14:textId="21F3462D" w:rsidR="00A15990" w:rsidRDefault="00686A62">
            <w:pPr>
              <w:pStyle w:val="P68B1DB1-Normal12"/>
              <w:spacing w:after="0" w:line="240" w:lineRule="auto"/>
              <w:jc w:val="center"/>
              <w:rPr>
                <w:rFonts w:eastAsia="Times New Roman" w:cstheme="minorHAnsi"/>
                <w:noProof/>
              </w:rPr>
            </w:pPr>
            <w:r>
              <w:rPr>
                <w:noProof/>
              </w:rPr>
              <w:t>310</w:t>
            </w:r>
          </w:p>
        </w:tc>
        <w:tc>
          <w:tcPr>
            <w:tcW w:w="992" w:type="dxa"/>
            <w:shd w:val="clear" w:color="auto" w:fill="C4EFCE"/>
            <w:noWrap/>
            <w:vAlign w:val="center"/>
          </w:tcPr>
          <w:p w14:paraId="66B60A08" w14:textId="70EBD20F" w:rsidR="00A15990" w:rsidRDefault="00686A62">
            <w:pPr>
              <w:pStyle w:val="P68B1DB1-Normal12"/>
              <w:spacing w:after="0" w:line="240" w:lineRule="auto"/>
              <w:jc w:val="center"/>
              <w:rPr>
                <w:rFonts w:eastAsia="Times New Roman" w:cstheme="minorHAnsi"/>
                <w:noProof/>
              </w:rPr>
            </w:pPr>
            <w:r>
              <w:rPr>
                <w:noProof/>
              </w:rPr>
              <w:t>810</w:t>
            </w:r>
          </w:p>
        </w:tc>
        <w:tc>
          <w:tcPr>
            <w:tcW w:w="567" w:type="dxa"/>
            <w:shd w:val="clear" w:color="auto" w:fill="C4EFCE"/>
            <w:noWrap/>
            <w:vAlign w:val="center"/>
          </w:tcPr>
          <w:p w14:paraId="70ABCB97" w14:textId="6E42FAD2"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09AE5546" w14:textId="1A9D3DD5"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000A03D3" w14:textId="05550CD8" w:rsidR="00A15990" w:rsidRDefault="00686A62">
            <w:pPr>
              <w:pStyle w:val="P68B1DB1-Normal12"/>
              <w:spacing w:after="0" w:line="240" w:lineRule="auto"/>
              <w:jc w:val="both"/>
              <w:rPr>
                <w:rFonts w:eastAsia="Times New Roman" w:cstheme="minorHAnsi"/>
                <w:noProof/>
              </w:rPr>
            </w:pPr>
            <w:r>
              <w:rPr>
                <w:noProof/>
              </w:rPr>
              <w:t>Numărul de proiecte care au primit sprijin financiar pentru decarbonizarea industriei și care se referă la cel puțin unul dintre următoarele domenii: procese și tehnologii cu emisii scăzute de dioxid de carbon; adoptarea de măsuri de eficiență energetică; și încorporarea energiei din surse regenerabile și stocarea energiei. Pentru instalațiile industriale care beneficiază de sprijin se asigură o reducere în medie cu 30 % a emisiilor directe și indirecte de GES pentru proiectele care se încadrează în domeniul de intervenție 024b și respectarea orientărilor tehnice de „a nu prejudicia în mod semnificativ” (2021/C58/01), inclusiv pentru instalațiile care fac obiectul schemei UE de comercializare a certificatelor de emisii, pentru a se asigura că instalațiile care beneficiază de sprijin realizează emisii de GES preconizate care se situează sub valoarea de referință stabilită pentru alocarea cu titlu gratuit, astfel cum se prevede în regulamentul de punere în aplicare (UE) 2021/447 al Comisiei.</w:t>
            </w:r>
          </w:p>
        </w:tc>
      </w:tr>
      <w:tr w:rsidR="00A15990" w14:paraId="2C3FFB3B" w14:textId="77777777">
        <w:trPr>
          <w:trHeight w:val="430"/>
        </w:trPr>
        <w:tc>
          <w:tcPr>
            <w:tcW w:w="1135" w:type="dxa"/>
            <w:shd w:val="clear" w:color="auto" w:fill="C4EFCE"/>
            <w:vAlign w:val="center"/>
          </w:tcPr>
          <w:p w14:paraId="0747785A" w14:textId="48735E30" w:rsidR="00A15990" w:rsidRDefault="00686A62">
            <w:pPr>
              <w:pStyle w:val="P68B1DB1-Normal11"/>
              <w:spacing w:after="0" w:line="240" w:lineRule="auto"/>
              <w:jc w:val="center"/>
              <w:rPr>
                <w:rFonts w:eastAsia="Times New Roman" w:cstheme="minorHAnsi"/>
                <w:noProof/>
              </w:rPr>
            </w:pPr>
            <w:r>
              <w:rPr>
                <w:noProof/>
              </w:rPr>
              <w:t>21.2</w:t>
            </w:r>
          </w:p>
        </w:tc>
        <w:tc>
          <w:tcPr>
            <w:tcW w:w="1276" w:type="dxa"/>
            <w:shd w:val="clear" w:color="auto" w:fill="C4EFCE"/>
            <w:noWrap/>
            <w:vAlign w:val="center"/>
          </w:tcPr>
          <w:p w14:paraId="5BE0D3A2" w14:textId="6FC836BB" w:rsidR="00A15990" w:rsidRDefault="00686A62">
            <w:pPr>
              <w:pStyle w:val="P68B1DB1-Normal12"/>
              <w:spacing w:after="0" w:line="240" w:lineRule="auto"/>
              <w:jc w:val="center"/>
              <w:rPr>
                <w:rFonts w:eastAsia="Times New Roman"/>
                <w:noProof/>
              </w:rPr>
            </w:pPr>
            <w:r>
              <w:rPr>
                <w:noProof/>
              </w:rPr>
              <w:t>RP-C21-i02</w:t>
            </w:r>
          </w:p>
        </w:tc>
        <w:tc>
          <w:tcPr>
            <w:tcW w:w="1134" w:type="dxa"/>
            <w:shd w:val="clear" w:color="auto" w:fill="C4EFCE"/>
            <w:noWrap/>
            <w:vAlign w:val="center"/>
          </w:tcPr>
          <w:p w14:paraId="5B23DDDE" w14:textId="3F052B9B"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A037CB2" w14:textId="4466B745" w:rsidR="00A15990" w:rsidRDefault="00686A62">
            <w:pPr>
              <w:pStyle w:val="P68B1DB1-Normal12"/>
              <w:spacing w:after="0" w:line="240" w:lineRule="auto"/>
              <w:jc w:val="center"/>
              <w:rPr>
                <w:rFonts w:eastAsia="Times New Roman" w:cstheme="minorHAnsi"/>
                <w:noProof/>
              </w:rPr>
            </w:pPr>
            <w:r>
              <w:rPr>
                <w:noProof/>
              </w:rPr>
              <w:t>Renovarea clădirilor rezidențiale private din punctul de vedere al eficienței energetice</w:t>
            </w:r>
          </w:p>
        </w:tc>
        <w:tc>
          <w:tcPr>
            <w:tcW w:w="1275" w:type="dxa"/>
            <w:shd w:val="clear" w:color="auto" w:fill="C4EFCE"/>
            <w:noWrap/>
            <w:vAlign w:val="center"/>
          </w:tcPr>
          <w:p w14:paraId="42D3737C" w14:textId="3391A35D"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022613" w14:textId="753503B1" w:rsidR="00A15990" w:rsidRDefault="00686A62">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E7B926C" w14:textId="0DDBA67F" w:rsidR="00A15990" w:rsidRDefault="00686A62">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5AD2C2C" w14:textId="1AD9FE5B" w:rsidR="00A15990" w:rsidRDefault="00686A62">
            <w:pPr>
              <w:pStyle w:val="P68B1DB1-Normal12"/>
              <w:spacing w:after="0" w:line="240" w:lineRule="auto"/>
              <w:jc w:val="center"/>
              <w:rPr>
                <w:rFonts w:eastAsia="Times New Roman" w:cstheme="minorHAnsi"/>
                <w:noProof/>
              </w:rPr>
            </w:pPr>
            <w:r>
              <w:rPr>
                <w:noProof/>
              </w:rPr>
              <w:t>6 588 000</w:t>
            </w:r>
          </w:p>
        </w:tc>
        <w:tc>
          <w:tcPr>
            <w:tcW w:w="567" w:type="dxa"/>
            <w:shd w:val="clear" w:color="auto" w:fill="C4EFCE"/>
            <w:noWrap/>
            <w:vAlign w:val="center"/>
          </w:tcPr>
          <w:p w14:paraId="3F848666" w14:textId="13CEF6EA"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5A24DEE7" w14:textId="05E31959"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450107E" w14:textId="77777777" w:rsidR="00A15990" w:rsidRDefault="00686A62">
            <w:pPr>
              <w:pStyle w:val="P68B1DB1-Bodytext1013"/>
              <w:spacing w:after="0" w:line="240" w:lineRule="auto"/>
              <w:jc w:val="both"/>
              <w:rPr>
                <w:rFonts w:cstheme="minorBidi"/>
                <w:noProof/>
              </w:rPr>
            </w:pPr>
            <w:r>
              <w:rPr>
                <w:noProof/>
              </w:rPr>
              <w:t>Suprafața clădirilor rezidențiale private renovate. Renovările vizând eficiența energetică realizează, în medie, cel puțin o renovare de amploare medie, astfel cum este definită în Recomandarea Comisiei privind renovarea clădirilor (UE) 2019/786.</w:t>
            </w:r>
          </w:p>
          <w:p w14:paraId="53883AAE" w14:textId="07B5302D" w:rsidR="00A15990" w:rsidRDefault="00686A62">
            <w:pPr>
              <w:pStyle w:val="P68B1DB1-Normal12"/>
              <w:spacing w:after="0" w:line="240" w:lineRule="auto"/>
              <w:jc w:val="both"/>
              <w:rPr>
                <w:rFonts w:eastAsia="Times New Roman"/>
                <w:noProof/>
              </w:rPr>
            </w:pPr>
            <w:r>
              <w:rPr>
                <w:noProof/>
              </w:rPr>
              <w:t>60 % din suprafața renovată în cadrul acestei investiții trebuie să fie în clădiri cu mai multe apartamente.</w:t>
            </w:r>
          </w:p>
        </w:tc>
      </w:tr>
      <w:tr w:rsidR="00A15990" w14:paraId="43A42DC3" w14:textId="77777777">
        <w:trPr>
          <w:trHeight w:val="430"/>
        </w:trPr>
        <w:tc>
          <w:tcPr>
            <w:tcW w:w="1135" w:type="dxa"/>
            <w:shd w:val="clear" w:color="auto" w:fill="C4EFCE"/>
            <w:vAlign w:val="center"/>
          </w:tcPr>
          <w:p w14:paraId="212EC2F2" w14:textId="10638F5D" w:rsidR="00A15990" w:rsidRDefault="00686A62">
            <w:pPr>
              <w:pStyle w:val="P68B1DB1-Normal11"/>
              <w:spacing w:after="0" w:line="240" w:lineRule="auto"/>
              <w:jc w:val="center"/>
              <w:rPr>
                <w:rFonts w:eastAsia="Times New Roman" w:cstheme="minorHAnsi"/>
                <w:noProof/>
              </w:rPr>
            </w:pPr>
            <w:r>
              <w:rPr>
                <w:noProof/>
              </w:rPr>
              <w:t>21.3</w:t>
            </w:r>
          </w:p>
        </w:tc>
        <w:tc>
          <w:tcPr>
            <w:tcW w:w="1276" w:type="dxa"/>
            <w:shd w:val="clear" w:color="auto" w:fill="C4EFCE"/>
            <w:noWrap/>
            <w:vAlign w:val="center"/>
          </w:tcPr>
          <w:p w14:paraId="19F97C7B" w14:textId="567F96C9" w:rsidR="00A15990" w:rsidRDefault="00686A62">
            <w:pPr>
              <w:pStyle w:val="P68B1DB1-Normal12"/>
              <w:spacing w:after="0" w:line="240" w:lineRule="auto"/>
              <w:jc w:val="center"/>
              <w:rPr>
                <w:rFonts w:eastAsia="Times New Roman" w:cstheme="minorHAnsi"/>
                <w:noProof/>
              </w:rPr>
            </w:pPr>
            <w:r>
              <w:rPr>
                <w:noProof/>
              </w:rPr>
              <w:t>RP-C21-i02</w:t>
            </w:r>
          </w:p>
        </w:tc>
        <w:tc>
          <w:tcPr>
            <w:tcW w:w="1134" w:type="dxa"/>
            <w:shd w:val="clear" w:color="auto" w:fill="C4EFCE"/>
            <w:noWrap/>
            <w:vAlign w:val="center"/>
          </w:tcPr>
          <w:p w14:paraId="132947DD" w14:textId="77C8791A"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1B6A035" w14:textId="694C7A54" w:rsidR="00A15990" w:rsidRDefault="00686A62">
            <w:pPr>
              <w:pStyle w:val="P68B1DB1-Normal12"/>
              <w:spacing w:after="0" w:line="240" w:lineRule="auto"/>
              <w:jc w:val="center"/>
              <w:rPr>
                <w:rFonts w:eastAsia="Times New Roman" w:cstheme="minorHAnsi"/>
                <w:noProof/>
              </w:rPr>
            </w:pPr>
            <w:r>
              <w:rPr>
                <w:noProof/>
              </w:rPr>
              <w:t>Capacitate suplimentară de producție de energie din surse regenerabile pentru autoconsum și pentru utilizare în sectorul rezidențial privat</w:t>
            </w:r>
          </w:p>
        </w:tc>
        <w:tc>
          <w:tcPr>
            <w:tcW w:w="1275" w:type="dxa"/>
            <w:shd w:val="clear" w:color="auto" w:fill="C4EFCE"/>
            <w:noWrap/>
            <w:vAlign w:val="center"/>
          </w:tcPr>
          <w:p w14:paraId="462CF090" w14:textId="485EB454"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5159FF3" w14:textId="7438D3FA" w:rsidR="00A15990" w:rsidRDefault="00686A62">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9A60CBC" w14:textId="43291961" w:rsidR="00A15990" w:rsidRDefault="00686A62">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24371DF" w14:textId="1ABF65F2" w:rsidR="00A15990" w:rsidRDefault="00686A62">
            <w:pPr>
              <w:pStyle w:val="P68B1DB1-Normal12"/>
              <w:spacing w:after="0" w:line="240" w:lineRule="auto"/>
              <w:jc w:val="center"/>
              <w:rPr>
                <w:rFonts w:eastAsia="Times New Roman" w:cstheme="minorHAnsi"/>
                <w:noProof/>
              </w:rPr>
            </w:pPr>
            <w:r>
              <w:rPr>
                <w:noProof/>
              </w:rPr>
              <w:t>10</w:t>
            </w:r>
          </w:p>
        </w:tc>
        <w:tc>
          <w:tcPr>
            <w:tcW w:w="567" w:type="dxa"/>
            <w:shd w:val="clear" w:color="auto" w:fill="C4EFCE"/>
            <w:noWrap/>
            <w:vAlign w:val="center"/>
          </w:tcPr>
          <w:p w14:paraId="10744F3B" w14:textId="3BB6C83C"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59104E64" w14:textId="6E2C7F09"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C1262EC" w14:textId="61BF6995" w:rsidR="00A15990" w:rsidRDefault="00686A62">
            <w:pPr>
              <w:pStyle w:val="P68B1DB1-Bodytext1013"/>
              <w:spacing w:after="0" w:line="240" w:lineRule="auto"/>
              <w:jc w:val="both"/>
              <w:rPr>
                <w:rFonts w:cstheme="minorBidi"/>
                <w:noProof/>
              </w:rPr>
            </w:pPr>
            <w:r>
              <w:rPr>
                <w:noProof/>
              </w:rPr>
              <w:t>Capacitate suplimentară de producție de energie din surse regenerabile (cum ar fi panourile fotovoltaice și bateriile, întrucât această ultimă tehnologie ajunge la maturitate) instalată pentru autoconsum și pentru utilizare în sectorul rezidențial privat.</w:t>
            </w:r>
          </w:p>
          <w:p w14:paraId="619C48DD" w14:textId="545238A6" w:rsidR="00A15990" w:rsidRDefault="00A15990">
            <w:pPr>
              <w:spacing w:after="0" w:line="240" w:lineRule="auto"/>
              <w:jc w:val="both"/>
              <w:rPr>
                <w:rFonts w:eastAsia="Times New Roman"/>
                <w:noProof/>
                <w:sz w:val="16"/>
              </w:rPr>
            </w:pPr>
          </w:p>
        </w:tc>
      </w:tr>
      <w:tr w:rsidR="00A15990" w14:paraId="73882A16" w14:textId="77777777">
        <w:trPr>
          <w:trHeight w:val="430"/>
        </w:trPr>
        <w:tc>
          <w:tcPr>
            <w:tcW w:w="1135" w:type="dxa"/>
            <w:shd w:val="clear" w:color="auto" w:fill="C4EFCE"/>
            <w:vAlign w:val="center"/>
          </w:tcPr>
          <w:p w14:paraId="15BBD858" w14:textId="5C3A7649" w:rsidR="00A15990" w:rsidRDefault="00686A62">
            <w:pPr>
              <w:pStyle w:val="P68B1DB1-Normal11"/>
              <w:spacing w:after="0" w:line="240" w:lineRule="auto"/>
              <w:jc w:val="center"/>
              <w:rPr>
                <w:rFonts w:eastAsia="Times New Roman" w:cstheme="minorHAnsi"/>
                <w:noProof/>
              </w:rPr>
            </w:pPr>
            <w:r>
              <w:rPr>
                <w:noProof/>
              </w:rPr>
              <w:t>21.4</w:t>
            </w:r>
          </w:p>
        </w:tc>
        <w:tc>
          <w:tcPr>
            <w:tcW w:w="1276" w:type="dxa"/>
            <w:shd w:val="clear" w:color="auto" w:fill="C4EFCE"/>
            <w:noWrap/>
            <w:vAlign w:val="center"/>
          </w:tcPr>
          <w:p w14:paraId="62676A47" w14:textId="49D8AEF4" w:rsidR="00A15990" w:rsidRDefault="00686A62">
            <w:pPr>
              <w:pStyle w:val="P68B1DB1-Normal12"/>
              <w:spacing w:after="0" w:line="240" w:lineRule="auto"/>
              <w:jc w:val="center"/>
              <w:rPr>
                <w:rFonts w:eastAsia="Times New Roman" w:cstheme="minorHAnsi"/>
                <w:noProof/>
              </w:rPr>
            </w:pPr>
            <w:r>
              <w:rPr>
                <w:noProof/>
              </w:rPr>
              <w:t>RP-C21-i03</w:t>
            </w:r>
          </w:p>
        </w:tc>
        <w:tc>
          <w:tcPr>
            <w:tcW w:w="1134" w:type="dxa"/>
            <w:shd w:val="clear" w:color="auto" w:fill="C4EFCE"/>
            <w:noWrap/>
            <w:vAlign w:val="center"/>
          </w:tcPr>
          <w:p w14:paraId="34651C7B" w14:textId="18BC97B7"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60269BC" w14:textId="16150F7D" w:rsidR="00A15990" w:rsidRDefault="00686A62">
            <w:pPr>
              <w:pStyle w:val="P68B1DB1-Normal12"/>
              <w:spacing w:after="0" w:line="240" w:lineRule="auto"/>
              <w:jc w:val="center"/>
              <w:rPr>
                <w:rFonts w:eastAsia="Times New Roman" w:cstheme="minorHAnsi"/>
                <w:noProof/>
              </w:rPr>
            </w:pPr>
            <w:r>
              <w:rPr>
                <w:noProof/>
              </w:rPr>
              <w:t>Renovarea clădirilor de servicii din punctul de vedere al eficienței energetice</w:t>
            </w:r>
          </w:p>
        </w:tc>
        <w:tc>
          <w:tcPr>
            <w:tcW w:w="1275" w:type="dxa"/>
            <w:shd w:val="clear" w:color="auto" w:fill="C4EFCE"/>
            <w:noWrap/>
            <w:vAlign w:val="center"/>
          </w:tcPr>
          <w:p w14:paraId="459F1CF9" w14:textId="40FFF73E"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2767D5" w14:textId="36BCCE48" w:rsidR="00A15990" w:rsidRDefault="00686A62">
            <w:pPr>
              <w:pStyle w:val="P68B1DB1-Normal12"/>
              <w:spacing w:after="0" w:line="240" w:lineRule="auto"/>
              <w:jc w:val="center"/>
              <w:rPr>
                <w:rFonts w:eastAsia="Times New Roman" w:cstheme="minorHAnsi"/>
                <w:noProof/>
              </w:rPr>
            </w:pPr>
            <w:r>
              <w:rPr>
                <w:noProof/>
              </w:rPr>
              <w:t>m²</w:t>
            </w:r>
          </w:p>
        </w:tc>
        <w:tc>
          <w:tcPr>
            <w:tcW w:w="992" w:type="dxa"/>
            <w:shd w:val="clear" w:color="auto" w:fill="C4EFCE"/>
            <w:noWrap/>
            <w:vAlign w:val="center"/>
          </w:tcPr>
          <w:p w14:paraId="76C71504" w14:textId="4B820CEF" w:rsidR="00A15990" w:rsidRDefault="00686A62">
            <w:pPr>
              <w:pStyle w:val="P68B1DB1-Normal12"/>
              <w:spacing w:after="0" w:line="240" w:lineRule="auto"/>
              <w:jc w:val="center"/>
              <w:rPr>
                <w:rFonts w:eastAsia="Times New Roman"/>
                <w:noProof/>
              </w:rPr>
            </w:pPr>
            <w:r>
              <w:rPr>
                <w:noProof/>
              </w:rPr>
              <w:t>360,000</w:t>
            </w:r>
          </w:p>
        </w:tc>
        <w:tc>
          <w:tcPr>
            <w:tcW w:w="992" w:type="dxa"/>
            <w:shd w:val="clear" w:color="auto" w:fill="C4EFCE"/>
            <w:noWrap/>
            <w:vAlign w:val="center"/>
          </w:tcPr>
          <w:p w14:paraId="4E7E34F6" w14:textId="24377808" w:rsidR="00A15990" w:rsidRDefault="00686A62">
            <w:pPr>
              <w:pStyle w:val="P68B1DB1-Normal12"/>
              <w:spacing w:after="0" w:line="240" w:lineRule="auto"/>
              <w:jc w:val="center"/>
              <w:rPr>
                <w:rFonts w:eastAsia="Times New Roman"/>
                <w:noProof/>
              </w:rPr>
            </w:pPr>
            <w:r>
              <w:rPr>
                <w:noProof/>
              </w:rPr>
              <w:t>1 060 000</w:t>
            </w:r>
          </w:p>
        </w:tc>
        <w:tc>
          <w:tcPr>
            <w:tcW w:w="567" w:type="dxa"/>
            <w:shd w:val="clear" w:color="auto" w:fill="C4EFCE"/>
            <w:noWrap/>
            <w:vAlign w:val="center"/>
          </w:tcPr>
          <w:p w14:paraId="5AC29A9B" w14:textId="18572D01"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76B212F5" w14:textId="63663A41"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3D5C6F9" w14:textId="23A297C7" w:rsidR="00A15990" w:rsidRDefault="00686A62">
            <w:pPr>
              <w:pStyle w:val="P68B1DB1-Bodytext1013"/>
              <w:spacing w:after="0" w:line="240" w:lineRule="auto"/>
              <w:jc w:val="both"/>
              <w:rPr>
                <w:rFonts w:cstheme="minorBidi"/>
                <w:noProof/>
              </w:rPr>
            </w:pPr>
            <w:r>
              <w:rPr>
                <w:noProof/>
              </w:rPr>
              <w:t>Suprafața totală a clădirilor utilizate de sectorul serviciilor care vor fi supuse unor renovări vizând eficiența energetică.</w:t>
            </w:r>
          </w:p>
          <w:p w14:paraId="288E3B5D" w14:textId="3DBE8827" w:rsidR="00A15990" w:rsidRDefault="00686A62">
            <w:pPr>
              <w:pStyle w:val="P68B1DB1-Normal12"/>
              <w:spacing w:after="0" w:line="240" w:lineRule="auto"/>
              <w:jc w:val="both"/>
              <w:rPr>
                <w:rFonts w:eastAsia="Times New Roman" w:cstheme="minorHAnsi"/>
                <w:noProof/>
              </w:rPr>
            </w:pPr>
            <w:r>
              <w:rPr>
                <w:noProof/>
              </w:rPr>
              <w:t>Renovările vizând eficiența energetică realizează, în medie, cel puțin o renovare de amploare medie, astfel cum este definită în Recomandarea Comisiei privind renovarea clădirilor (UE) 2019/786.</w:t>
            </w:r>
          </w:p>
        </w:tc>
      </w:tr>
      <w:tr w:rsidR="00A15990" w14:paraId="51B258CA" w14:textId="77777777">
        <w:trPr>
          <w:trHeight w:val="430"/>
        </w:trPr>
        <w:tc>
          <w:tcPr>
            <w:tcW w:w="1135" w:type="dxa"/>
            <w:shd w:val="clear" w:color="auto" w:fill="C4EFCE"/>
            <w:vAlign w:val="center"/>
          </w:tcPr>
          <w:p w14:paraId="2644F217" w14:textId="22F80D52" w:rsidR="00A15990" w:rsidRDefault="00686A62">
            <w:pPr>
              <w:pStyle w:val="P68B1DB1-Normal11"/>
              <w:spacing w:after="0" w:line="240" w:lineRule="auto"/>
              <w:jc w:val="center"/>
              <w:rPr>
                <w:rFonts w:eastAsia="Times New Roman" w:cstheme="minorHAnsi"/>
                <w:noProof/>
              </w:rPr>
            </w:pPr>
            <w:r>
              <w:rPr>
                <w:noProof/>
              </w:rPr>
              <w:t>21.5</w:t>
            </w:r>
          </w:p>
        </w:tc>
        <w:tc>
          <w:tcPr>
            <w:tcW w:w="1276" w:type="dxa"/>
            <w:shd w:val="clear" w:color="auto" w:fill="C4EFCE"/>
            <w:noWrap/>
            <w:vAlign w:val="center"/>
          </w:tcPr>
          <w:p w14:paraId="3E081706" w14:textId="65AC1B46" w:rsidR="00A15990" w:rsidRDefault="00686A62">
            <w:pPr>
              <w:pStyle w:val="P68B1DB1-Bodytext1013"/>
              <w:rPr>
                <w:rFonts w:cstheme="minorHAnsi"/>
                <w:noProof/>
              </w:rPr>
            </w:pPr>
            <w:r>
              <w:rPr>
                <w:noProof/>
              </w:rPr>
              <w:t>RP-21-i04-RAM</w:t>
            </w:r>
          </w:p>
        </w:tc>
        <w:tc>
          <w:tcPr>
            <w:tcW w:w="1134" w:type="dxa"/>
            <w:shd w:val="clear" w:color="auto" w:fill="C4EFCE"/>
            <w:noWrap/>
            <w:vAlign w:val="center"/>
          </w:tcPr>
          <w:p w14:paraId="576823A2" w14:textId="761EF1D1"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12BF19D" w14:textId="12ED4A50" w:rsidR="00A15990" w:rsidRDefault="00686A62">
            <w:pPr>
              <w:pStyle w:val="P68B1DB1-Normal12"/>
              <w:spacing w:after="0" w:line="240" w:lineRule="auto"/>
              <w:jc w:val="center"/>
              <w:rPr>
                <w:rFonts w:eastAsia="Times New Roman"/>
                <w:noProof/>
              </w:rPr>
            </w:pPr>
            <w:r>
              <w:rPr>
                <w:noProof/>
              </w:rPr>
              <w:t>Capacitatea suplimentară de producție de energie din surse regenerabile pentru autoconsum și utilizarea în comunitate a energiei din surse regenerabile în clădirile publice renovate</w:t>
            </w:r>
          </w:p>
        </w:tc>
        <w:tc>
          <w:tcPr>
            <w:tcW w:w="1275" w:type="dxa"/>
            <w:shd w:val="clear" w:color="auto" w:fill="C4EFCE"/>
            <w:noWrap/>
            <w:vAlign w:val="center"/>
          </w:tcPr>
          <w:p w14:paraId="1DE1063A" w14:textId="66359CB1"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5CB8B204" w14:textId="31C920AC" w:rsidR="00A15990" w:rsidRDefault="00686A62">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34922037" w14:textId="7CAC268A" w:rsidR="00A15990" w:rsidRDefault="00686A62">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64EAB2DF" w14:textId="7012C39E" w:rsidR="00A15990" w:rsidRDefault="00686A62">
            <w:pPr>
              <w:pStyle w:val="P68B1DB1-Normal12"/>
              <w:spacing w:after="0" w:line="240" w:lineRule="auto"/>
              <w:jc w:val="center"/>
              <w:rPr>
                <w:rFonts w:eastAsia="Times New Roman" w:cstheme="minorHAnsi"/>
                <w:noProof/>
              </w:rPr>
            </w:pPr>
            <w:r>
              <w:rPr>
                <w:noProof/>
              </w:rPr>
              <w:t>1.3</w:t>
            </w:r>
          </w:p>
        </w:tc>
        <w:tc>
          <w:tcPr>
            <w:tcW w:w="567" w:type="dxa"/>
            <w:shd w:val="clear" w:color="auto" w:fill="C4EFCE"/>
            <w:noWrap/>
            <w:vAlign w:val="center"/>
          </w:tcPr>
          <w:p w14:paraId="1ADD0D80" w14:textId="19F06FDD"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2D5B9DF9" w14:textId="38003732"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EC83552" w14:textId="34489AEE" w:rsidR="00A15990" w:rsidRDefault="00686A62">
            <w:pPr>
              <w:pStyle w:val="P68B1DB1-Bodytext1013"/>
              <w:spacing w:after="0" w:line="240" w:lineRule="auto"/>
              <w:jc w:val="both"/>
              <w:rPr>
                <w:rFonts w:cstheme="minorBidi"/>
                <w:noProof/>
              </w:rPr>
            </w:pPr>
            <w:r>
              <w:rPr>
                <w:noProof/>
              </w:rPr>
              <w:t>Capacitate suplimentară de producție de energie din surse regenerabile pentru autoconsum în clădirile publice.</w:t>
            </w:r>
          </w:p>
        </w:tc>
      </w:tr>
      <w:tr w:rsidR="00A15990" w14:paraId="468840B8" w14:textId="77777777">
        <w:trPr>
          <w:trHeight w:val="1519"/>
        </w:trPr>
        <w:tc>
          <w:tcPr>
            <w:tcW w:w="1135" w:type="dxa"/>
            <w:shd w:val="clear" w:color="auto" w:fill="C4EFCE"/>
            <w:vAlign w:val="center"/>
          </w:tcPr>
          <w:p w14:paraId="48117054" w14:textId="0841057E" w:rsidR="00A15990" w:rsidRDefault="00686A62">
            <w:pPr>
              <w:pStyle w:val="P68B1DB1-Normal11"/>
              <w:spacing w:after="0" w:line="240" w:lineRule="auto"/>
              <w:jc w:val="center"/>
              <w:rPr>
                <w:rFonts w:eastAsia="Times New Roman" w:cstheme="minorHAnsi"/>
                <w:noProof/>
              </w:rPr>
            </w:pPr>
            <w:r>
              <w:rPr>
                <w:noProof/>
              </w:rPr>
              <w:t>21.6</w:t>
            </w:r>
          </w:p>
        </w:tc>
        <w:tc>
          <w:tcPr>
            <w:tcW w:w="1276" w:type="dxa"/>
            <w:shd w:val="clear" w:color="auto" w:fill="C4EFCE"/>
            <w:noWrap/>
            <w:vAlign w:val="center"/>
          </w:tcPr>
          <w:p w14:paraId="600F3363" w14:textId="417C60DB" w:rsidR="00A15990" w:rsidRDefault="00686A62">
            <w:pPr>
              <w:pStyle w:val="P68B1DB1-Normal12"/>
              <w:spacing w:after="0" w:line="240" w:lineRule="auto"/>
              <w:jc w:val="center"/>
              <w:rPr>
                <w:rFonts w:eastAsia="Times New Roman" w:cstheme="minorHAnsi"/>
                <w:noProof/>
              </w:rPr>
            </w:pPr>
            <w:r>
              <w:rPr>
                <w:noProof/>
              </w:rPr>
              <w:t>RP-21-i04-RAM</w:t>
            </w:r>
          </w:p>
        </w:tc>
        <w:tc>
          <w:tcPr>
            <w:tcW w:w="1134" w:type="dxa"/>
            <w:shd w:val="clear" w:color="auto" w:fill="C4EFCE"/>
            <w:noWrap/>
            <w:vAlign w:val="center"/>
          </w:tcPr>
          <w:p w14:paraId="423333E2" w14:textId="5B9C803B"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15A338D" w14:textId="1DF04D00" w:rsidR="00A15990" w:rsidRDefault="00686A62">
            <w:pPr>
              <w:pStyle w:val="P68B1DB1-Normal12"/>
              <w:spacing w:after="0" w:line="240" w:lineRule="auto"/>
              <w:jc w:val="center"/>
              <w:rPr>
                <w:rFonts w:eastAsia="Times New Roman" w:cstheme="minorHAnsi"/>
                <w:noProof/>
              </w:rPr>
            </w:pPr>
            <w:r>
              <w:rPr>
                <w:noProof/>
              </w:rPr>
              <w:t>Renovarea în vederea eficienței energetice a clădirilor de serviciu public</w:t>
            </w:r>
          </w:p>
        </w:tc>
        <w:tc>
          <w:tcPr>
            <w:tcW w:w="1275" w:type="dxa"/>
            <w:shd w:val="clear" w:color="auto" w:fill="C4EFCE"/>
            <w:noWrap/>
            <w:vAlign w:val="center"/>
          </w:tcPr>
          <w:p w14:paraId="3C7888E1" w14:textId="26C6AC41"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72805B6" w14:textId="2ECAF662" w:rsidR="00A15990" w:rsidRDefault="00686A62">
            <w:pPr>
              <w:pStyle w:val="P68B1DB1-Normal12"/>
              <w:spacing w:after="0" w:line="240" w:lineRule="auto"/>
              <w:jc w:val="center"/>
              <w:rPr>
                <w:rFonts w:eastAsia="Times New Roman" w:cstheme="minorHAnsi"/>
                <w:noProof/>
              </w:rPr>
            </w:pPr>
            <w:r>
              <w:rPr>
                <w:noProof/>
              </w:rPr>
              <w:t>m</w:t>
            </w:r>
            <w:r>
              <w:rPr>
                <w:noProof/>
                <w:vertAlign w:val="superscript"/>
              </w:rPr>
              <w:t>2</w:t>
            </w:r>
          </w:p>
        </w:tc>
        <w:tc>
          <w:tcPr>
            <w:tcW w:w="992" w:type="dxa"/>
            <w:shd w:val="clear" w:color="auto" w:fill="C4EFCE"/>
            <w:noWrap/>
            <w:vAlign w:val="center"/>
          </w:tcPr>
          <w:p w14:paraId="55701F7C" w14:textId="5FDE8DB7" w:rsidR="00A15990" w:rsidRDefault="00686A62">
            <w:pPr>
              <w:pStyle w:val="P68B1DB1-Normal12"/>
              <w:spacing w:after="0" w:line="240" w:lineRule="auto"/>
              <w:jc w:val="center"/>
              <w:rPr>
                <w:noProof/>
              </w:rPr>
            </w:pPr>
            <w:r>
              <w:rPr>
                <w:noProof/>
              </w:rPr>
              <w:t xml:space="preserve"> 0</w:t>
            </w:r>
          </w:p>
        </w:tc>
        <w:tc>
          <w:tcPr>
            <w:tcW w:w="992" w:type="dxa"/>
            <w:shd w:val="clear" w:color="auto" w:fill="C4EFCE"/>
            <w:noWrap/>
            <w:vAlign w:val="center"/>
          </w:tcPr>
          <w:p w14:paraId="4974C85D" w14:textId="02953CA5" w:rsidR="00A15990" w:rsidRDefault="00686A62">
            <w:pPr>
              <w:pStyle w:val="P68B1DB1-Normal12"/>
              <w:spacing w:after="0" w:line="240" w:lineRule="auto"/>
              <w:jc w:val="center"/>
              <w:rPr>
                <w:rFonts w:eastAsia="Times New Roman" w:cstheme="minorHAnsi"/>
                <w:noProof/>
              </w:rPr>
            </w:pPr>
            <w:r>
              <w:rPr>
                <w:noProof/>
              </w:rPr>
              <w:t xml:space="preserve">105 000 </w:t>
            </w:r>
          </w:p>
        </w:tc>
        <w:tc>
          <w:tcPr>
            <w:tcW w:w="567" w:type="dxa"/>
            <w:shd w:val="clear" w:color="auto" w:fill="C4EFCE"/>
            <w:noWrap/>
            <w:vAlign w:val="center"/>
          </w:tcPr>
          <w:p w14:paraId="20377C57" w14:textId="6049AE31"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0BA9E64F" w14:textId="05AC713C"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4380BFB2" w14:textId="453CB997" w:rsidR="00A15990" w:rsidRDefault="00686A62">
            <w:pPr>
              <w:pStyle w:val="P68B1DB1-CommentText21"/>
              <w:spacing w:line="240" w:lineRule="auto"/>
              <w:rPr>
                <w:rFonts w:cstheme="minorBidi"/>
                <w:noProof/>
              </w:rPr>
            </w:pPr>
            <w:r>
              <w:rPr>
                <w:noProof/>
              </w:rPr>
              <w:t>O suprafață totală de 105 000 de metri pătrați din clădirile publice face obiectul unor renovări vizând eficiența energetică.</w:t>
            </w:r>
          </w:p>
          <w:p w14:paraId="0FF509DE" w14:textId="5DF839FB" w:rsidR="00A15990" w:rsidRDefault="00686A62">
            <w:pPr>
              <w:pStyle w:val="P68B1DB1-Bodytext1013"/>
              <w:spacing w:after="0" w:line="240" w:lineRule="auto"/>
              <w:jc w:val="both"/>
              <w:rPr>
                <w:rFonts w:cstheme="minorBidi"/>
                <w:noProof/>
              </w:rPr>
            </w:pPr>
            <w:r>
              <w:rPr>
                <w:noProof/>
              </w:rPr>
              <w:t>Renovările vizând eficiența energetică realizează, în medie, cel puțin o renovare de amploare medie, astfel cum este definită în Recomandarea Comisiei privind renovarea clădirilor (UE) 2019/786.</w:t>
            </w:r>
          </w:p>
        </w:tc>
      </w:tr>
      <w:tr w:rsidR="00A15990" w14:paraId="58D7856D" w14:textId="77777777">
        <w:trPr>
          <w:trHeight w:val="430"/>
        </w:trPr>
        <w:tc>
          <w:tcPr>
            <w:tcW w:w="1135" w:type="dxa"/>
            <w:shd w:val="clear" w:color="auto" w:fill="C4EFCE"/>
            <w:vAlign w:val="center"/>
          </w:tcPr>
          <w:p w14:paraId="2251B7BA" w14:textId="61C2CEA5" w:rsidR="00A15990" w:rsidRDefault="00686A62">
            <w:pPr>
              <w:pStyle w:val="P68B1DB1-Normal11"/>
              <w:spacing w:after="0" w:line="240" w:lineRule="auto"/>
              <w:jc w:val="center"/>
              <w:rPr>
                <w:rFonts w:eastAsia="Times New Roman" w:cstheme="minorHAnsi"/>
                <w:noProof/>
              </w:rPr>
            </w:pPr>
            <w:r>
              <w:rPr>
                <w:noProof/>
              </w:rPr>
              <w:t>21.7</w:t>
            </w:r>
          </w:p>
        </w:tc>
        <w:tc>
          <w:tcPr>
            <w:tcW w:w="1276" w:type="dxa"/>
            <w:shd w:val="clear" w:color="auto" w:fill="C4EFCE"/>
            <w:noWrap/>
            <w:vAlign w:val="center"/>
          </w:tcPr>
          <w:p w14:paraId="34021876" w14:textId="08C5790C" w:rsidR="00A15990" w:rsidRDefault="00686A62">
            <w:pPr>
              <w:pStyle w:val="P68B1DB1-Bodytext1013"/>
              <w:rPr>
                <w:rFonts w:eastAsia="Times New Roman félkövér" w:cstheme="minorHAnsi"/>
                <w:noProof/>
              </w:rPr>
            </w:pPr>
            <w:r>
              <w:rPr>
                <w:noProof/>
              </w:rPr>
              <w:t>RP-C21-r43</w:t>
            </w:r>
          </w:p>
        </w:tc>
        <w:tc>
          <w:tcPr>
            <w:tcW w:w="1134" w:type="dxa"/>
            <w:shd w:val="clear" w:color="auto" w:fill="C4EFCE"/>
            <w:noWrap/>
            <w:vAlign w:val="center"/>
          </w:tcPr>
          <w:p w14:paraId="4F71420E" w14:textId="56F3F28B"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6FFEF19" w14:textId="67ACAB84" w:rsidR="00A15990" w:rsidRDefault="00686A62">
            <w:pPr>
              <w:pStyle w:val="P68B1DB1-Normal12"/>
              <w:spacing w:after="0" w:line="240" w:lineRule="auto"/>
              <w:jc w:val="center"/>
              <w:rPr>
                <w:rFonts w:eastAsia="Times New Roman" w:cstheme="minorHAnsi"/>
                <w:noProof/>
              </w:rPr>
            </w:pPr>
            <w:r>
              <w:rPr>
                <w:noProof/>
              </w:rPr>
              <w:t>Intrarea în vigoare a legislației de înființare a Observatorului Național al Sărăciei Energetice (ONPE)</w:t>
            </w:r>
          </w:p>
        </w:tc>
        <w:tc>
          <w:tcPr>
            <w:tcW w:w="1275" w:type="dxa"/>
            <w:shd w:val="clear" w:color="auto" w:fill="C4EFCE"/>
            <w:noWrap/>
            <w:vAlign w:val="center"/>
          </w:tcPr>
          <w:p w14:paraId="63846E04" w14:textId="72701C97" w:rsidR="00A15990" w:rsidRDefault="00686A62">
            <w:pPr>
              <w:pStyle w:val="P68B1DB1-Normal12"/>
              <w:spacing w:after="0" w:line="240" w:lineRule="auto"/>
              <w:jc w:val="center"/>
              <w:rPr>
                <w:noProof/>
              </w:rPr>
            </w:pPr>
            <w:r>
              <w:rPr>
                <w:noProof/>
              </w:rPr>
              <w:t xml:space="preserve">Dispoziție din actul normativ care indică data de intrare în vigoare a legislației </w:t>
            </w:r>
          </w:p>
        </w:tc>
        <w:tc>
          <w:tcPr>
            <w:tcW w:w="993" w:type="dxa"/>
            <w:shd w:val="clear" w:color="auto" w:fill="C4EFCE"/>
            <w:noWrap/>
            <w:vAlign w:val="center"/>
          </w:tcPr>
          <w:p w14:paraId="6A7D8AC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D421A1B" w14:textId="45638A68" w:rsidR="00A15990" w:rsidRDefault="00686A62">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BF07CE4"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73F3ECB3" w14:textId="16C19931"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6FCC7FDE" w14:textId="1C1EA560" w:rsidR="00A15990" w:rsidRDefault="00686A62">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135256C5" w14:textId="58D90D2E" w:rsidR="00A15990" w:rsidRDefault="00686A62">
            <w:pPr>
              <w:pStyle w:val="P68B1DB1-Normal12"/>
              <w:spacing w:after="0" w:line="240" w:lineRule="auto"/>
              <w:jc w:val="both"/>
              <w:rPr>
                <w:rFonts w:eastAsia="Times New Roman"/>
                <w:noProof/>
              </w:rPr>
            </w:pPr>
            <w:r>
              <w:rPr>
                <w:noProof/>
              </w:rPr>
              <w:t>Intrarea în vigoare a legislației de înființare a Observatorului Național al Sărăciei Energetice (ONPE), inclusiv definirea guvernanței, responsabilităților și scopurilor, astfel cum se specifică în descrierea măsurii.</w:t>
            </w:r>
          </w:p>
        </w:tc>
      </w:tr>
      <w:tr w:rsidR="00A15990" w14:paraId="516DA8F8" w14:textId="77777777">
        <w:trPr>
          <w:trHeight w:val="430"/>
        </w:trPr>
        <w:tc>
          <w:tcPr>
            <w:tcW w:w="1135" w:type="dxa"/>
            <w:shd w:val="clear" w:color="auto" w:fill="C4EFCE"/>
            <w:vAlign w:val="center"/>
          </w:tcPr>
          <w:p w14:paraId="34B69183" w14:textId="15D64060" w:rsidR="00A15990" w:rsidRDefault="00686A62">
            <w:pPr>
              <w:pStyle w:val="P68B1DB1-Normal11"/>
              <w:spacing w:after="0" w:line="240" w:lineRule="auto"/>
              <w:jc w:val="center"/>
              <w:rPr>
                <w:rFonts w:eastAsia="Times New Roman" w:cstheme="minorHAnsi"/>
                <w:noProof/>
              </w:rPr>
            </w:pPr>
            <w:r>
              <w:rPr>
                <w:noProof/>
              </w:rPr>
              <w:t>21.8</w:t>
            </w:r>
          </w:p>
        </w:tc>
        <w:tc>
          <w:tcPr>
            <w:tcW w:w="1276" w:type="dxa"/>
            <w:shd w:val="clear" w:color="auto" w:fill="C4EFCE"/>
            <w:noWrap/>
            <w:vAlign w:val="center"/>
          </w:tcPr>
          <w:p w14:paraId="5AF91C70" w14:textId="57FF3B22" w:rsidR="00A15990" w:rsidRDefault="00686A62">
            <w:pPr>
              <w:pStyle w:val="P68B1DB1-Normal12"/>
              <w:spacing w:after="0" w:line="240" w:lineRule="auto"/>
              <w:jc w:val="center"/>
              <w:rPr>
                <w:rFonts w:eastAsia="Times New Roman" w:cstheme="minorHAnsi"/>
                <w:noProof/>
              </w:rPr>
            </w:pPr>
            <w:r>
              <w:rPr>
                <w:noProof/>
              </w:rPr>
              <w:t>RP-C21-r43</w:t>
            </w:r>
          </w:p>
        </w:tc>
        <w:tc>
          <w:tcPr>
            <w:tcW w:w="1134" w:type="dxa"/>
            <w:shd w:val="clear" w:color="auto" w:fill="C4EFCE"/>
            <w:noWrap/>
            <w:vAlign w:val="center"/>
          </w:tcPr>
          <w:p w14:paraId="21C4EA54" w14:textId="0E98EABF"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A5E52BD" w14:textId="730B2BA6" w:rsidR="00A15990" w:rsidRDefault="00686A62">
            <w:pPr>
              <w:pStyle w:val="P68B1DB1-Normal12"/>
              <w:spacing w:after="0" w:line="240" w:lineRule="auto"/>
              <w:jc w:val="center"/>
              <w:rPr>
                <w:rFonts w:eastAsia="Times New Roman"/>
                <w:noProof/>
              </w:rPr>
            </w:pPr>
            <w:r>
              <w:rPr>
                <w:noProof/>
              </w:rPr>
              <w:t>Lansarea instrumentului de finanțare pentru combaterea sărăciei energetice</w:t>
            </w:r>
          </w:p>
        </w:tc>
        <w:tc>
          <w:tcPr>
            <w:tcW w:w="1275" w:type="dxa"/>
            <w:shd w:val="clear" w:color="auto" w:fill="C4EFCE"/>
            <w:noWrap/>
            <w:vAlign w:val="center"/>
          </w:tcPr>
          <w:p w14:paraId="2F98D54F" w14:textId="6858B98B" w:rsidR="00A15990" w:rsidRDefault="00686A62">
            <w:pPr>
              <w:pStyle w:val="P68B1DB1-Normal12"/>
              <w:spacing w:after="0" w:line="240" w:lineRule="auto"/>
              <w:jc w:val="center"/>
              <w:rPr>
                <w:noProof/>
              </w:rPr>
            </w:pPr>
            <w:r>
              <w:rPr>
                <w:noProof/>
              </w:rPr>
              <w:t>Lansarea instrumentului de finanțare pentru combaterea sărăciei energetice</w:t>
            </w:r>
          </w:p>
        </w:tc>
        <w:tc>
          <w:tcPr>
            <w:tcW w:w="993" w:type="dxa"/>
            <w:shd w:val="clear" w:color="auto" w:fill="C4EFCE"/>
            <w:noWrap/>
            <w:vAlign w:val="center"/>
          </w:tcPr>
          <w:p w14:paraId="153BF777"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89159D0"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B2F4246"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1F0E5CBC" w14:textId="5963C01D"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050861F5" w14:textId="62CDF1FF"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DA29653" w14:textId="4B8FCA14" w:rsidR="00A15990" w:rsidRDefault="00686A62">
            <w:pPr>
              <w:pStyle w:val="P68B1DB1-Normal12"/>
              <w:spacing w:after="0" w:line="240" w:lineRule="auto"/>
              <w:jc w:val="both"/>
              <w:rPr>
                <w:rFonts w:eastAsia="Times New Roman"/>
                <w:noProof/>
              </w:rPr>
            </w:pPr>
            <w:r>
              <w:rPr>
                <w:noProof/>
              </w:rPr>
              <w:t>Lansarea unui instrument de finanțare pentru măsurile de eficiență energetică în sectorul rezidențial pentru a combate sărăcia energetică pentru profilurile identificate ale gospodăriilor. Aceasta se adoptă fie prin intrarea în vigoare a legislației relevante, fie prin adoptarea unei decizii de către o instituție financiară.</w:t>
            </w:r>
          </w:p>
        </w:tc>
      </w:tr>
      <w:tr w:rsidR="00A15990" w14:paraId="76ADC491" w14:textId="77777777">
        <w:trPr>
          <w:trHeight w:val="430"/>
        </w:trPr>
        <w:tc>
          <w:tcPr>
            <w:tcW w:w="1135" w:type="dxa"/>
            <w:shd w:val="clear" w:color="auto" w:fill="C4EFCE"/>
            <w:vAlign w:val="center"/>
          </w:tcPr>
          <w:p w14:paraId="624C6CC1" w14:textId="2FA7289B" w:rsidR="00A15990" w:rsidRDefault="00686A62">
            <w:pPr>
              <w:pStyle w:val="P68B1DB1-Normal11"/>
              <w:spacing w:after="0" w:line="240" w:lineRule="auto"/>
              <w:jc w:val="center"/>
              <w:rPr>
                <w:rFonts w:eastAsia="Times New Roman" w:cstheme="minorHAnsi"/>
                <w:noProof/>
              </w:rPr>
            </w:pPr>
            <w:r>
              <w:rPr>
                <w:noProof/>
              </w:rPr>
              <w:t>21.9</w:t>
            </w:r>
          </w:p>
        </w:tc>
        <w:tc>
          <w:tcPr>
            <w:tcW w:w="1276" w:type="dxa"/>
            <w:shd w:val="clear" w:color="auto" w:fill="C4EFCE"/>
            <w:noWrap/>
            <w:vAlign w:val="center"/>
          </w:tcPr>
          <w:p w14:paraId="28F5253F" w14:textId="3B061D31" w:rsidR="00A15990" w:rsidRDefault="00686A62">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FA2A266" w14:textId="7A8ACAE4"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3D0BF3" w14:textId="399683E4" w:rsidR="00A15990" w:rsidRDefault="00686A62">
            <w:pPr>
              <w:pStyle w:val="P68B1DB1-Normal12"/>
              <w:spacing w:after="0" w:line="240" w:lineRule="auto"/>
              <w:jc w:val="center"/>
              <w:rPr>
                <w:rFonts w:eastAsia="Times New Roman" w:cstheme="minorHAnsi"/>
                <w:noProof/>
              </w:rPr>
            </w:pPr>
            <w:r>
              <w:rPr>
                <w:noProof/>
              </w:rPr>
              <w:t>Semnarea protocolului de cooperare</w:t>
            </w:r>
          </w:p>
        </w:tc>
        <w:tc>
          <w:tcPr>
            <w:tcW w:w="1275" w:type="dxa"/>
            <w:shd w:val="clear" w:color="auto" w:fill="C4EFCE"/>
            <w:noWrap/>
            <w:vAlign w:val="center"/>
          </w:tcPr>
          <w:p w14:paraId="2A0074DF" w14:textId="5E4E8D6E" w:rsidR="00A15990" w:rsidRDefault="00686A62">
            <w:pPr>
              <w:pStyle w:val="P68B1DB1-Normal12"/>
              <w:spacing w:after="0" w:line="240" w:lineRule="auto"/>
              <w:jc w:val="center"/>
              <w:rPr>
                <w:rFonts w:eastAsia="Times New Roman" w:cstheme="minorHAnsi"/>
                <w:noProof/>
              </w:rPr>
            </w:pPr>
            <w:r>
              <w:rPr>
                <w:noProof/>
              </w:rPr>
              <w:t>Semnarea protocolului de cooperare</w:t>
            </w:r>
          </w:p>
        </w:tc>
        <w:tc>
          <w:tcPr>
            <w:tcW w:w="993" w:type="dxa"/>
            <w:shd w:val="clear" w:color="auto" w:fill="C4EFCE"/>
            <w:noWrap/>
            <w:vAlign w:val="center"/>
          </w:tcPr>
          <w:p w14:paraId="6E9051C5"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19DECB3" w14:textId="0694995E" w:rsidR="00A15990" w:rsidRDefault="00686A62">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28E6BDE"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7CCCD925" w14:textId="0DCC6DEA"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59B354CE" w14:textId="76A15769" w:rsidR="00A15990" w:rsidRDefault="00686A62">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4FC9401F" w14:textId="75CF6D2B" w:rsidR="00A15990" w:rsidRDefault="00686A62">
            <w:pPr>
              <w:pStyle w:val="P68B1DB1-Normal12"/>
              <w:spacing w:after="0" w:line="240" w:lineRule="auto"/>
              <w:jc w:val="both"/>
              <w:rPr>
                <w:rFonts w:eastAsia="Times New Roman"/>
                <w:noProof/>
              </w:rPr>
            </w:pPr>
            <w:r>
              <w:rPr>
                <w:noProof/>
              </w:rPr>
              <w:t xml:space="preserve">Semnarea protocolului de cooperare între Agência para a Energia (ADENE), Associação Nacional de Freguesias (Anafre) și Rede Nacional de Agências de Energia (RNAE), Associação Nacional de Municípios (ANMP) și Confederação Nacional de Instituições de Solidariedade (CNIS) pentru crearea </w:t>
            </w:r>
            <w:r>
              <w:rPr>
                <w:i/>
                <w:noProof/>
              </w:rPr>
              <w:t>Espaços Cidadão Energia</w:t>
            </w:r>
            <w:r>
              <w:rPr>
                <w:noProof/>
              </w:rPr>
              <w:t xml:space="preserve"> și în care se specifică sarcinile, guvernanța și structura de finanțare ale acestora. </w:t>
            </w:r>
          </w:p>
        </w:tc>
      </w:tr>
      <w:tr w:rsidR="00A15990" w14:paraId="4405AF92" w14:textId="77777777">
        <w:trPr>
          <w:trHeight w:val="430"/>
        </w:trPr>
        <w:tc>
          <w:tcPr>
            <w:tcW w:w="1135" w:type="dxa"/>
            <w:shd w:val="clear" w:color="auto" w:fill="C4EFCE"/>
            <w:vAlign w:val="center"/>
          </w:tcPr>
          <w:p w14:paraId="6F3D3865" w14:textId="0376A8B8" w:rsidR="00A15990" w:rsidRDefault="00686A62">
            <w:pPr>
              <w:pStyle w:val="P68B1DB1-Normal11"/>
              <w:spacing w:after="0" w:line="240" w:lineRule="auto"/>
              <w:jc w:val="center"/>
              <w:rPr>
                <w:rFonts w:eastAsia="Times New Roman" w:cstheme="minorHAnsi"/>
                <w:noProof/>
              </w:rPr>
            </w:pPr>
            <w:r>
              <w:rPr>
                <w:noProof/>
              </w:rPr>
              <w:t>21.10</w:t>
            </w:r>
          </w:p>
        </w:tc>
        <w:tc>
          <w:tcPr>
            <w:tcW w:w="1276" w:type="dxa"/>
            <w:shd w:val="clear" w:color="auto" w:fill="C4EFCE"/>
            <w:noWrap/>
            <w:vAlign w:val="center"/>
          </w:tcPr>
          <w:p w14:paraId="1AA96F0F" w14:textId="1A78FB1D" w:rsidR="00A15990" w:rsidRDefault="00686A62">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7116495E" w14:textId="1A4294A4"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F09A0D1" w14:textId="2A3C94D4" w:rsidR="00A15990" w:rsidRDefault="00686A62">
            <w:pPr>
              <w:pStyle w:val="P68B1DB1-Normal12"/>
              <w:spacing w:after="0" w:line="240" w:lineRule="auto"/>
              <w:jc w:val="center"/>
              <w:rPr>
                <w:rFonts w:eastAsia="Times New Roman" w:cstheme="minorHAnsi"/>
                <w:noProof/>
              </w:rPr>
            </w:pPr>
            <w:r>
              <w:rPr>
                <w:noProof/>
              </w:rPr>
              <w:t>Acțiuni de consolidare a capacităților</w:t>
            </w:r>
          </w:p>
        </w:tc>
        <w:tc>
          <w:tcPr>
            <w:tcW w:w="1275" w:type="dxa"/>
            <w:shd w:val="clear" w:color="auto" w:fill="C4EFCE"/>
            <w:noWrap/>
            <w:vAlign w:val="center"/>
          </w:tcPr>
          <w:p w14:paraId="2F6B73ED" w14:textId="32E45BCB"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484B2AA2" w14:textId="7DA23D0E"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06AF5309" w14:textId="540D38C5" w:rsidR="00A15990" w:rsidRDefault="00686A62">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F112D01" w14:textId="1A47D2FB" w:rsidR="00A15990" w:rsidRDefault="00686A62">
            <w:pPr>
              <w:pStyle w:val="P68B1DB1-Normal12"/>
              <w:spacing w:after="0" w:line="240" w:lineRule="auto"/>
              <w:jc w:val="center"/>
              <w:rPr>
                <w:rFonts w:eastAsia="Times New Roman" w:cstheme="minorHAnsi"/>
                <w:noProof/>
              </w:rPr>
            </w:pPr>
            <w:r>
              <w:rPr>
                <w:noProof/>
              </w:rPr>
              <w:t xml:space="preserve">300 </w:t>
            </w:r>
          </w:p>
        </w:tc>
        <w:tc>
          <w:tcPr>
            <w:tcW w:w="567" w:type="dxa"/>
            <w:shd w:val="clear" w:color="auto" w:fill="C4EFCE"/>
            <w:noWrap/>
            <w:vAlign w:val="center"/>
          </w:tcPr>
          <w:p w14:paraId="20F843B3" w14:textId="5075B2DC"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6F49F6AD" w14:textId="4E5B8D4B"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3894416" w14:textId="77ACECBF" w:rsidR="00A15990" w:rsidRDefault="00686A62">
            <w:pPr>
              <w:pStyle w:val="P68B1DB1-Normal12"/>
              <w:spacing w:after="0" w:line="240" w:lineRule="auto"/>
              <w:jc w:val="both"/>
              <w:rPr>
                <w:rFonts w:eastAsia="Times New Roman"/>
                <w:noProof/>
              </w:rPr>
            </w:pPr>
            <w:r>
              <w:rPr>
                <w:noProof/>
              </w:rPr>
              <w:t xml:space="preserve">300 profesioniști calificați sunt formați pentru a îndeplini diferite roluri în </w:t>
            </w:r>
            <w:r>
              <w:rPr>
                <w:i/>
                <w:noProof/>
              </w:rPr>
              <w:t>Espaços Cidadão Energia</w:t>
            </w:r>
            <w:r>
              <w:rPr>
                <w:noProof/>
              </w:rPr>
              <w:t>.</w:t>
            </w:r>
          </w:p>
        </w:tc>
      </w:tr>
      <w:tr w:rsidR="00A15990" w14:paraId="44C003C4" w14:textId="77777777">
        <w:trPr>
          <w:trHeight w:val="430"/>
        </w:trPr>
        <w:tc>
          <w:tcPr>
            <w:tcW w:w="1135" w:type="dxa"/>
            <w:shd w:val="clear" w:color="auto" w:fill="C4EFCE"/>
            <w:vAlign w:val="center"/>
          </w:tcPr>
          <w:p w14:paraId="115B339E" w14:textId="18B4AA3F" w:rsidR="00A15990" w:rsidRDefault="00686A62">
            <w:pPr>
              <w:pStyle w:val="P68B1DB1-Normal11"/>
              <w:spacing w:after="0" w:line="240" w:lineRule="auto"/>
              <w:jc w:val="center"/>
              <w:rPr>
                <w:rFonts w:eastAsia="Times New Roman" w:cstheme="minorHAnsi"/>
                <w:noProof/>
              </w:rPr>
            </w:pPr>
            <w:r>
              <w:rPr>
                <w:noProof/>
              </w:rPr>
              <w:t>21.11</w:t>
            </w:r>
          </w:p>
        </w:tc>
        <w:tc>
          <w:tcPr>
            <w:tcW w:w="1276" w:type="dxa"/>
            <w:shd w:val="clear" w:color="auto" w:fill="C4EFCE"/>
            <w:noWrap/>
            <w:vAlign w:val="center"/>
          </w:tcPr>
          <w:p w14:paraId="72D7DD9B" w14:textId="75022C6C" w:rsidR="00A15990" w:rsidRDefault="00686A62">
            <w:pPr>
              <w:pStyle w:val="P68B1DB1-Normal12"/>
              <w:spacing w:after="0" w:line="240" w:lineRule="auto"/>
              <w:jc w:val="center"/>
              <w:rPr>
                <w:rFonts w:eastAsia="Times New Roman" w:cstheme="minorHAnsi"/>
                <w:noProof/>
              </w:rPr>
            </w:pPr>
            <w:r>
              <w:rPr>
                <w:noProof/>
              </w:rPr>
              <w:t>RP-C21-r44</w:t>
            </w:r>
          </w:p>
        </w:tc>
        <w:tc>
          <w:tcPr>
            <w:tcW w:w="1134" w:type="dxa"/>
            <w:shd w:val="clear" w:color="auto" w:fill="C4EFCE"/>
            <w:noWrap/>
            <w:vAlign w:val="center"/>
          </w:tcPr>
          <w:p w14:paraId="5E5D7FC3" w14:textId="589740CC"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3FB50CE" w14:textId="3D9DC0A1" w:rsidR="00A15990" w:rsidRDefault="00686A62">
            <w:pPr>
              <w:pStyle w:val="P68B1DB1-Normal12"/>
              <w:spacing w:after="0" w:line="240" w:lineRule="auto"/>
              <w:jc w:val="center"/>
              <w:rPr>
                <w:rFonts w:eastAsia="Times New Roman" w:cstheme="minorHAnsi"/>
                <w:noProof/>
              </w:rPr>
            </w:pPr>
            <w:r>
              <w:rPr>
                <w:noProof/>
              </w:rPr>
              <w:t>Lansarea Espaços Cidadão Energia</w:t>
            </w:r>
          </w:p>
        </w:tc>
        <w:tc>
          <w:tcPr>
            <w:tcW w:w="1275" w:type="dxa"/>
            <w:shd w:val="clear" w:color="auto" w:fill="C4EFCE"/>
            <w:noWrap/>
            <w:vAlign w:val="center"/>
          </w:tcPr>
          <w:p w14:paraId="1B57B712"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0F16E4EA" w14:textId="67F3B741"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7C58A166" w14:textId="0BCA1F7E" w:rsidR="00A15990" w:rsidRDefault="00686A62">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6F34AF54" w14:textId="6426E74F" w:rsidR="00A15990" w:rsidRDefault="00686A62">
            <w:pPr>
              <w:pStyle w:val="P68B1DB1-Normal12"/>
              <w:spacing w:after="0" w:line="240" w:lineRule="auto"/>
              <w:jc w:val="center"/>
              <w:rPr>
                <w:rFonts w:eastAsia="Times New Roman" w:cstheme="minorHAnsi"/>
                <w:noProof/>
              </w:rPr>
            </w:pPr>
            <w:r>
              <w:rPr>
                <w:noProof/>
              </w:rPr>
              <w:t>50</w:t>
            </w:r>
          </w:p>
        </w:tc>
        <w:tc>
          <w:tcPr>
            <w:tcW w:w="567" w:type="dxa"/>
            <w:shd w:val="clear" w:color="auto" w:fill="C4EFCE"/>
            <w:noWrap/>
            <w:vAlign w:val="center"/>
          </w:tcPr>
          <w:p w14:paraId="53370B4C" w14:textId="4384A6ED"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01B93E1A" w14:textId="5304BB25"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3A90169B" w14:textId="4CB3EEB6" w:rsidR="00A15990" w:rsidRDefault="00686A62">
            <w:pPr>
              <w:pStyle w:val="P68B1DB1-Bodytext1013"/>
              <w:spacing w:after="0" w:line="240" w:lineRule="auto"/>
              <w:jc w:val="both"/>
              <w:rPr>
                <w:rFonts w:cstheme="minorBidi"/>
                <w:noProof/>
              </w:rPr>
            </w:pPr>
            <w:r>
              <w:rPr>
                <w:noProof/>
              </w:rPr>
              <w:t xml:space="preserve">50 </w:t>
            </w:r>
            <w:r>
              <w:rPr>
                <w:i/>
                <w:noProof/>
              </w:rPr>
              <w:t xml:space="preserve">Espaços Cidadão Energia </w:t>
            </w:r>
            <w:r>
              <w:rPr>
                <w:noProof/>
              </w:rPr>
              <w:t>fizică trebuie să fie operațional și deschis cetățenilor.</w:t>
            </w:r>
          </w:p>
        </w:tc>
      </w:tr>
      <w:tr w:rsidR="00A15990" w14:paraId="7A001E81" w14:textId="77777777">
        <w:trPr>
          <w:trHeight w:val="430"/>
        </w:trPr>
        <w:tc>
          <w:tcPr>
            <w:tcW w:w="1135" w:type="dxa"/>
            <w:shd w:val="clear" w:color="auto" w:fill="C4EFCE"/>
            <w:vAlign w:val="center"/>
          </w:tcPr>
          <w:p w14:paraId="02453CBA" w14:textId="7EC4B509" w:rsidR="00A15990" w:rsidRDefault="00686A62">
            <w:pPr>
              <w:pStyle w:val="P68B1DB1-Normal11"/>
              <w:spacing w:after="0" w:line="240" w:lineRule="auto"/>
              <w:jc w:val="center"/>
              <w:rPr>
                <w:rFonts w:eastAsia="Times New Roman" w:cstheme="minorHAnsi"/>
                <w:noProof/>
              </w:rPr>
            </w:pPr>
            <w:r>
              <w:rPr>
                <w:noProof/>
              </w:rPr>
              <w:t>21.12</w:t>
            </w:r>
          </w:p>
        </w:tc>
        <w:tc>
          <w:tcPr>
            <w:tcW w:w="1276" w:type="dxa"/>
            <w:shd w:val="clear" w:color="auto" w:fill="C4EFCE"/>
            <w:noWrap/>
            <w:vAlign w:val="center"/>
          </w:tcPr>
          <w:p w14:paraId="35376737" w14:textId="5B6224D0" w:rsidR="00A15990" w:rsidRDefault="00686A62">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297F72F0" w14:textId="5F2B13DB"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9693662" w14:textId="12A59FAA" w:rsidR="00A15990" w:rsidRDefault="00686A62">
            <w:pPr>
              <w:pStyle w:val="P68B1DB1-Normal12"/>
              <w:spacing w:after="0" w:line="240" w:lineRule="auto"/>
              <w:jc w:val="center"/>
              <w:rPr>
                <w:rFonts w:eastAsia="Times New Roman" w:cstheme="minorHAnsi"/>
                <w:noProof/>
              </w:rPr>
            </w:pPr>
            <w:r>
              <w:rPr>
                <w:noProof/>
              </w:rPr>
              <w:t>Semnarea condițiilor de acceptare pentru punerea în aplicare a proiectelor industriale</w:t>
            </w:r>
          </w:p>
        </w:tc>
        <w:tc>
          <w:tcPr>
            <w:tcW w:w="1275" w:type="dxa"/>
            <w:shd w:val="clear" w:color="auto" w:fill="C4EFCE"/>
            <w:noWrap/>
            <w:vAlign w:val="center"/>
          </w:tcPr>
          <w:p w14:paraId="7458153B" w14:textId="76EAEDD5" w:rsidR="00A15990" w:rsidRDefault="00686A62">
            <w:pPr>
              <w:pStyle w:val="P68B1DB1-Normal12"/>
              <w:spacing w:after="0" w:line="240" w:lineRule="auto"/>
              <w:jc w:val="center"/>
              <w:rPr>
                <w:rFonts w:eastAsia="Times New Roman" w:cstheme="minorHAnsi"/>
                <w:noProof/>
              </w:rPr>
            </w:pPr>
            <w:r>
              <w:rPr>
                <w:noProof/>
              </w:rPr>
              <w:t>Semnarea condițiilor de acceptare pentru punerea în aplicare a proiectelor industriale.</w:t>
            </w:r>
          </w:p>
        </w:tc>
        <w:tc>
          <w:tcPr>
            <w:tcW w:w="993" w:type="dxa"/>
            <w:shd w:val="clear" w:color="auto" w:fill="C4EFCE"/>
            <w:noWrap/>
            <w:vAlign w:val="center"/>
          </w:tcPr>
          <w:p w14:paraId="72336B25"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9A26E3E" w14:textId="2DB3039C" w:rsidR="00A15990" w:rsidRDefault="00686A62">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276C077B"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7667D40B" w14:textId="479E3BA2"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083EAC73" w14:textId="1C628607"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7BE0AFF3" w14:textId="19DB74A1" w:rsidR="00A15990" w:rsidRDefault="00686A62">
            <w:pPr>
              <w:pStyle w:val="P68B1DB1-Bodytext1013"/>
              <w:spacing w:after="0" w:line="240" w:lineRule="auto"/>
              <w:jc w:val="both"/>
              <w:rPr>
                <w:rFonts w:cstheme="minorBidi"/>
                <w:noProof/>
              </w:rPr>
            </w:pPr>
            <w:r>
              <w:rPr>
                <w:noProof/>
              </w:rPr>
              <w:t>Condițiile de acceptare se semnează pentru punerea în aplicare a proiectelor industriale, care sunt selectate prin intermediul unor cereri de propuneri competitive, legate de tehnologiile strategice pentru tranziția climatică, astfel cum se specifică în descrierea măsurii.</w:t>
            </w:r>
          </w:p>
          <w:p w14:paraId="676A7464" w14:textId="75CAE7E6" w:rsidR="00A15990" w:rsidRDefault="00686A62">
            <w:pPr>
              <w:pStyle w:val="P68B1DB1-Normal12"/>
              <w:spacing w:after="0" w:line="240" w:lineRule="auto"/>
              <w:jc w:val="both"/>
              <w:rPr>
                <w:rFonts w:eastAsia="Times New Roman" w:cstheme="minorHAnsi"/>
                <w:noProof/>
              </w:rPr>
            </w:pPr>
            <w:r>
              <w:rPr>
                <w:noProof/>
              </w:rPr>
              <w:t>Condițiile de acceptare asigură conformitatea cu Orientările tehnice de „a nu prejudicia în mod semnificativ” (2021/C58/01) ale tranzacțiilor sprijinite în cadrul acestei măsuri prin utilizarea unei liste de excludere și a cerinței de conformitate cu legislația UE și națională relevantă în materie de mediu.</w:t>
            </w:r>
          </w:p>
        </w:tc>
      </w:tr>
      <w:tr w:rsidR="00A15990" w14:paraId="38C0F350" w14:textId="77777777">
        <w:trPr>
          <w:trHeight w:val="430"/>
        </w:trPr>
        <w:tc>
          <w:tcPr>
            <w:tcW w:w="1135" w:type="dxa"/>
            <w:shd w:val="clear" w:color="auto" w:fill="C4EFCE"/>
            <w:vAlign w:val="center"/>
          </w:tcPr>
          <w:p w14:paraId="2822A641" w14:textId="17EAD665" w:rsidR="00A15990" w:rsidRDefault="00686A62">
            <w:pPr>
              <w:pStyle w:val="P68B1DB1-Normal11"/>
              <w:spacing w:after="0" w:line="240" w:lineRule="auto"/>
              <w:jc w:val="center"/>
              <w:rPr>
                <w:rFonts w:eastAsia="Times New Roman" w:cstheme="minorHAnsi"/>
                <w:noProof/>
              </w:rPr>
            </w:pPr>
            <w:r>
              <w:rPr>
                <w:noProof/>
              </w:rPr>
              <w:t>21.13</w:t>
            </w:r>
          </w:p>
        </w:tc>
        <w:tc>
          <w:tcPr>
            <w:tcW w:w="1276" w:type="dxa"/>
            <w:shd w:val="clear" w:color="auto" w:fill="C4EFCE"/>
            <w:noWrap/>
            <w:vAlign w:val="center"/>
          </w:tcPr>
          <w:p w14:paraId="5450DE1C" w14:textId="272FA70D" w:rsidR="00A15990" w:rsidRDefault="00686A62">
            <w:pPr>
              <w:pStyle w:val="P68B1DB1-Normal12"/>
              <w:spacing w:after="0" w:line="240" w:lineRule="auto"/>
              <w:jc w:val="center"/>
              <w:rPr>
                <w:rFonts w:eastAsia="Times New Roman" w:cstheme="minorHAnsi"/>
                <w:noProof/>
              </w:rPr>
            </w:pPr>
            <w:r>
              <w:rPr>
                <w:noProof/>
              </w:rPr>
              <w:t>RP-C21-i05</w:t>
            </w:r>
          </w:p>
        </w:tc>
        <w:tc>
          <w:tcPr>
            <w:tcW w:w="1134" w:type="dxa"/>
            <w:shd w:val="clear" w:color="auto" w:fill="C4EFCE"/>
            <w:noWrap/>
            <w:vAlign w:val="center"/>
          </w:tcPr>
          <w:p w14:paraId="3D65B17D" w14:textId="6A2866B3"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156CFAC" w14:textId="2AF8DE16" w:rsidR="00A15990" w:rsidRDefault="00686A62">
            <w:pPr>
              <w:pStyle w:val="P68B1DB1-Normal12"/>
              <w:spacing w:after="0" w:line="240" w:lineRule="auto"/>
              <w:jc w:val="center"/>
              <w:rPr>
                <w:rFonts w:eastAsia="Times New Roman" w:cstheme="minorHAnsi"/>
                <w:noProof/>
              </w:rPr>
            </w:pPr>
            <w:r>
              <w:rPr>
                <w:noProof/>
              </w:rPr>
              <w:t>Finalizarea a 5 de proiecte industriale în domeniul tehnologiilor strategice pentru tranziția climatică</w:t>
            </w:r>
          </w:p>
        </w:tc>
        <w:tc>
          <w:tcPr>
            <w:tcW w:w="1275" w:type="dxa"/>
            <w:shd w:val="clear" w:color="auto" w:fill="C4EFCE"/>
            <w:noWrap/>
            <w:vAlign w:val="center"/>
          </w:tcPr>
          <w:p w14:paraId="7A69A2FE"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419EDC3E" w14:textId="286CAB8A"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0674002F" w14:textId="6BFD93CA" w:rsidR="00A15990" w:rsidRDefault="00686A62">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2B37AD65" w14:textId="7A1B913C" w:rsidR="00A15990" w:rsidRDefault="00686A62">
            <w:pPr>
              <w:pStyle w:val="P68B1DB1-Normal12"/>
              <w:spacing w:after="0" w:line="240" w:lineRule="auto"/>
              <w:jc w:val="center"/>
              <w:rPr>
                <w:rFonts w:eastAsia="Times New Roman" w:cstheme="minorHAnsi"/>
                <w:noProof/>
              </w:rPr>
            </w:pPr>
            <w:r>
              <w:rPr>
                <w:noProof/>
              </w:rPr>
              <w:t>5</w:t>
            </w:r>
          </w:p>
        </w:tc>
        <w:tc>
          <w:tcPr>
            <w:tcW w:w="567" w:type="dxa"/>
            <w:shd w:val="clear" w:color="auto" w:fill="C4EFCE"/>
            <w:noWrap/>
            <w:vAlign w:val="center"/>
          </w:tcPr>
          <w:p w14:paraId="1203B683" w14:textId="0E9F9785"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337D899F" w14:textId="1B849260"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2155DEB" w14:textId="7B97BD38" w:rsidR="00A15990" w:rsidRDefault="00686A62">
            <w:pPr>
              <w:pStyle w:val="P68B1DB1-Normal12"/>
              <w:spacing w:after="0" w:line="240" w:lineRule="auto"/>
              <w:jc w:val="both"/>
              <w:rPr>
                <w:rFonts w:eastAsia="Times New Roman"/>
                <w:noProof/>
              </w:rPr>
            </w:pPr>
            <w:r>
              <w:rPr>
                <w:noProof/>
              </w:rPr>
              <w:t>Finalizarea a cel puțin cinci proiecte în domeniul tehnologiei industriale, care au un nivel de pregătire tehnologică egal sau mai mare de șapte, legate de tehnologiile strategice pentru tranziția climatică, astfel cum se specifică în descrierea măsurii.</w:t>
            </w:r>
          </w:p>
        </w:tc>
      </w:tr>
      <w:tr w:rsidR="00A15990" w14:paraId="5A219778" w14:textId="77777777">
        <w:trPr>
          <w:trHeight w:val="430"/>
        </w:trPr>
        <w:tc>
          <w:tcPr>
            <w:tcW w:w="1135" w:type="dxa"/>
            <w:shd w:val="clear" w:color="auto" w:fill="C4EFCE"/>
            <w:vAlign w:val="center"/>
          </w:tcPr>
          <w:p w14:paraId="748E9E6F" w14:textId="3FC7C9E1" w:rsidR="00A15990" w:rsidRDefault="00686A62">
            <w:pPr>
              <w:pStyle w:val="P68B1DB1-Normal11"/>
              <w:spacing w:after="0" w:line="240" w:lineRule="auto"/>
              <w:jc w:val="center"/>
              <w:rPr>
                <w:rFonts w:eastAsia="Times New Roman" w:cstheme="minorHAnsi"/>
                <w:noProof/>
              </w:rPr>
            </w:pPr>
            <w:r>
              <w:rPr>
                <w:noProof/>
              </w:rPr>
              <w:t>21.14</w:t>
            </w:r>
          </w:p>
        </w:tc>
        <w:tc>
          <w:tcPr>
            <w:tcW w:w="1276" w:type="dxa"/>
            <w:shd w:val="clear" w:color="auto" w:fill="C4EFCE"/>
            <w:noWrap/>
            <w:vAlign w:val="center"/>
          </w:tcPr>
          <w:p w14:paraId="1E60F546" w14:textId="66482F0A" w:rsidR="00A15990" w:rsidRDefault="00686A62">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08AE361B" w14:textId="6D1DB139"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1E5E5BB7" w14:textId="2724C1E2" w:rsidR="00A15990" w:rsidRDefault="00686A62">
            <w:pPr>
              <w:pStyle w:val="P68B1DB1-Normal12"/>
              <w:spacing w:after="0" w:line="240" w:lineRule="auto"/>
              <w:jc w:val="center"/>
              <w:rPr>
                <w:rFonts w:eastAsia="Times New Roman" w:cstheme="minorHAnsi"/>
                <w:noProof/>
              </w:rPr>
            </w:pPr>
            <w:r>
              <w:rPr>
                <w:noProof/>
              </w:rPr>
              <w:t>Acțiuni de formare în domeniul competențelor verzi</w:t>
            </w:r>
          </w:p>
        </w:tc>
        <w:tc>
          <w:tcPr>
            <w:tcW w:w="1275" w:type="dxa"/>
            <w:shd w:val="clear" w:color="auto" w:fill="C4EFCE"/>
            <w:noWrap/>
            <w:vAlign w:val="center"/>
          </w:tcPr>
          <w:p w14:paraId="24F12DE9"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537B007C" w14:textId="482EBD6A"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30CE81C5" w14:textId="44255BD5" w:rsidR="00A15990" w:rsidRDefault="00686A62">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7D552B8B" w14:textId="6840C96D" w:rsidR="00A15990" w:rsidRDefault="00686A62">
            <w:pPr>
              <w:pStyle w:val="P68B1DB1-Normal12"/>
              <w:spacing w:after="0" w:line="240" w:lineRule="auto"/>
              <w:jc w:val="center"/>
              <w:rPr>
                <w:rFonts w:eastAsia="Times New Roman" w:cstheme="minorHAnsi"/>
                <w:noProof/>
              </w:rPr>
            </w:pPr>
            <w:r>
              <w:rPr>
                <w:noProof/>
              </w:rPr>
              <w:t>12 500</w:t>
            </w:r>
          </w:p>
        </w:tc>
        <w:tc>
          <w:tcPr>
            <w:tcW w:w="567" w:type="dxa"/>
            <w:shd w:val="clear" w:color="auto" w:fill="C4EFCE"/>
            <w:noWrap/>
            <w:vAlign w:val="center"/>
          </w:tcPr>
          <w:p w14:paraId="4774708D" w14:textId="187C4CA4"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590EB134" w14:textId="7394F496"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3B10BE2" w14:textId="3478037F" w:rsidR="00A15990" w:rsidRDefault="00686A62">
            <w:pPr>
              <w:pStyle w:val="P68B1DB1-Normal12"/>
              <w:spacing w:after="0" w:line="240" w:lineRule="auto"/>
              <w:jc w:val="both"/>
              <w:rPr>
                <w:rFonts w:eastAsia="Times New Roman" w:cstheme="minorHAnsi"/>
                <w:noProof/>
              </w:rPr>
            </w:pPr>
            <w:r>
              <w:rPr>
                <w:noProof/>
              </w:rPr>
              <w:t xml:space="preserve">Numărul de persoane instruite fie în cadrul Programului privind munca și competențele ecologice, fie în cadrul cursurilor din cadrul Centrului de formare pentru tranziția energetică.   </w:t>
            </w:r>
          </w:p>
        </w:tc>
      </w:tr>
      <w:tr w:rsidR="00A15990" w14:paraId="6B1F2C06" w14:textId="77777777">
        <w:trPr>
          <w:trHeight w:val="430"/>
        </w:trPr>
        <w:tc>
          <w:tcPr>
            <w:tcW w:w="1135" w:type="dxa"/>
            <w:shd w:val="clear" w:color="auto" w:fill="C4EFCE"/>
            <w:vAlign w:val="center"/>
          </w:tcPr>
          <w:p w14:paraId="01B3604D" w14:textId="7B2AF347" w:rsidR="00A15990" w:rsidRDefault="00686A62">
            <w:pPr>
              <w:pStyle w:val="P68B1DB1-Normal11"/>
              <w:spacing w:after="0" w:line="240" w:lineRule="auto"/>
              <w:jc w:val="center"/>
              <w:rPr>
                <w:rFonts w:eastAsia="Times New Roman" w:cstheme="minorHAnsi"/>
                <w:noProof/>
              </w:rPr>
            </w:pPr>
            <w:r>
              <w:rPr>
                <w:noProof/>
              </w:rPr>
              <w:t>21.15</w:t>
            </w:r>
          </w:p>
        </w:tc>
        <w:tc>
          <w:tcPr>
            <w:tcW w:w="1276" w:type="dxa"/>
            <w:shd w:val="clear" w:color="auto" w:fill="C4EFCE"/>
            <w:noWrap/>
            <w:vAlign w:val="center"/>
          </w:tcPr>
          <w:p w14:paraId="59821F78" w14:textId="3E0A4BAD" w:rsidR="00A15990" w:rsidRDefault="00686A62">
            <w:pPr>
              <w:pStyle w:val="P68B1DB1-Normal12"/>
              <w:spacing w:after="0" w:line="240" w:lineRule="auto"/>
              <w:jc w:val="center"/>
              <w:rPr>
                <w:rFonts w:eastAsia="Times New Roman"/>
                <w:noProof/>
              </w:rPr>
            </w:pPr>
            <w:r>
              <w:rPr>
                <w:noProof/>
              </w:rPr>
              <w:t xml:space="preserve"> RP-C21-r45</w:t>
            </w:r>
          </w:p>
        </w:tc>
        <w:tc>
          <w:tcPr>
            <w:tcW w:w="1134" w:type="dxa"/>
            <w:shd w:val="clear" w:color="auto" w:fill="C4EFCE"/>
            <w:noWrap/>
            <w:vAlign w:val="center"/>
          </w:tcPr>
          <w:p w14:paraId="6FFE32F5" w14:textId="2C012BA0"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5F5D539" w14:textId="43F358D0" w:rsidR="00A15990" w:rsidRDefault="00686A62">
            <w:pPr>
              <w:pStyle w:val="P68B1DB1-Normal12"/>
              <w:spacing w:after="0" w:line="240" w:lineRule="auto"/>
              <w:jc w:val="center"/>
              <w:rPr>
                <w:rFonts w:eastAsia="Times New Roman" w:cstheme="minorHAnsi"/>
                <w:noProof/>
              </w:rPr>
            </w:pPr>
            <w:r>
              <w:rPr>
                <w:noProof/>
              </w:rPr>
              <w:t>Acțiuni de formare în domeniul competențelor verzi</w:t>
            </w:r>
          </w:p>
        </w:tc>
        <w:tc>
          <w:tcPr>
            <w:tcW w:w="1275" w:type="dxa"/>
            <w:shd w:val="clear" w:color="auto" w:fill="C4EFCE"/>
            <w:noWrap/>
            <w:vAlign w:val="center"/>
          </w:tcPr>
          <w:p w14:paraId="430194B1"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2EB231DA" w14:textId="69A30C89"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052F5316" w14:textId="2F24CFF8" w:rsidR="00A15990" w:rsidRDefault="00686A62">
            <w:pPr>
              <w:pStyle w:val="P68B1DB1-Normal12"/>
              <w:spacing w:after="0" w:line="240" w:lineRule="auto"/>
              <w:jc w:val="center"/>
              <w:rPr>
                <w:rFonts w:eastAsia="Times New Roman" w:cstheme="minorHAnsi"/>
                <w:noProof/>
              </w:rPr>
            </w:pPr>
            <w:r>
              <w:rPr>
                <w:noProof/>
              </w:rPr>
              <w:t>12 500</w:t>
            </w:r>
          </w:p>
        </w:tc>
        <w:tc>
          <w:tcPr>
            <w:tcW w:w="992" w:type="dxa"/>
            <w:shd w:val="clear" w:color="auto" w:fill="C4EFCE"/>
            <w:noWrap/>
            <w:vAlign w:val="center"/>
          </w:tcPr>
          <w:p w14:paraId="03933323" w14:textId="324B1BA9" w:rsidR="00A15990" w:rsidRDefault="00686A62">
            <w:pPr>
              <w:pStyle w:val="P68B1DB1-Normal12"/>
              <w:spacing w:after="0" w:line="240" w:lineRule="auto"/>
              <w:jc w:val="center"/>
              <w:rPr>
                <w:rFonts w:eastAsia="Times New Roman" w:cstheme="minorHAnsi"/>
                <w:noProof/>
              </w:rPr>
            </w:pPr>
            <w:r>
              <w:rPr>
                <w:noProof/>
              </w:rPr>
              <w:t>25 000</w:t>
            </w:r>
          </w:p>
        </w:tc>
        <w:tc>
          <w:tcPr>
            <w:tcW w:w="567" w:type="dxa"/>
            <w:shd w:val="clear" w:color="auto" w:fill="C4EFCE"/>
            <w:noWrap/>
            <w:vAlign w:val="center"/>
          </w:tcPr>
          <w:p w14:paraId="411D6569" w14:textId="0670EF93"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1FC8409E" w14:textId="35A39153"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63AE36" w14:textId="5F0AFC76" w:rsidR="00A15990" w:rsidRDefault="00686A62">
            <w:pPr>
              <w:pStyle w:val="P68B1DB1-Normal12"/>
              <w:spacing w:after="0" w:line="240" w:lineRule="auto"/>
              <w:jc w:val="both"/>
              <w:rPr>
                <w:rFonts w:eastAsia="Times New Roman" w:cstheme="minorHAnsi"/>
                <w:noProof/>
              </w:rPr>
            </w:pPr>
            <w:r>
              <w:rPr>
                <w:noProof/>
              </w:rPr>
              <w:t xml:space="preserve">Numărul de persoane instruite fie în cadrul Programului privind munca și competențele ecologice, fie în cadrul cursurilor din cadrul Centrului de formare pentru tranziția energetică. Cel puțin 12 500 de persoane trebuie să fie instruite în cadrul Centrului de formare pentru tranziția energetică. </w:t>
            </w:r>
          </w:p>
        </w:tc>
      </w:tr>
      <w:tr w:rsidR="00A15990" w14:paraId="01B2B8AD" w14:textId="77777777">
        <w:trPr>
          <w:trHeight w:val="430"/>
        </w:trPr>
        <w:tc>
          <w:tcPr>
            <w:tcW w:w="1135" w:type="dxa"/>
            <w:shd w:val="clear" w:color="auto" w:fill="C4EFCE"/>
            <w:vAlign w:val="center"/>
          </w:tcPr>
          <w:p w14:paraId="56013C8B" w14:textId="37C588C6" w:rsidR="00A15990" w:rsidRDefault="00686A62">
            <w:pPr>
              <w:pStyle w:val="P68B1DB1-Normal11"/>
              <w:spacing w:after="0" w:line="240" w:lineRule="auto"/>
              <w:jc w:val="center"/>
              <w:rPr>
                <w:rFonts w:eastAsia="Times New Roman" w:cstheme="minorHAnsi"/>
                <w:noProof/>
              </w:rPr>
            </w:pPr>
            <w:r>
              <w:rPr>
                <w:noProof/>
              </w:rPr>
              <w:t>21.16</w:t>
            </w:r>
          </w:p>
        </w:tc>
        <w:tc>
          <w:tcPr>
            <w:tcW w:w="1276" w:type="dxa"/>
            <w:shd w:val="clear" w:color="auto" w:fill="C4EFCE"/>
            <w:noWrap/>
            <w:vAlign w:val="center"/>
          </w:tcPr>
          <w:p w14:paraId="087C73AC" w14:textId="2C060A7C" w:rsidR="00A15990" w:rsidRDefault="00686A62">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296E326D" w14:textId="5E900A9F"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03914822" w14:textId="4E6DAE08" w:rsidR="00A15990" w:rsidRDefault="00686A62">
            <w:pPr>
              <w:pStyle w:val="P68B1DB1-Bodytext1013"/>
              <w:spacing w:line="240" w:lineRule="auto"/>
              <w:jc w:val="center"/>
              <w:rPr>
                <w:rFonts w:cstheme="minorHAnsi"/>
                <w:noProof/>
              </w:rPr>
            </w:pPr>
            <w:r>
              <w:rPr>
                <w:noProof/>
              </w:rPr>
              <w:t>Intrarea în vigoare a unui act administrativ sau juridic privind hidrogenul din surse regenerabile</w:t>
            </w:r>
          </w:p>
        </w:tc>
        <w:tc>
          <w:tcPr>
            <w:tcW w:w="1275" w:type="dxa"/>
            <w:shd w:val="clear" w:color="auto" w:fill="C4EFCE"/>
            <w:noWrap/>
            <w:vAlign w:val="center"/>
          </w:tcPr>
          <w:p w14:paraId="7788ED3B" w14:textId="253DA9A9" w:rsidR="00A15990" w:rsidRDefault="00686A62">
            <w:pPr>
              <w:pStyle w:val="P68B1DB1-Normal12"/>
              <w:spacing w:after="0" w:line="240" w:lineRule="auto"/>
              <w:jc w:val="center"/>
              <w:rPr>
                <w:rFonts w:eastAsia="Times New Roman" w:cstheme="minorHAnsi"/>
                <w:noProof/>
              </w:rPr>
            </w:pPr>
            <w:r>
              <w:rPr>
                <w:noProof/>
              </w:rPr>
              <w:t>Dispoziție din actul administrativ sau juridic care indică intrarea sa în vigoare</w:t>
            </w:r>
          </w:p>
        </w:tc>
        <w:tc>
          <w:tcPr>
            <w:tcW w:w="993" w:type="dxa"/>
            <w:shd w:val="clear" w:color="auto" w:fill="C4EFCE"/>
            <w:noWrap/>
            <w:vAlign w:val="center"/>
          </w:tcPr>
          <w:p w14:paraId="5B01E911"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3571C1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FDDCCA3"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2B00763D" w14:textId="56911041"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4BC4C0BA" w14:textId="16296F8C" w:rsidR="00A15990" w:rsidRDefault="00686A62">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56226CBF" w14:textId="2224A00D" w:rsidR="00A15990" w:rsidRDefault="00686A62">
            <w:pPr>
              <w:pStyle w:val="P68B1DB1-Bodytext1013"/>
              <w:spacing w:after="0" w:line="240" w:lineRule="auto"/>
              <w:jc w:val="both"/>
              <w:rPr>
                <w:rFonts w:cstheme="minorHAnsi"/>
                <w:noProof/>
              </w:rPr>
            </w:pPr>
            <w:r>
              <w:rPr>
                <w:noProof/>
              </w:rPr>
              <w:t>Intrarea în vigoare a unui act administrativ sau juridic privind hidrogenul din surse regenerabile care precizează că numai instalațiile care îndeplinesc cerințele incluse în Directiva privind energia din surse regenerabile și în actele sale delegate (2018/2001/UE) sunt considerate instalații de producere a hidrogenului din surse regenerabile.</w:t>
            </w:r>
          </w:p>
        </w:tc>
      </w:tr>
      <w:tr w:rsidR="00A15990" w14:paraId="7A0E7FBC" w14:textId="77777777">
        <w:trPr>
          <w:trHeight w:val="430"/>
        </w:trPr>
        <w:tc>
          <w:tcPr>
            <w:tcW w:w="1135" w:type="dxa"/>
            <w:shd w:val="clear" w:color="auto" w:fill="C4EFCE"/>
            <w:vAlign w:val="center"/>
          </w:tcPr>
          <w:p w14:paraId="3D1E7654" w14:textId="46F81725" w:rsidR="00A15990" w:rsidRDefault="00686A62">
            <w:pPr>
              <w:pStyle w:val="P68B1DB1-Normal11"/>
              <w:spacing w:after="0" w:line="240" w:lineRule="auto"/>
              <w:jc w:val="center"/>
              <w:rPr>
                <w:rFonts w:eastAsia="Times New Roman" w:cstheme="minorHAnsi"/>
                <w:noProof/>
              </w:rPr>
            </w:pPr>
            <w:r>
              <w:rPr>
                <w:noProof/>
              </w:rPr>
              <w:t>21.17</w:t>
            </w:r>
          </w:p>
        </w:tc>
        <w:tc>
          <w:tcPr>
            <w:tcW w:w="1276" w:type="dxa"/>
            <w:shd w:val="clear" w:color="auto" w:fill="C4EFCE"/>
            <w:noWrap/>
            <w:vAlign w:val="center"/>
          </w:tcPr>
          <w:p w14:paraId="54AE443D" w14:textId="7ECCFA54" w:rsidR="00A15990" w:rsidRDefault="00686A62">
            <w:pPr>
              <w:pStyle w:val="P68B1DB1-Normal12"/>
              <w:spacing w:after="0" w:line="240" w:lineRule="auto"/>
              <w:jc w:val="center"/>
              <w:rPr>
                <w:rFonts w:eastAsia="Times New Roman"/>
                <w:noProof/>
              </w:rPr>
            </w:pPr>
            <w:r>
              <w:rPr>
                <w:noProof/>
              </w:rPr>
              <w:t>RP-C21-r46</w:t>
            </w:r>
          </w:p>
        </w:tc>
        <w:tc>
          <w:tcPr>
            <w:tcW w:w="1134" w:type="dxa"/>
            <w:shd w:val="clear" w:color="auto" w:fill="C4EFCE"/>
            <w:noWrap/>
            <w:vAlign w:val="center"/>
          </w:tcPr>
          <w:p w14:paraId="3C7CBC31" w14:textId="351C4C41"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84C6A16" w14:textId="19A6254B" w:rsidR="00A15990" w:rsidRDefault="00686A62">
            <w:pPr>
              <w:pStyle w:val="P68B1DB1-Normal12"/>
              <w:spacing w:after="0" w:line="240" w:lineRule="auto"/>
              <w:jc w:val="center"/>
              <w:rPr>
                <w:rFonts w:eastAsia="Times New Roman" w:cstheme="minorHAnsi"/>
                <w:noProof/>
              </w:rPr>
            </w:pPr>
            <w:r>
              <w:rPr>
                <w:noProof/>
              </w:rPr>
              <w:t>Intrarea în vigoare a Regulamentului revizuit privind rețeaua națională de transport de gaze și a Regulamentului privind rețeaua națională de distribuție a gazelor</w:t>
            </w:r>
          </w:p>
        </w:tc>
        <w:tc>
          <w:tcPr>
            <w:tcW w:w="1275" w:type="dxa"/>
            <w:shd w:val="clear" w:color="auto" w:fill="C4EFCE"/>
            <w:noWrap/>
            <w:vAlign w:val="center"/>
          </w:tcPr>
          <w:p w14:paraId="468E9001" w14:textId="5D32AEED" w:rsidR="00A15990" w:rsidRDefault="00686A62">
            <w:pPr>
              <w:pStyle w:val="P68B1DB1-Normal12"/>
              <w:spacing w:after="0" w:line="240" w:lineRule="auto"/>
              <w:jc w:val="center"/>
              <w:rPr>
                <w:rFonts w:eastAsia="Times New Roman" w:cstheme="minorHAnsi"/>
                <w:noProof/>
              </w:rPr>
            </w:pPr>
            <w:r>
              <w:rPr>
                <w:noProof/>
              </w:rPr>
              <w:t xml:space="preserve">Dispoziție din regulamente care indică data de intrare în vigoare a regulamentului </w:t>
            </w:r>
          </w:p>
        </w:tc>
        <w:tc>
          <w:tcPr>
            <w:tcW w:w="993" w:type="dxa"/>
            <w:shd w:val="clear" w:color="auto" w:fill="C4EFCE"/>
            <w:noWrap/>
            <w:vAlign w:val="center"/>
          </w:tcPr>
          <w:p w14:paraId="6637512D"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3320AE1"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1D84A47"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41A67F67" w14:textId="6ADF699D"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2B7264B1" w14:textId="17E3A68C"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8D9EB5" w14:textId="1378FBBD" w:rsidR="00A15990" w:rsidRDefault="00686A62">
            <w:pPr>
              <w:pStyle w:val="P68B1DB1-Normal12"/>
              <w:spacing w:after="0" w:line="240" w:lineRule="auto"/>
              <w:jc w:val="both"/>
              <w:rPr>
                <w:rFonts w:eastAsia="Times New Roman" w:cstheme="minorHAnsi"/>
                <w:noProof/>
              </w:rPr>
            </w:pPr>
            <w:r>
              <w:rPr>
                <w:noProof/>
              </w:rPr>
              <w:t>Intrarea în vigoare a Regulamentului revizuit privind rețeaua națională de transport al gazelor și a Regulamentului privind rețeaua națională de distribuție a gazelor, care specifică criteriile pentru injectarea hidrogenului din surse regenerabile în rețeaua de gaze.</w:t>
            </w:r>
          </w:p>
        </w:tc>
      </w:tr>
      <w:tr w:rsidR="00A15990" w14:paraId="605D9DEB" w14:textId="77777777">
        <w:trPr>
          <w:trHeight w:val="430"/>
        </w:trPr>
        <w:tc>
          <w:tcPr>
            <w:tcW w:w="1135" w:type="dxa"/>
            <w:shd w:val="clear" w:color="auto" w:fill="C4EFCE"/>
            <w:vAlign w:val="center"/>
          </w:tcPr>
          <w:p w14:paraId="79442355" w14:textId="47ECB25B" w:rsidR="00A15990" w:rsidRDefault="00686A62">
            <w:pPr>
              <w:pStyle w:val="P68B1DB1-Normal11"/>
              <w:spacing w:after="0" w:line="240" w:lineRule="auto"/>
              <w:jc w:val="center"/>
              <w:rPr>
                <w:rFonts w:eastAsia="Times New Roman" w:cstheme="minorHAnsi"/>
                <w:noProof/>
              </w:rPr>
            </w:pPr>
            <w:r>
              <w:rPr>
                <w:noProof/>
              </w:rPr>
              <w:t>21.18</w:t>
            </w:r>
          </w:p>
        </w:tc>
        <w:tc>
          <w:tcPr>
            <w:tcW w:w="1276" w:type="dxa"/>
            <w:shd w:val="clear" w:color="auto" w:fill="C4EFCE"/>
            <w:noWrap/>
            <w:vAlign w:val="center"/>
          </w:tcPr>
          <w:p w14:paraId="460C67CB" w14:textId="18AC6D11" w:rsidR="00A15990" w:rsidRDefault="00686A62">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4F6B095" w14:textId="68DF9292"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6E13C29" w14:textId="6406C986" w:rsidR="00A15990" w:rsidRDefault="00686A62">
            <w:pPr>
              <w:pStyle w:val="P68B1DB1-Normal12"/>
              <w:spacing w:after="0" w:line="240" w:lineRule="auto"/>
              <w:jc w:val="center"/>
              <w:rPr>
                <w:rFonts w:eastAsia="Times New Roman" w:cstheme="minorHAnsi"/>
                <w:noProof/>
              </w:rPr>
            </w:pPr>
            <w:r>
              <w:rPr>
                <w:noProof/>
              </w:rPr>
              <w:t>Lansarea primei licitații pentru achiziționarea centralizată de biometan durabil</w:t>
            </w:r>
          </w:p>
        </w:tc>
        <w:tc>
          <w:tcPr>
            <w:tcW w:w="1275" w:type="dxa"/>
            <w:shd w:val="clear" w:color="auto" w:fill="C4EFCE"/>
            <w:noWrap/>
            <w:vAlign w:val="center"/>
          </w:tcPr>
          <w:p w14:paraId="69CDF0A5" w14:textId="736DF564" w:rsidR="00A15990" w:rsidRDefault="00686A62">
            <w:pPr>
              <w:pStyle w:val="P68B1DB1-Normal12"/>
              <w:spacing w:after="0" w:line="240" w:lineRule="auto"/>
              <w:jc w:val="center"/>
              <w:rPr>
                <w:rFonts w:eastAsia="Times New Roman" w:cstheme="minorHAnsi"/>
                <w:noProof/>
              </w:rPr>
            </w:pPr>
            <w:r>
              <w:rPr>
                <w:noProof/>
              </w:rPr>
              <w:t>Lansarea primei licitații pentru achiziționarea centralizată de biometan durabil</w:t>
            </w:r>
          </w:p>
        </w:tc>
        <w:tc>
          <w:tcPr>
            <w:tcW w:w="993" w:type="dxa"/>
            <w:shd w:val="clear" w:color="auto" w:fill="C4EFCE"/>
            <w:noWrap/>
            <w:vAlign w:val="center"/>
          </w:tcPr>
          <w:p w14:paraId="5C6BE3C1" w14:textId="77777777" w:rsidR="00A15990" w:rsidRDefault="00A15990">
            <w:pPr>
              <w:pStyle w:val="Bodytext10"/>
              <w:rPr>
                <w:rFonts w:asciiTheme="minorHAnsi" w:hAnsiTheme="minorHAnsi" w:cstheme="minorHAnsi"/>
                <w:noProof/>
                <w:sz w:val="16"/>
              </w:rPr>
            </w:pPr>
          </w:p>
          <w:p w14:paraId="1C95DE8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C86D329"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1B5F97E0"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3D5226E5" w14:textId="320D48A4"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13AAF3B7" w14:textId="42A89A23" w:rsidR="00A15990" w:rsidRDefault="00686A62">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205462C3" w14:textId="592E1365" w:rsidR="00A15990" w:rsidRDefault="00686A62">
            <w:pPr>
              <w:pStyle w:val="P68B1DB1-Normal12"/>
              <w:spacing w:after="0" w:line="240" w:lineRule="auto"/>
              <w:jc w:val="both"/>
              <w:rPr>
                <w:rFonts w:eastAsia="Times New Roman" w:cstheme="minorHAnsi"/>
                <w:noProof/>
              </w:rPr>
            </w:pPr>
            <w:r>
              <w:rPr>
                <w:noProof/>
              </w:rPr>
              <w:t>Lansarea primei licitații pentru achiziționarea centralizată de biometan durabil, în conformitate cu normele stabilite în Ordonanța Guvernului nr. 15/2023 din 4 ianuarie, care vizează achiziționarea a 150 GWh/an de biometan pentru a fi injectat în rețeaua națională de gaze.</w:t>
            </w:r>
          </w:p>
        </w:tc>
      </w:tr>
      <w:tr w:rsidR="00A15990" w14:paraId="1C21BC20" w14:textId="77777777">
        <w:trPr>
          <w:trHeight w:val="430"/>
        </w:trPr>
        <w:tc>
          <w:tcPr>
            <w:tcW w:w="1135" w:type="dxa"/>
            <w:shd w:val="clear" w:color="auto" w:fill="C4EFCE"/>
            <w:vAlign w:val="center"/>
          </w:tcPr>
          <w:p w14:paraId="7BCD5805" w14:textId="57AAEBFF" w:rsidR="00A15990" w:rsidRDefault="00686A62">
            <w:pPr>
              <w:pStyle w:val="P68B1DB1-Normal11"/>
              <w:spacing w:after="0" w:line="240" w:lineRule="auto"/>
              <w:jc w:val="center"/>
              <w:rPr>
                <w:rFonts w:eastAsia="Times New Roman" w:cstheme="minorHAnsi"/>
                <w:noProof/>
              </w:rPr>
            </w:pPr>
            <w:r>
              <w:rPr>
                <w:noProof/>
              </w:rPr>
              <w:t>21.19</w:t>
            </w:r>
          </w:p>
        </w:tc>
        <w:tc>
          <w:tcPr>
            <w:tcW w:w="1276" w:type="dxa"/>
            <w:shd w:val="clear" w:color="auto" w:fill="C4EFCE"/>
            <w:noWrap/>
            <w:vAlign w:val="center"/>
          </w:tcPr>
          <w:p w14:paraId="0FB6B493" w14:textId="29E0E517" w:rsidR="00A15990" w:rsidRDefault="00686A62">
            <w:pPr>
              <w:pStyle w:val="P68B1DB1-Normal12"/>
              <w:spacing w:after="0" w:line="240" w:lineRule="auto"/>
              <w:jc w:val="center"/>
              <w:rPr>
                <w:rFonts w:eastAsia="Times New Roman"/>
                <w:noProof/>
              </w:rPr>
            </w:pPr>
            <w:r>
              <w:rPr>
                <w:noProof/>
              </w:rPr>
              <w:t>RP-C21-r47</w:t>
            </w:r>
          </w:p>
        </w:tc>
        <w:tc>
          <w:tcPr>
            <w:tcW w:w="1134" w:type="dxa"/>
            <w:shd w:val="clear" w:color="auto" w:fill="C4EFCE"/>
            <w:noWrap/>
            <w:vAlign w:val="center"/>
          </w:tcPr>
          <w:p w14:paraId="6F3A2F82" w14:textId="6C89584C"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263D92B4" w14:textId="6C0D542B" w:rsidR="00A15990" w:rsidRDefault="00686A62">
            <w:pPr>
              <w:pStyle w:val="P68B1DB1-Normal12"/>
              <w:spacing w:after="0" w:line="240" w:lineRule="auto"/>
              <w:jc w:val="center"/>
              <w:rPr>
                <w:rFonts w:eastAsia="Times New Roman" w:cstheme="minorHAnsi"/>
                <w:noProof/>
              </w:rPr>
            </w:pPr>
            <w:r>
              <w:rPr>
                <w:noProof/>
              </w:rPr>
              <w:t>Adoptarea Planului de acțiune privind biometanul</w:t>
            </w:r>
          </w:p>
        </w:tc>
        <w:tc>
          <w:tcPr>
            <w:tcW w:w="1275" w:type="dxa"/>
            <w:shd w:val="clear" w:color="auto" w:fill="C4EFCE"/>
            <w:noWrap/>
            <w:vAlign w:val="center"/>
          </w:tcPr>
          <w:p w14:paraId="2331BC43" w14:textId="5662D980" w:rsidR="00A15990" w:rsidRDefault="00686A62">
            <w:pPr>
              <w:pStyle w:val="P68B1DB1-Normal12"/>
              <w:spacing w:after="0" w:line="240" w:lineRule="auto"/>
              <w:jc w:val="center"/>
              <w:rPr>
                <w:rFonts w:eastAsia="Times New Roman" w:cstheme="minorHAnsi"/>
                <w:noProof/>
              </w:rPr>
            </w:pPr>
            <w:r>
              <w:rPr>
                <w:noProof/>
              </w:rPr>
              <w:t>Adoptarea Planului de acțiune privind biometanul</w:t>
            </w:r>
          </w:p>
        </w:tc>
        <w:tc>
          <w:tcPr>
            <w:tcW w:w="993" w:type="dxa"/>
            <w:shd w:val="clear" w:color="auto" w:fill="C4EFCE"/>
            <w:noWrap/>
            <w:vAlign w:val="center"/>
          </w:tcPr>
          <w:p w14:paraId="46102B02"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54ECF4E"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B73CC88"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547A7E82" w14:textId="293EE249"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7A5419DD" w14:textId="6C7BDBBD"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07712EEC" w14:textId="66A9DDF7" w:rsidR="00A15990" w:rsidRDefault="00686A62">
            <w:pPr>
              <w:pStyle w:val="P68B1DB1-Normal12"/>
              <w:spacing w:after="0" w:line="240" w:lineRule="auto"/>
              <w:jc w:val="both"/>
              <w:rPr>
                <w:rFonts w:eastAsia="Times New Roman" w:cstheme="minorHAnsi"/>
                <w:noProof/>
              </w:rPr>
            </w:pPr>
            <w:r>
              <w:rPr>
                <w:noProof/>
              </w:rPr>
              <w:t xml:space="preserve">Adoptarea planului de acțiune pentru biometan, care stabilește o strategie pentru dezvoltarea pieței biometanului. </w:t>
            </w:r>
          </w:p>
        </w:tc>
      </w:tr>
      <w:tr w:rsidR="00A15990" w14:paraId="418F63A0" w14:textId="77777777">
        <w:trPr>
          <w:trHeight w:val="430"/>
        </w:trPr>
        <w:tc>
          <w:tcPr>
            <w:tcW w:w="1135" w:type="dxa"/>
            <w:shd w:val="clear" w:color="auto" w:fill="C4EFCE"/>
            <w:vAlign w:val="center"/>
          </w:tcPr>
          <w:p w14:paraId="142F0F30" w14:textId="5290C99B" w:rsidR="00A15990" w:rsidRDefault="00686A62">
            <w:pPr>
              <w:pStyle w:val="P68B1DB1-Normal11"/>
              <w:spacing w:after="0" w:line="240" w:lineRule="auto"/>
              <w:jc w:val="center"/>
              <w:rPr>
                <w:rFonts w:eastAsia="Times New Roman" w:cstheme="minorHAnsi"/>
                <w:noProof/>
              </w:rPr>
            </w:pPr>
            <w:r>
              <w:rPr>
                <w:noProof/>
              </w:rPr>
              <w:t>21.20</w:t>
            </w:r>
          </w:p>
        </w:tc>
        <w:tc>
          <w:tcPr>
            <w:tcW w:w="1276" w:type="dxa"/>
            <w:shd w:val="clear" w:color="auto" w:fill="C4EFCE"/>
            <w:noWrap/>
            <w:vAlign w:val="center"/>
          </w:tcPr>
          <w:p w14:paraId="6C665450" w14:textId="33C17ADF" w:rsidR="00A15990" w:rsidRDefault="00686A62">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CBD83E4" w14:textId="031B82C1"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D797AFF" w14:textId="7C6D96EE" w:rsidR="00A15990" w:rsidRDefault="00686A62">
            <w:pPr>
              <w:pStyle w:val="P68B1DB1-Normal12"/>
              <w:spacing w:after="0" w:line="240" w:lineRule="auto"/>
              <w:jc w:val="center"/>
              <w:rPr>
                <w:rFonts w:eastAsia="Times New Roman" w:cstheme="minorHAnsi"/>
                <w:noProof/>
              </w:rPr>
            </w:pPr>
            <w:r>
              <w:rPr>
                <w:noProof/>
              </w:rPr>
              <w:t>Stabilirea umerului 2030</w:t>
            </w:r>
          </w:p>
        </w:tc>
        <w:tc>
          <w:tcPr>
            <w:tcW w:w="1275" w:type="dxa"/>
            <w:shd w:val="clear" w:color="auto" w:fill="C4EFCE"/>
            <w:noWrap/>
            <w:vAlign w:val="center"/>
          </w:tcPr>
          <w:p w14:paraId="3870792E" w14:textId="39267017" w:rsidR="00A15990" w:rsidRDefault="00686A62">
            <w:pPr>
              <w:pStyle w:val="P68B1DB1-Normal12"/>
              <w:spacing w:after="0" w:line="240" w:lineRule="auto"/>
              <w:jc w:val="center"/>
              <w:rPr>
                <w:rFonts w:eastAsia="Times New Roman" w:cstheme="minorHAnsi"/>
                <w:noProof/>
              </w:rPr>
            </w:pPr>
            <w:r>
              <w:rPr>
                <w:noProof/>
              </w:rPr>
              <w:t xml:space="preserve">Dispoziție din actul normativ care indică data de intrare în vigoare a actului normativ </w:t>
            </w:r>
          </w:p>
        </w:tc>
        <w:tc>
          <w:tcPr>
            <w:tcW w:w="993" w:type="dxa"/>
            <w:shd w:val="clear" w:color="auto" w:fill="C4EFCE"/>
            <w:noWrap/>
            <w:vAlign w:val="center"/>
          </w:tcPr>
          <w:p w14:paraId="4DE5ACF5"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F290546"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3BC3933"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46EB5396" w14:textId="2FD78DB8"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4CF27736" w14:textId="7B6485C3" w:rsidR="00A15990" w:rsidRDefault="00686A62">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CD424AB" w14:textId="0D91A0DB" w:rsidR="00A15990" w:rsidRDefault="00686A62">
            <w:pPr>
              <w:pStyle w:val="P68B1DB1-Normal12"/>
              <w:spacing w:after="0" w:line="240" w:lineRule="auto"/>
              <w:jc w:val="both"/>
              <w:rPr>
                <w:rFonts w:eastAsia="Times New Roman" w:cstheme="minorHAnsi"/>
                <w:noProof/>
              </w:rPr>
            </w:pPr>
            <w:r>
              <w:rPr>
                <w:noProof/>
              </w:rPr>
              <w:t xml:space="preserve">Intrarea în vigoare a actului normativ conex de înființare 2030. Actul normativ definește sarcinile lui UM 2030, astfel cum sunt specificate în descrierea măsurii. </w:t>
            </w:r>
          </w:p>
        </w:tc>
      </w:tr>
      <w:tr w:rsidR="00A15990" w14:paraId="3434404A" w14:textId="77777777">
        <w:trPr>
          <w:trHeight w:val="430"/>
        </w:trPr>
        <w:tc>
          <w:tcPr>
            <w:tcW w:w="1135" w:type="dxa"/>
            <w:shd w:val="clear" w:color="auto" w:fill="C4EFCE"/>
            <w:vAlign w:val="center"/>
          </w:tcPr>
          <w:p w14:paraId="37F09A11" w14:textId="7EBD0484" w:rsidR="00A15990" w:rsidRDefault="00686A62">
            <w:pPr>
              <w:pStyle w:val="P68B1DB1-Normal11"/>
              <w:spacing w:after="0" w:line="240" w:lineRule="auto"/>
              <w:jc w:val="center"/>
              <w:rPr>
                <w:rFonts w:eastAsia="Times New Roman" w:cstheme="minorHAnsi"/>
                <w:noProof/>
              </w:rPr>
            </w:pPr>
            <w:r>
              <w:rPr>
                <w:noProof/>
              </w:rPr>
              <w:t>21.21</w:t>
            </w:r>
          </w:p>
        </w:tc>
        <w:tc>
          <w:tcPr>
            <w:tcW w:w="1276" w:type="dxa"/>
            <w:shd w:val="clear" w:color="auto" w:fill="C4EFCE"/>
            <w:noWrap/>
            <w:vAlign w:val="center"/>
          </w:tcPr>
          <w:p w14:paraId="24535339" w14:textId="20939CD9" w:rsidR="00A15990" w:rsidRDefault="00686A62">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2BAC6B67" w14:textId="5DA5E0AC"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10A12304" w14:textId="3FA91FDE" w:rsidR="00A15990" w:rsidRDefault="00686A62">
            <w:pPr>
              <w:pStyle w:val="P68B1DB1-Normal12"/>
              <w:spacing w:after="0" w:line="240" w:lineRule="auto"/>
              <w:jc w:val="center"/>
              <w:rPr>
                <w:rFonts w:eastAsia="Times New Roman" w:cstheme="minorHAnsi"/>
                <w:noProof/>
              </w:rPr>
            </w:pPr>
            <w:r>
              <w:rPr>
                <w:noProof/>
              </w:rPr>
              <w:t>Intrarea în vigoare a Regulamentului privind acordarea de licențe municipale pentru proiectele de energie din surse regenerabile și stocare</w:t>
            </w:r>
          </w:p>
        </w:tc>
        <w:tc>
          <w:tcPr>
            <w:tcW w:w="1275" w:type="dxa"/>
            <w:shd w:val="clear" w:color="auto" w:fill="C4EFCE"/>
            <w:noWrap/>
            <w:vAlign w:val="center"/>
          </w:tcPr>
          <w:p w14:paraId="10C906B4" w14:textId="27FE202E" w:rsidR="00A15990" w:rsidRDefault="00686A62">
            <w:pPr>
              <w:pStyle w:val="P68B1DB1-Normal12"/>
              <w:spacing w:after="0" w:line="240" w:lineRule="auto"/>
              <w:jc w:val="center"/>
              <w:rPr>
                <w:rFonts w:eastAsia="Times New Roman" w:cstheme="minorHAnsi"/>
                <w:noProof/>
              </w:rPr>
            </w:pPr>
            <w:r>
              <w:rPr>
                <w:noProof/>
              </w:rPr>
              <w:t xml:space="preserve">Dispoziție din Regulamentul municipal care indică data de intrare în vigoare a regulamentului municipal </w:t>
            </w:r>
          </w:p>
        </w:tc>
        <w:tc>
          <w:tcPr>
            <w:tcW w:w="993" w:type="dxa"/>
            <w:shd w:val="clear" w:color="auto" w:fill="C4EFCE"/>
            <w:noWrap/>
            <w:vAlign w:val="center"/>
          </w:tcPr>
          <w:p w14:paraId="0B12EE5A"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04EA6B1"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145DD6C1"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6F0466BA" w14:textId="4D7C3903"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16E5EBC1" w14:textId="31A3FA96" w:rsidR="00A15990" w:rsidRDefault="00686A62">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D91FA19" w14:textId="7AD125CE" w:rsidR="00A15990" w:rsidRDefault="00686A62">
            <w:pPr>
              <w:pStyle w:val="P68B1DB1-Normal12"/>
              <w:spacing w:after="0" w:line="240" w:lineRule="auto"/>
              <w:jc w:val="both"/>
              <w:rPr>
                <w:rFonts w:eastAsia="Times New Roman" w:cstheme="minorHAnsi"/>
                <w:noProof/>
              </w:rPr>
            </w:pPr>
            <w:r>
              <w:rPr>
                <w:noProof/>
              </w:rPr>
              <w:t>Publicarea rezoluției Consiliului de Miniștri de stabilire a regulamentului privind acordarea de licențe municipale pentru proiectele în domeniul energiei din surse regenerabile și stocarea energiei din surse regenerabile.</w:t>
            </w:r>
          </w:p>
        </w:tc>
      </w:tr>
      <w:tr w:rsidR="00A15990" w14:paraId="59D26DB7" w14:textId="77777777">
        <w:trPr>
          <w:trHeight w:val="430"/>
        </w:trPr>
        <w:tc>
          <w:tcPr>
            <w:tcW w:w="1135" w:type="dxa"/>
            <w:shd w:val="clear" w:color="auto" w:fill="C4EFCE"/>
            <w:vAlign w:val="center"/>
          </w:tcPr>
          <w:p w14:paraId="4648D13C" w14:textId="44A43D75" w:rsidR="00A15990" w:rsidRDefault="00686A62">
            <w:pPr>
              <w:pStyle w:val="P68B1DB1-Normal11"/>
              <w:spacing w:after="0" w:line="240" w:lineRule="auto"/>
              <w:jc w:val="center"/>
              <w:rPr>
                <w:rFonts w:eastAsia="Times New Roman" w:cstheme="minorHAnsi"/>
                <w:noProof/>
              </w:rPr>
            </w:pPr>
            <w:r>
              <w:rPr>
                <w:noProof/>
              </w:rPr>
              <w:t>21.22</w:t>
            </w:r>
          </w:p>
        </w:tc>
        <w:tc>
          <w:tcPr>
            <w:tcW w:w="1276" w:type="dxa"/>
            <w:shd w:val="clear" w:color="auto" w:fill="C4EFCE"/>
            <w:noWrap/>
            <w:vAlign w:val="center"/>
          </w:tcPr>
          <w:p w14:paraId="728FC768" w14:textId="59F4F085" w:rsidR="00A15990" w:rsidRDefault="00686A62">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0E1CE1B" w14:textId="1F3111B7"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1AC95E2" w14:textId="5B253EDB" w:rsidR="00A15990" w:rsidRDefault="00686A62">
            <w:pPr>
              <w:pStyle w:val="P68B1DB1-Normal12"/>
              <w:spacing w:after="0" w:line="240" w:lineRule="auto"/>
              <w:jc w:val="center"/>
              <w:rPr>
                <w:rFonts w:eastAsia="Times New Roman" w:cstheme="minorHAnsi"/>
                <w:noProof/>
              </w:rPr>
            </w:pPr>
            <w:r>
              <w:rPr>
                <w:noProof/>
              </w:rPr>
              <w:t>Formarea personalului implicat în autorizarea proiectelor privind energia din surse regenerabile</w:t>
            </w:r>
          </w:p>
        </w:tc>
        <w:tc>
          <w:tcPr>
            <w:tcW w:w="1275" w:type="dxa"/>
            <w:shd w:val="clear" w:color="auto" w:fill="C4EFCE"/>
            <w:noWrap/>
            <w:vAlign w:val="center"/>
          </w:tcPr>
          <w:p w14:paraId="14FEE229"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1136F752" w14:textId="546F194B"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04BAAFA7" w14:textId="452A409E" w:rsidR="00A15990" w:rsidRDefault="00686A62">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08F14940" w14:textId="00FDB63C" w:rsidR="00A15990" w:rsidRDefault="00686A62">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2B93DCD7" w14:textId="2044BE31"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628BED9C" w14:textId="08411F98"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D275AC8" w14:textId="3EE92F9A" w:rsidR="00A15990" w:rsidRDefault="00686A62">
            <w:pPr>
              <w:pStyle w:val="P68B1DB1-Normal12"/>
              <w:spacing w:after="0" w:line="240" w:lineRule="auto"/>
              <w:jc w:val="both"/>
              <w:rPr>
                <w:rFonts w:eastAsia="Times New Roman" w:cstheme="minorHAnsi"/>
                <w:noProof/>
              </w:rPr>
            </w:pPr>
            <w:r>
              <w:rPr>
                <w:noProof/>
              </w:rPr>
              <w:t xml:space="preserve">500 managerii și tehnicienii administrației publice centrale, regionale și locale sunt formați în domenii legate de procedurile de autorizare pentru proiectele privind energia din surse regenerabile și stocarea energiei. </w:t>
            </w:r>
          </w:p>
        </w:tc>
      </w:tr>
      <w:tr w:rsidR="00A15990" w14:paraId="36CE5503" w14:textId="77777777">
        <w:trPr>
          <w:trHeight w:val="430"/>
        </w:trPr>
        <w:tc>
          <w:tcPr>
            <w:tcW w:w="1135" w:type="dxa"/>
            <w:shd w:val="clear" w:color="auto" w:fill="C4EFCE"/>
            <w:vAlign w:val="center"/>
          </w:tcPr>
          <w:p w14:paraId="37D608B0" w14:textId="69E7C5E2" w:rsidR="00A15990" w:rsidRDefault="00686A62">
            <w:pPr>
              <w:pStyle w:val="P68B1DB1-Normal11"/>
              <w:spacing w:after="0" w:line="240" w:lineRule="auto"/>
              <w:jc w:val="center"/>
              <w:rPr>
                <w:rFonts w:eastAsia="Times New Roman" w:cstheme="minorHAnsi"/>
                <w:noProof/>
              </w:rPr>
            </w:pPr>
            <w:r>
              <w:rPr>
                <w:noProof/>
              </w:rPr>
              <w:t>21.23</w:t>
            </w:r>
          </w:p>
        </w:tc>
        <w:tc>
          <w:tcPr>
            <w:tcW w:w="1276" w:type="dxa"/>
            <w:shd w:val="clear" w:color="auto" w:fill="C4EFCE"/>
            <w:noWrap/>
            <w:vAlign w:val="center"/>
          </w:tcPr>
          <w:p w14:paraId="29182886" w14:textId="24BC074B" w:rsidR="00A15990" w:rsidRDefault="00686A62">
            <w:pPr>
              <w:pStyle w:val="P68B1DB1-Normal12"/>
              <w:spacing w:after="0" w:line="240" w:lineRule="auto"/>
              <w:jc w:val="center"/>
              <w:rPr>
                <w:rFonts w:eastAsia="Times New Roman"/>
                <w:noProof/>
              </w:rPr>
            </w:pPr>
            <w:r>
              <w:rPr>
                <w:noProof/>
              </w:rPr>
              <w:t>RP-C21-r48</w:t>
            </w:r>
          </w:p>
        </w:tc>
        <w:tc>
          <w:tcPr>
            <w:tcW w:w="1134" w:type="dxa"/>
            <w:shd w:val="clear" w:color="auto" w:fill="C4EFCE"/>
            <w:noWrap/>
            <w:vAlign w:val="center"/>
          </w:tcPr>
          <w:p w14:paraId="1ED75554" w14:textId="2C085155"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5F13748" w14:textId="5624F122" w:rsidR="00A15990" w:rsidRDefault="00686A62">
            <w:pPr>
              <w:pStyle w:val="P68B1DB1-Normal12"/>
              <w:spacing w:after="0" w:line="240" w:lineRule="auto"/>
              <w:jc w:val="center"/>
              <w:rPr>
                <w:rFonts w:eastAsia="Times New Roman" w:cstheme="minorHAnsi"/>
                <w:noProof/>
              </w:rPr>
            </w:pPr>
            <w:r>
              <w:rPr>
                <w:noProof/>
              </w:rPr>
              <w:t>Adoptarea unui calendar pentru alocarea de noi capacități de energie din surse regenerabile, cu un accent deosebit pe zonele geografice care rezultă din „Programul sectorial «Valorificarea surselor regenerabile de energie»”</w:t>
            </w:r>
          </w:p>
        </w:tc>
        <w:tc>
          <w:tcPr>
            <w:tcW w:w="1275" w:type="dxa"/>
            <w:shd w:val="clear" w:color="auto" w:fill="C4EFCE"/>
            <w:noWrap/>
            <w:vAlign w:val="center"/>
          </w:tcPr>
          <w:p w14:paraId="51E28EBC" w14:textId="66E4B695" w:rsidR="00A15990" w:rsidRDefault="00686A62">
            <w:pPr>
              <w:pStyle w:val="P68B1DB1-Normal12"/>
              <w:spacing w:after="0" w:line="240" w:lineRule="auto"/>
              <w:jc w:val="center"/>
              <w:rPr>
                <w:rFonts w:eastAsia="Times New Roman" w:cstheme="minorHAnsi"/>
                <w:noProof/>
              </w:rPr>
            </w:pPr>
            <w:r>
              <w:rPr>
                <w:noProof/>
              </w:rPr>
              <w:t xml:space="preserve">Adoptarea unui calendar pentru alocarea de noi capacități SRE pe baza zonelor pretabile dezvoltării proiectelor de producere a energiei din surse regenerabile </w:t>
            </w:r>
          </w:p>
        </w:tc>
        <w:tc>
          <w:tcPr>
            <w:tcW w:w="993" w:type="dxa"/>
            <w:shd w:val="clear" w:color="auto" w:fill="C4EFCE"/>
            <w:noWrap/>
            <w:vAlign w:val="center"/>
          </w:tcPr>
          <w:p w14:paraId="7B8AAA5E"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11B6E3D1"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04E9295"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515A26CF" w14:textId="56B4BB75"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0A8FB463" w14:textId="6E885BE8"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607DDA1" w14:textId="4B0D2B85" w:rsidR="00A15990" w:rsidRDefault="00686A62">
            <w:pPr>
              <w:pStyle w:val="P68B1DB1-Normal12"/>
              <w:spacing w:after="0" w:line="240" w:lineRule="auto"/>
              <w:jc w:val="both"/>
              <w:rPr>
                <w:rFonts w:eastAsia="Times New Roman" w:cstheme="minorHAnsi"/>
                <w:noProof/>
              </w:rPr>
            </w:pPr>
            <w:r>
              <w:rPr>
                <w:noProof/>
              </w:rPr>
              <w:t xml:space="preserve">Adoptarea unui calendar pentru alocarea de noi capacități în domeniul energiei din surse regenerabile pentru dezvoltarea de proiecte în domeniul energiei din surse regenerabile (propus până în anul 2030), cu un accent deosebit pe zonele geografice care rezultă din „Programul sectorial «Zonele din surse regenerabile»”, care urmează să fie publicat în 2024. </w:t>
            </w:r>
          </w:p>
        </w:tc>
      </w:tr>
      <w:tr w:rsidR="00A15990" w14:paraId="41B1E0D5" w14:textId="77777777">
        <w:trPr>
          <w:trHeight w:val="430"/>
        </w:trPr>
        <w:tc>
          <w:tcPr>
            <w:tcW w:w="1135" w:type="dxa"/>
            <w:shd w:val="clear" w:color="auto" w:fill="C4EFCE"/>
            <w:vAlign w:val="center"/>
          </w:tcPr>
          <w:p w14:paraId="3CE0F6A4" w14:textId="7162E82F" w:rsidR="00A15990" w:rsidRDefault="00686A62">
            <w:pPr>
              <w:pStyle w:val="P68B1DB1-Normal11"/>
              <w:spacing w:after="0" w:line="240" w:lineRule="auto"/>
              <w:jc w:val="center"/>
              <w:rPr>
                <w:rFonts w:eastAsia="Times New Roman" w:cstheme="minorHAnsi"/>
                <w:noProof/>
              </w:rPr>
            </w:pPr>
            <w:r>
              <w:rPr>
                <w:noProof/>
              </w:rPr>
              <w:t>21.24</w:t>
            </w:r>
          </w:p>
        </w:tc>
        <w:tc>
          <w:tcPr>
            <w:tcW w:w="1276" w:type="dxa"/>
            <w:shd w:val="clear" w:color="auto" w:fill="C4EFCE"/>
            <w:noWrap/>
            <w:vAlign w:val="center"/>
          </w:tcPr>
          <w:p w14:paraId="1D62C08E" w14:textId="5C708E14" w:rsidR="00A15990" w:rsidRDefault="00686A62">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7081CC4B" w14:textId="0DFD479C"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E8748BD" w14:textId="48B0F1BB" w:rsidR="00A15990" w:rsidRDefault="00686A62">
            <w:pPr>
              <w:pStyle w:val="P68B1DB1-Normal12"/>
              <w:spacing w:after="0" w:line="240" w:lineRule="auto"/>
              <w:jc w:val="center"/>
              <w:rPr>
                <w:rFonts w:eastAsia="Times New Roman" w:cstheme="minorHAnsi"/>
                <w:noProof/>
              </w:rPr>
            </w:pPr>
            <w:r>
              <w:rPr>
                <w:noProof/>
              </w:rPr>
              <w:t>Cerere de oferte pentru proiecte de producere a gazelor din surse regenerabile</w:t>
            </w:r>
          </w:p>
        </w:tc>
        <w:tc>
          <w:tcPr>
            <w:tcW w:w="1275" w:type="dxa"/>
            <w:shd w:val="clear" w:color="auto" w:fill="C4EFCE"/>
            <w:noWrap/>
            <w:vAlign w:val="center"/>
          </w:tcPr>
          <w:p w14:paraId="66FE5F49" w14:textId="6737AF70" w:rsidR="00A15990" w:rsidRDefault="00686A62">
            <w:pPr>
              <w:pStyle w:val="P68B1DB1-Normal12"/>
              <w:spacing w:after="0" w:line="240" w:lineRule="auto"/>
              <w:jc w:val="center"/>
              <w:rPr>
                <w:rFonts w:eastAsia="Times New Roman" w:cstheme="minorHAnsi"/>
                <w:noProof/>
              </w:rPr>
            </w:pPr>
            <w:r>
              <w:rPr>
                <w:noProof/>
              </w:rPr>
              <w:t>Lansarea unei proceduri de ofertare</w:t>
            </w:r>
          </w:p>
        </w:tc>
        <w:tc>
          <w:tcPr>
            <w:tcW w:w="993" w:type="dxa"/>
            <w:shd w:val="clear" w:color="auto" w:fill="C4EFCE"/>
            <w:noWrap/>
            <w:vAlign w:val="center"/>
          </w:tcPr>
          <w:p w14:paraId="479A718C"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0B02F5A2"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0B95FF4D"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146FF056" w14:textId="0D036499"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2563D209" w14:textId="5636F9A1" w:rsidR="00A15990" w:rsidRDefault="00686A62">
            <w:pPr>
              <w:pStyle w:val="P68B1DB1-Normal12"/>
              <w:spacing w:after="0" w:line="240" w:lineRule="auto"/>
              <w:jc w:val="center"/>
              <w:rPr>
                <w:rFonts w:eastAsia="Times New Roman" w:cstheme="minorHAnsi"/>
                <w:noProof/>
              </w:rPr>
            </w:pPr>
            <w:r>
              <w:rPr>
                <w:noProof/>
              </w:rPr>
              <w:t>2023</w:t>
            </w:r>
          </w:p>
        </w:tc>
        <w:tc>
          <w:tcPr>
            <w:tcW w:w="3969" w:type="dxa"/>
            <w:shd w:val="clear" w:color="auto" w:fill="C4EFCE"/>
            <w:vAlign w:val="center"/>
          </w:tcPr>
          <w:p w14:paraId="017D5EFE" w14:textId="5E524A6E" w:rsidR="00A15990" w:rsidRDefault="00686A62">
            <w:pPr>
              <w:pStyle w:val="P68B1DB1-Normal12"/>
              <w:spacing w:after="0" w:line="240" w:lineRule="auto"/>
              <w:jc w:val="both"/>
              <w:rPr>
                <w:rFonts w:eastAsia="Times New Roman" w:cstheme="minorHAnsi"/>
                <w:noProof/>
              </w:rPr>
            </w:pPr>
            <w:r>
              <w:rPr>
                <w:noProof/>
              </w:rPr>
              <w:t>Lansarea cererii de propuneri pentru selectarea proiectelor care urmează să fie sprijinite pentru o capacitate instalată nouă de hidrogen din surse regenerabile și de alte gaze din surse regenerabile cu emisii de GES zero sau aproape egale cu zero pe durata ciclului de viață</w:t>
            </w:r>
          </w:p>
        </w:tc>
      </w:tr>
      <w:tr w:rsidR="00A15990" w14:paraId="40C08A18" w14:textId="77777777">
        <w:trPr>
          <w:trHeight w:val="430"/>
        </w:trPr>
        <w:tc>
          <w:tcPr>
            <w:tcW w:w="1135" w:type="dxa"/>
            <w:shd w:val="clear" w:color="auto" w:fill="C4EFCE"/>
            <w:vAlign w:val="center"/>
          </w:tcPr>
          <w:p w14:paraId="0D51024F" w14:textId="29C3E044" w:rsidR="00A15990" w:rsidRDefault="00686A62">
            <w:pPr>
              <w:pStyle w:val="P68B1DB1-Normal11"/>
              <w:spacing w:after="0" w:line="240" w:lineRule="auto"/>
              <w:jc w:val="center"/>
              <w:rPr>
                <w:rFonts w:eastAsia="Times New Roman" w:cstheme="minorHAnsi"/>
                <w:noProof/>
              </w:rPr>
            </w:pPr>
            <w:r>
              <w:rPr>
                <w:noProof/>
              </w:rPr>
              <w:t>21.25</w:t>
            </w:r>
          </w:p>
        </w:tc>
        <w:tc>
          <w:tcPr>
            <w:tcW w:w="1276" w:type="dxa"/>
            <w:shd w:val="clear" w:color="auto" w:fill="C4EFCE"/>
            <w:noWrap/>
            <w:vAlign w:val="center"/>
          </w:tcPr>
          <w:p w14:paraId="77D23AA8" w14:textId="65077A31" w:rsidR="00A15990" w:rsidRDefault="00686A62">
            <w:pPr>
              <w:pStyle w:val="P68B1DB1-Normal12"/>
              <w:spacing w:after="0" w:line="240" w:lineRule="auto"/>
              <w:jc w:val="center"/>
              <w:rPr>
                <w:rFonts w:eastAsia="Times New Roman"/>
                <w:noProof/>
              </w:rPr>
            </w:pPr>
            <w:r>
              <w:rPr>
                <w:noProof/>
              </w:rPr>
              <w:t>RP-C21-i06</w:t>
            </w:r>
          </w:p>
        </w:tc>
        <w:tc>
          <w:tcPr>
            <w:tcW w:w="1134" w:type="dxa"/>
            <w:shd w:val="clear" w:color="auto" w:fill="C4EFCE"/>
            <w:noWrap/>
            <w:vAlign w:val="center"/>
          </w:tcPr>
          <w:p w14:paraId="57213471" w14:textId="60058345"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FE5C52B" w14:textId="4E89CAFA" w:rsidR="00A15990" w:rsidRDefault="00686A62">
            <w:pPr>
              <w:pStyle w:val="P68B1DB1-Normal12"/>
              <w:spacing w:after="0" w:line="240" w:lineRule="auto"/>
              <w:jc w:val="center"/>
              <w:rPr>
                <w:rFonts w:eastAsia="Times New Roman" w:cstheme="minorHAnsi"/>
                <w:noProof/>
              </w:rPr>
            </w:pPr>
            <w:r>
              <w:rPr>
                <w:noProof/>
              </w:rPr>
              <w:t>Capacitate suplimentară de producție de hidrogen din surse regenerabile și de gaze din surse regenerabile</w:t>
            </w:r>
          </w:p>
        </w:tc>
        <w:tc>
          <w:tcPr>
            <w:tcW w:w="1275" w:type="dxa"/>
            <w:shd w:val="clear" w:color="auto" w:fill="C4EFCE"/>
            <w:noWrap/>
            <w:vAlign w:val="center"/>
          </w:tcPr>
          <w:p w14:paraId="1CC9CE9A"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0507A478" w14:textId="2F6724C7" w:rsidR="00A15990" w:rsidRDefault="00686A62">
            <w:pPr>
              <w:pStyle w:val="P68B1DB1-Bodytext1013"/>
              <w:jc w:val="center"/>
              <w:rPr>
                <w:rFonts w:cstheme="minorHAnsi"/>
                <w:noProof/>
              </w:rPr>
            </w:pPr>
            <w:r>
              <w:rPr>
                <w:noProof/>
              </w:rPr>
              <w:t>MW</w:t>
            </w:r>
          </w:p>
        </w:tc>
        <w:tc>
          <w:tcPr>
            <w:tcW w:w="992" w:type="dxa"/>
            <w:shd w:val="clear" w:color="auto" w:fill="C4EFCE"/>
            <w:noWrap/>
            <w:vAlign w:val="center"/>
          </w:tcPr>
          <w:p w14:paraId="113D3DC1" w14:textId="69E6A3A4" w:rsidR="00A15990" w:rsidRDefault="00686A62">
            <w:pPr>
              <w:pStyle w:val="P68B1DB1-Bodytext1013"/>
              <w:jc w:val="center"/>
              <w:rPr>
                <w:rFonts w:cstheme="minorHAnsi"/>
                <w:noProof/>
              </w:rPr>
            </w:pPr>
            <w:r>
              <w:rPr>
                <w:noProof/>
              </w:rPr>
              <w:t>200</w:t>
            </w:r>
          </w:p>
        </w:tc>
        <w:tc>
          <w:tcPr>
            <w:tcW w:w="992" w:type="dxa"/>
            <w:shd w:val="clear" w:color="auto" w:fill="C4EFCE"/>
            <w:noWrap/>
            <w:vAlign w:val="center"/>
          </w:tcPr>
          <w:p w14:paraId="7576C464" w14:textId="71409B46" w:rsidR="00A15990" w:rsidRDefault="00686A62">
            <w:pPr>
              <w:pStyle w:val="P68B1DB1-Bodytext1013"/>
              <w:jc w:val="center"/>
              <w:rPr>
                <w:rFonts w:cstheme="minorHAnsi"/>
                <w:noProof/>
              </w:rPr>
            </w:pPr>
            <w:r>
              <w:rPr>
                <w:noProof/>
              </w:rPr>
              <w:t>277</w:t>
            </w:r>
          </w:p>
        </w:tc>
        <w:tc>
          <w:tcPr>
            <w:tcW w:w="567" w:type="dxa"/>
            <w:shd w:val="clear" w:color="auto" w:fill="C4EFCE"/>
            <w:noWrap/>
            <w:vAlign w:val="center"/>
          </w:tcPr>
          <w:p w14:paraId="685921C4" w14:textId="6AE79D57" w:rsidR="00A15990" w:rsidRDefault="00686A62">
            <w:pPr>
              <w:pStyle w:val="P68B1DB1-Normal12"/>
              <w:spacing w:after="0" w:line="240" w:lineRule="auto"/>
              <w:jc w:val="center"/>
              <w:rPr>
                <w:rFonts w:eastAsia="Times New Roman"/>
                <w:noProof/>
              </w:rPr>
            </w:pPr>
            <w:r>
              <w:rPr>
                <w:noProof/>
              </w:rPr>
              <w:t>TRIMESTRUL 2</w:t>
            </w:r>
          </w:p>
        </w:tc>
        <w:tc>
          <w:tcPr>
            <w:tcW w:w="708" w:type="dxa"/>
            <w:shd w:val="clear" w:color="auto" w:fill="C4EFCE"/>
            <w:noWrap/>
            <w:vAlign w:val="center"/>
          </w:tcPr>
          <w:p w14:paraId="3E715CB5" w14:textId="528BEFE4" w:rsidR="00A15990" w:rsidRDefault="00686A62">
            <w:pPr>
              <w:pStyle w:val="P68B1DB1-Normal12"/>
              <w:spacing w:after="0" w:line="240" w:lineRule="auto"/>
              <w:jc w:val="center"/>
              <w:rPr>
                <w:rFonts w:eastAsia="Times New Roman"/>
                <w:noProof/>
              </w:rPr>
            </w:pPr>
            <w:r>
              <w:rPr>
                <w:noProof/>
              </w:rPr>
              <w:t>2026</w:t>
            </w:r>
          </w:p>
        </w:tc>
        <w:tc>
          <w:tcPr>
            <w:tcW w:w="3969" w:type="dxa"/>
            <w:shd w:val="clear" w:color="auto" w:fill="C4EFCE"/>
            <w:vAlign w:val="center"/>
          </w:tcPr>
          <w:p w14:paraId="1DFE52F0" w14:textId="3B8ED44F" w:rsidR="00A15990" w:rsidRDefault="00686A62">
            <w:pPr>
              <w:pStyle w:val="P68B1DB1-Normal12"/>
              <w:spacing w:after="0" w:line="240" w:lineRule="auto"/>
              <w:jc w:val="both"/>
              <w:rPr>
                <w:rFonts w:eastAsia="Times New Roman" w:cstheme="minorHAnsi"/>
                <w:noProof/>
              </w:rPr>
            </w:pPr>
            <w:r>
              <w:rPr>
                <w:noProof/>
              </w:rPr>
              <w:t>Capacitate suplimentară de producție de hidrogen și gaze din surse regenerabile instalată cu emisii de GES zero sau aproape egale cu zero pe durata ciclului de viață</w:t>
            </w:r>
          </w:p>
        </w:tc>
      </w:tr>
      <w:tr w:rsidR="00A15990" w14:paraId="1045276A" w14:textId="77777777">
        <w:trPr>
          <w:trHeight w:val="430"/>
        </w:trPr>
        <w:tc>
          <w:tcPr>
            <w:tcW w:w="1135" w:type="dxa"/>
            <w:shd w:val="clear" w:color="auto" w:fill="C4EFCE"/>
            <w:vAlign w:val="center"/>
          </w:tcPr>
          <w:p w14:paraId="55738168" w14:textId="0E945F03" w:rsidR="00A15990" w:rsidRDefault="00686A62">
            <w:pPr>
              <w:pStyle w:val="P68B1DB1-Normal11"/>
              <w:spacing w:after="0" w:line="240" w:lineRule="auto"/>
              <w:jc w:val="center"/>
              <w:rPr>
                <w:rFonts w:eastAsia="Times New Roman" w:cstheme="minorHAnsi"/>
                <w:noProof/>
              </w:rPr>
            </w:pPr>
            <w:r>
              <w:rPr>
                <w:noProof/>
              </w:rPr>
              <w:t>21.26</w:t>
            </w:r>
          </w:p>
        </w:tc>
        <w:tc>
          <w:tcPr>
            <w:tcW w:w="1276" w:type="dxa"/>
            <w:shd w:val="clear" w:color="auto" w:fill="C4EFCE"/>
            <w:noWrap/>
            <w:vAlign w:val="center"/>
          </w:tcPr>
          <w:p w14:paraId="4B3853AA" w14:textId="5D7EDD36" w:rsidR="00A15990" w:rsidRDefault="00686A62">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4AEE7547" w14:textId="408AED36"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3915FA70" w14:textId="3F664342" w:rsidR="00A15990" w:rsidRDefault="00686A62">
            <w:pPr>
              <w:pStyle w:val="P68B1DB1-Normal12"/>
              <w:spacing w:after="0" w:line="240" w:lineRule="auto"/>
              <w:jc w:val="center"/>
              <w:rPr>
                <w:rFonts w:eastAsia="Times New Roman" w:cstheme="minorHAnsi"/>
                <w:noProof/>
              </w:rPr>
            </w:pPr>
            <w:r>
              <w:rPr>
                <w:noProof/>
              </w:rPr>
              <w:t>Semnarea contractului (contractelor) pentru studii tehnice offshore</w:t>
            </w:r>
          </w:p>
        </w:tc>
        <w:tc>
          <w:tcPr>
            <w:tcW w:w="1275" w:type="dxa"/>
            <w:shd w:val="clear" w:color="auto" w:fill="C4EFCE"/>
            <w:noWrap/>
            <w:vAlign w:val="center"/>
          </w:tcPr>
          <w:p w14:paraId="1B3565C5" w14:textId="155871F2" w:rsidR="00A15990" w:rsidRDefault="00686A62">
            <w:pPr>
              <w:pStyle w:val="P68B1DB1-Normal12"/>
              <w:spacing w:after="0" w:line="240" w:lineRule="auto"/>
              <w:jc w:val="center"/>
              <w:rPr>
                <w:rFonts w:eastAsia="Times New Roman" w:cstheme="minorHAnsi"/>
                <w:noProof/>
              </w:rPr>
            </w:pPr>
            <w:r>
              <w:rPr>
                <w:noProof/>
              </w:rPr>
              <w:t>Semnarea contractului (contractelor) pentru studii tehnice offshore</w:t>
            </w:r>
          </w:p>
        </w:tc>
        <w:tc>
          <w:tcPr>
            <w:tcW w:w="993" w:type="dxa"/>
            <w:shd w:val="clear" w:color="auto" w:fill="C4EFCE"/>
            <w:noWrap/>
            <w:vAlign w:val="center"/>
          </w:tcPr>
          <w:p w14:paraId="6A8DEA31"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15E396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6CD424A"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3B750639" w14:textId="6AFCD4AA"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137C7D92" w14:textId="007769A9"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9E9FABE" w14:textId="406ED44D" w:rsidR="00A15990" w:rsidRDefault="00686A62">
            <w:pPr>
              <w:pStyle w:val="P68B1DB1-Normal12"/>
              <w:spacing w:after="0" w:line="240" w:lineRule="auto"/>
              <w:jc w:val="both"/>
              <w:rPr>
                <w:rFonts w:eastAsia="Times New Roman" w:cstheme="minorHAnsi"/>
                <w:noProof/>
              </w:rPr>
            </w:pPr>
            <w:r>
              <w:rPr>
                <w:noProof/>
              </w:rPr>
              <w:t xml:space="preserve">Semnarea contractului (contractelor) pentru studii geofizice, geotehnice, eoliene, valuri și în curs în larg, menite să faciliteze instalarea energiei eoliene offshore. </w:t>
            </w:r>
          </w:p>
        </w:tc>
      </w:tr>
      <w:tr w:rsidR="00A15990" w14:paraId="54C1DF86" w14:textId="77777777">
        <w:trPr>
          <w:trHeight w:val="430"/>
        </w:trPr>
        <w:tc>
          <w:tcPr>
            <w:tcW w:w="1135" w:type="dxa"/>
            <w:shd w:val="clear" w:color="auto" w:fill="C4EFCE"/>
            <w:vAlign w:val="center"/>
          </w:tcPr>
          <w:p w14:paraId="74BF25A6" w14:textId="17A4170C" w:rsidR="00A15990" w:rsidRDefault="00686A62">
            <w:pPr>
              <w:pStyle w:val="P68B1DB1-Normal11"/>
              <w:spacing w:after="0" w:line="240" w:lineRule="auto"/>
              <w:jc w:val="center"/>
              <w:rPr>
                <w:rFonts w:eastAsia="Times New Roman" w:cstheme="minorHAnsi"/>
                <w:noProof/>
              </w:rPr>
            </w:pPr>
            <w:r>
              <w:rPr>
                <w:noProof/>
              </w:rPr>
              <w:t>21.27</w:t>
            </w:r>
          </w:p>
        </w:tc>
        <w:tc>
          <w:tcPr>
            <w:tcW w:w="1276" w:type="dxa"/>
            <w:shd w:val="clear" w:color="auto" w:fill="C4EFCE"/>
            <w:noWrap/>
            <w:vAlign w:val="center"/>
          </w:tcPr>
          <w:p w14:paraId="64144345" w14:textId="66F94339" w:rsidR="00A15990" w:rsidRDefault="00686A62">
            <w:pPr>
              <w:pStyle w:val="P68B1DB1-Normal12"/>
              <w:spacing w:after="0" w:line="240" w:lineRule="auto"/>
              <w:jc w:val="center"/>
              <w:rPr>
                <w:rFonts w:eastAsia="Times New Roman"/>
                <w:noProof/>
              </w:rPr>
            </w:pPr>
            <w:r>
              <w:rPr>
                <w:noProof/>
              </w:rPr>
              <w:t>RP-C21-i07</w:t>
            </w:r>
          </w:p>
        </w:tc>
        <w:tc>
          <w:tcPr>
            <w:tcW w:w="1134" w:type="dxa"/>
            <w:shd w:val="clear" w:color="auto" w:fill="C4EFCE"/>
            <w:noWrap/>
            <w:vAlign w:val="center"/>
          </w:tcPr>
          <w:p w14:paraId="7865928B" w14:textId="72EB631F"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BB3CE96" w14:textId="66D1E21F" w:rsidR="00A15990" w:rsidRDefault="00686A62">
            <w:pPr>
              <w:pStyle w:val="P68B1DB1-Normal12"/>
              <w:spacing w:after="0" w:line="240" w:lineRule="auto"/>
              <w:jc w:val="center"/>
              <w:rPr>
                <w:rFonts w:eastAsia="Times New Roman" w:cstheme="minorHAnsi"/>
                <w:noProof/>
              </w:rPr>
            </w:pPr>
            <w:r>
              <w:rPr>
                <w:noProof/>
              </w:rPr>
              <w:t>Finalizarea studiilor tehnice privind energia eoliană offshore</w:t>
            </w:r>
          </w:p>
        </w:tc>
        <w:tc>
          <w:tcPr>
            <w:tcW w:w="1275" w:type="dxa"/>
            <w:shd w:val="clear" w:color="auto" w:fill="C4EFCE"/>
            <w:noWrap/>
            <w:vAlign w:val="center"/>
          </w:tcPr>
          <w:p w14:paraId="6C094680" w14:textId="1CDCB07B" w:rsidR="00A15990" w:rsidRDefault="00686A62">
            <w:pPr>
              <w:pStyle w:val="P68B1DB1-Normal12"/>
              <w:spacing w:after="0" w:line="240" w:lineRule="auto"/>
              <w:jc w:val="center"/>
              <w:rPr>
                <w:rFonts w:eastAsia="Times New Roman" w:cstheme="minorHAnsi"/>
                <w:noProof/>
              </w:rPr>
            </w:pPr>
            <w:r>
              <w:rPr>
                <w:noProof/>
              </w:rPr>
              <w:t>Finalizarea studiilor tehnice privind energia eoliană offshore</w:t>
            </w:r>
          </w:p>
        </w:tc>
        <w:tc>
          <w:tcPr>
            <w:tcW w:w="993" w:type="dxa"/>
            <w:shd w:val="clear" w:color="auto" w:fill="C4EFCE"/>
            <w:noWrap/>
            <w:vAlign w:val="center"/>
          </w:tcPr>
          <w:p w14:paraId="3AE2A000"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2320F173"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41DB8D43"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1EC71DEE" w14:textId="4990C42A"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57D3FE17" w14:textId="51C26B14"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7AC78EE5" w14:textId="28037D15" w:rsidR="00A15990" w:rsidRDefault="00686A62">
            <w:pPr>
              <w:pStyle w:val="P68B1DB1-Normal12"/>
              <w:spacing w:after="0" w:line="240" w:lineRule="auto"/>
              <w:jc w:val="both"/>
              <w:rPr>
                <w:rFonts w:eastAsia="Times New Roman"/>
                <w:noProof/>
              </w:rPr>
            </w:pPr>
            <w:r>
              <w:rPr>
                <w:noProof/>
              </w:rPr>
              <w:t>Finalizarea studiilor geofizice, geotehnice, eoliene, a valurilor și actuale menite să faciliteze instalarea de energie eoliană offshore și să acopere o suprafață de cel puțin 2 000 km².</w:t>
            </w:r>
          </w:p>
        </w:tc>
      </w:tr>
      <w:tr w:rsidR="00A15990" w14:paraId="7539E854" w14:textId="77777777">
        <w:trPr>
          <w:trHeight w:val="430"/>
        </w:trPr>
        <w:tc>
          <w:tcPr>
            <w:tcW w:w="1135" w:type="dxa"/>
            <w:shd w:val="clear" w:color="auto" w:fill="C4EFCE"/>
            <w:vAlign w:val="center"/>
          </w:tcPr>
          <w:p w14:paraId="3006E847" w14:textId="1BEAC184" w:rsidR="00A15990" w:rsidRDefault="00686A62">
            <w:pPr>
              <w:pStyle w:val="P68B1DB1-Normal11"/>
              <w:spacing w:after="0" w:line="240" w:lineRule="auto"/>
              <w:jc w:val="center"/>
              <w:rPr>
                <w:rFonts w:eastAsia="Times New Roman" w:cstheme="minorHAnsi"/>
                <w:noProof/>
              </w:rPr>
            </w:pPr>
            <w:r>
              <w:rPr>
                <w:noProof/>
              </w:rPr>
              <w:t>21.28</w:t>
            </w:r>
          </w:p>
        </w:tc>
        <w:tc>
          <w:tcPr>
            <w:tcW w:w="1276" w:type="dxa"/>
            <w:shd w:val="clear" w:color="auto" w:fill="C4EFCE"/>
            <w:noWrap/>
            <w:vAlign w:val="center"/>
          </w:tcPr>
          <w:p w14:paraId="1409BB5F" w14:textId="7C2538F1" w:rsidR="00A15990" w:rsidRDefault="00686A62">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5465DB3D" w14:textId="06A0BB9B"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298A80C" w14:textId="44A074A0" w:rsidR="00A15990" w:rsidRDefault="00686A62">
            <w:pPr>
              <w:pStyle w:val="P68B1DB1-Normal12"/>
              <w:spacing w:after="0" w:line="240" w:lineRule="auto"/>
              <w:jc w:val="center"/>
              <w:rPr>
                <w:rFonts w:eastAsia="Times New Roman" w:cstheme="minorHAnsi"/>
                <w:noProof/>
              </w:rPr>
            </w:pPr>
            <w:r>
              <w:rPr>
                <w:noProof/>
              </w:rPr>
              <w:t>Semnarea condițiilor de acceptare pentru instalarea capacității de stocare a energiei electrice</w:t>
            </w:r>
          </w:p>
        </w:tc>
        <w:tc>
          <w:tcPr>
            <w:tcW w:w="1275" w:type="dxa"/>
            <w:shd w:val="clear" w:color="auto" w:fill="C4EFCE"/>
            <w:noWrap/>
            <w:vAlign w:val="center"/>
          </w:tcPr>
          <w:p w14:paraId="1573BBFD" w14:textId="4C8CE9E8" w:rsidR="00A15990" w:rsidRDefault="00686A62">
            <w:pPr>
              <w:pStyle w:val="P68B1DB1-Normal12"/>
              <w:spacing w:after="0" w:line="240" w:lineRule="auto"/>
              <w:jc w:val="center"/>
              <w:rPr>
                <w:rFonts w:eastAsia="Times New Roman" w:cstheme="minorHAnsi"/>
                <w:noProof/>
              </w:rPr>
            </w:pPr>
            <w:r>
              <w:rPr>
                <w:noProof/>
              </w:rPr>
              <w:t>Semnarea condițiilor de acceptare pentru instalarea unei capacități de stocare de cel puțin 500 MW</w:t>
            </w:r>
          </w:p>
        </w:tc>
        <w:tc>
          <w:tcPr>
            <w:tcW w:w="993" w:type="dxa"/>
            <w:shd w:val="clear" w:color="auto" w:fill="C4EFCE"/>
            <w:noWrap/>
            <w:vAlign w:val="center"/>
          </w:tcPr>
          <w:p w14:paraId="13FF946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4EED15CC" w14:textId="7413286F" w:rsidR="00A15990" w:rsidRDefault="00686A62">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86A1FE7"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1A56D73B" w14:textId="2347516A" w:rsidR="00A15990" w:rsidRDefault="00686A62">
            <w:pPr>
              <w:pStyle w:val="P68B1DB1-Normal12"/>
              <w:spacing w:after="0" w:line="240" w:lineRule="auto"/>
              <w:jc w:val="center"/>
              <w:rPr>
                <w:rFonts w:eastAsia="Times New Roman"/>
                <w:noProof/>
              </w:rPr>
            </w:pPr>
            <w:r>
              <w:rPr>
                <w:noProof/>
              </w:rPr>
              <w:t>TRIMESTRUL 2</w:t>
            </w:r>
          </w:p>
        </w:tc>
        <w:tc>
          <w:tcPr>
            <w:tcW w:w="708" w:type="dxa"/>
            <w:shd w:val="clear" w:color="auto" w:fill="C4EFCE"/>
            <w:noWrap/>
            <w:vAlign w:val="center"/>
          </w:tcPr>
          <w:p w14:paraId="108BC515" w14:textId="020B0AB5" w:rsidR="00A15990" w:rsidRDefault="00686A62">
            <w:pPr>
              <w:pStyle w:val="P68B1DB1-Normal12"/>
              <w:spacing w:after="0" w:line="240" w:lineRule="auto"/>
              <w:jc w:val="center"/>
              <w:rPr>
                <w:rFonts w:eastAsia="Times New Roman"/>
                <w:noProof/>
              </w:rPr>
            </w:pPr>
            <w:r>
              <w:rPr>
                <w:noProof/>
              </w:rPr>
              <w:t>2024</w:t>
            </w:r>
          </w:p>
        </w:tc>
        <w:tc>
          <w:tcPr>
            <w:tcW w:w="3969" w:type="dxa"/>
            <w:shd w:val="clear" w:color="auto" w:fill="C4EFCE"/>
            <w:vAlign w:val="center"/>
          </w:tcPr>
          <w:p w14:paraId="5D147784" w14:textId="549198BC" w:rsidR="00A15990" w:rsidRDefault="00686A62">
            <w:pPr>
              <w:pStyle w:val="P68B1DB1-Normal12"/>
              <w:spacing w:after="0" w:line="240" w:lineRule="auto"/>
              <w:jc w:val="both"/>
              <w:rPr>
                <w:rFonts w:eastAsia="Times New Roman" w:cstheme="minorHAnsi"/>
                <w:noProof/>
              </w:rPr>
            </w:pPr>
            <w:r>
              <w:rPr>
                <w:noProof/>
              </w:rPr>
              <w:t>Condiții de acceptare semnate pentru instalarea unei capacități de stocare de cel puțin 500 MW în zonele identificate în prealabil considerate a avea cea mai mare nevoie de ajutor.</w:t>
            </w:r>
          </w:p>
        </w:tc>
      </w:tr>
      <w:tr w:rsidR="00A15990" w14:paraId="6EA9FB44" w14:textId="77777777">
        <w:trPr>
          <w:trHeight w:val="430"/>
        </w:trPr>
        <w:tc>
          <w:tcPr>
            <w:tcW w:w="1135" w:type="dxa"/>
            <w:shd w:val="clear" w:color="auto" w:fill="C4EFCE"/>
            <w:vAlign w:val="center"/>
          </w:tcPr>
          <w:p w14:paraId="67CC59EB" w14:textId="5139272B" w:rsidR="00A15990" w:rsidRDefault="00686A62">
            <w:pPr>
              <w:pStyle w:val="P68B1DB1-Normal11"/>
              <w:spacing w:after="0" w:line="240" w:lineRule="auto"/>
              <w:jc w:val="center"/>
              <w:rPr>
                <w:rFonts w:eastAsia="Times New Roman" w:cstheme="minorHAnsi"/>
                <w:noProof/>
              </w:rPr>
            </w:pPr>
            <w:r>
              <w:rPr>
                <w:noProof/>
              </w:rPr>
              <w:t>21.29</w:t>
            </w:r>
          </w:p>
        </w:tc>
        <w:tc>
          <w:tcPr>
            <w:tcW w:w="1276" w:type="dxa"/>
            <w:shd w:val="clear" w:color="auto" w:fill="C4EFCE"/>
            <w:noWrap/>
            <w:vAlign w:val="center"/>
          </w:tcPr>
          <w:p w14:paraId="25A27E44" w14:textId="3B066F9C" w:rsidR="00A15990" w:rsidRDefault="00686A62">
            <w:pPr>
              <w:pStyle w:val="P68B1DB1-Normal12"/>
              <w:spacing w:after="0" w:line="240" w:lineRule="auto"/>
              <w:jc w:val="center"/>
              <w:rPr>
                <w:rFonts w:eastAsia="Times New Roman"/>
                <w:noProof/>
              </w:rPr>
            </w:pPr>
            <w:r>
              <w:rPr>
                <w:noProof/>
              </w:rPr>
              <w:t>RP-C21-i08</w:t>
            </w:r>
          </w:p>
        </w:tc>
        <w:tc>
          <w:tcPr>
            <w:tcW w:w="1134" w:type="dxa"/>
            <w:shd w:val="clear" w:color="auto" w:fill="C4EFCE"/>
            <w:noWrap/>
            <w:vAlign w:val="center"/>
          </w:tcPr>
          <w:p w14:paraId="65D2ADC6" w14:textId="5D60B062"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E61722C" w14:textId="562F0185" w:rsidR="00A15990" w:rsidRDefault="00686A62">
            <w:pPr>
              <w:pStyle w:val="P68B1DB1-Bodytext1013"/>
              <w:spacing w:line="240" w:lineRule="auto"/>
              <w:jc w:val="center"/>
              <w:rPr>
                <w:rFonts w:cstheme="minorHAnsi"/>
                <w:noProof/>
              </w:rPr>
            </w:pPr>
            <w:r>
              <w:rPr>
                <w:noProof/>
              </w:rPr>
              <w:t>Instalarea capacității de stocare a energiei electrice</w:t>
            </w:r>
          </w:p>
        </w:tc>
        <w:tc>
          <w:tcPr>
            <w:tcW w:w="1275" w:type="dxa"/>
            <w:shd w:val="clear" w:color="auto" w:fill="C4EFCE"/>
            <w:noWrap/>
            <w:vAlign w:val="center"/>
          </w:tcPr>
          <w:p w14:paraId="5B65FBBE"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7277883B" w14:textId="11FA7FED" w:rsidR="00A15990" w:rsidRDefault="00686A62">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6EB221F6" w14:textId="520A661D" w:rsidR="00A15990" w:rsidRDefault="00686A62">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42CDD52D" w14:textId="73FC3728" w:rsidR="00A15990" w:rsidRDefault="00686A62">
            <w:pPr>
              <w:pStyle w:val="P68B1DB1-Normal12"/>
              <w:spacing w:after="0" w:line="240" w:lineRule="auto"/>
              <w:jc w:val="center"/>
              <w:rPr>
                <w:rFonts w:eastAsia="Times New Roman" w:cstheme="minorHAnsi"/>
                <w:noProof/>
              </w:rPr>
            </w:pPr>
            <w:r>
              <w:rPr>
                <w:noProof/>
              </w:rPr>
              <w:t>500</w:t>
            </w:r>
          </w:p>
        </w:tc>
        <w:tc>
          <w:tcPr>
            <w:tcW w:w="567" w:type="dxa"/>
            <w:shd w:val="clear" w:color="auto" w:fill="C4EFCE"/>
            <w:noWrap/>
            <w:vAlign w:val="center"/>
          </w:tcPr>
          <w:p w14:paraId="6D77EE18" w14:textId="2DDCE475"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2CF60B40" w14:textId="0E3517C7"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61A6BE4" w14:textId="6EFF85E1" w:rsidR="00A15990" w:rsidRDefault="00686A62">
            <w:pPr>
              <w:pStyle w:val="P68B1DB1-Bodytext1013"/>
              <w:spacing w:after="0" w:line="240" w:lineRule="auto"/>
              <w:jc w:val="both"/>
              <w:rPr>
                <w:rFonts w:cstheme="minorHAnsi"/>
                <w:noProof/>
              </w:rPr>
            </w:pPr>
            <w:r>
              <w:rPr>
                <w:noProof/>
              </w:rPr>
              <w:t xml:space="preserve">Capacitatea instalată de stocare a energiei electrice de cel puțin 500 MW. </w:t>
            </w:r>
          </w:p>
        </w:tc>
      </w:tr>
      <w:tr w:rsidR="00A15990" w14:paraId="666E99E3" w14:textId="77777777">
        <w:trPr>
          <w:trHeight w:val="430"/>
        </w:trPr>
        <w:tc>
          <w:tcPr>
            <w:tcW w:w="1135" w:type="dxa"/>
            <w:shd w:val="clear" w:color="auto" w:fill="C4EFCE"/>
            <w:vAlign w:val="center"/>
          </w:tcPr>
          <w:p w14:paraId="7B3F0627" w14:textId="37869B3E" w:rsidR="00A15990" w:rsidRDefault="00686A62">
            <w:pPr>
              <w:pStyle w:val="P68B1DB1-Normal11"/>
              <w:spacing w:after="0" w:line="240" w:lineRule="auto"/>
              <w:jc w:val="center"/>
              <w:rPr>
                <w:rFonts w:eastAsia="Times New Roman" w:cstheme="minorHAnsi"/>
                <w:noProof/>
              </w:rPr>
            </w:pPr>
            <w:r>
              <w:rPr>
                <w:noProof/>
              </w:rPr>
              <w:t>21.30</w:t>
            </w:r>
          </w:p>
        </w:tc>
        <w:tc>
          <w:tcPr>
            <w:tcW w:w="1276" w:type="dxa"/>
            <w:shd w:val="clear" w:color="auto" w:fill="C4EFCE"/>
            <w:noWrap/>
            <w:vAlign w:val="center"/>
          </w:tcPr>
          <w:p w14:paraId="3BDC0F23" w14:textId="157C435B" w:rsidR="00A15990" w:rsidRDefault="00686A62">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043D8D0E" w14:textId="5A1B02C4"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85915AC" w14:textId="356C2A62" w:rsidR="00A15990" w:rsidRDefault="00686A62">
            <w:pPr>
              <w:pStyle w:val="P68B1DB1-Bodytext1013"/>
              <w:spacing w:line="240" w:lineRule="auto"/>
              <w:jc w:val="center"/>
              <w:rPr>
                <w:rFonts w:cstheme="minorHAnsi"/>
                <w:noProof/>
              </w:rPr>
            </w:pPr>
            <w:r>
              <w:rPr>
                <w:noProof/>
              </w:rPr>
              <w:t>Punerea în funcțiune a modulelor primei faze a platformei digitale ghișeului unic pentru autorizarea și monitorizarea proiectelor privind energia din surse regenerabile</w:t>
            </w:r>
          </w:p>
        </w:tc>
        <w:tc>
          <w:tcPr>
            <w:tcW w:w="1275" w:type="dxa"/>
            <w:shd w:val="clear" w:color="auto" w:fill="C4EFCE"/>
            <w:noWrap/>
            <w:vAlign w:val="center"/>
          </w:tcPr>
          <w:p w14:paraId="1CA13B2F" w14:textId="7D796230" w:rsidR="00A15990" w:rsidRDefault="00686A62">
            <w:pPr>
              <w:pStyle w:val="P68B1DB1-Bodytext1013"/>
              <w:rPr>
                <w:rFonts w:cstheme="minorHAnsi"/>
                <w:noProof/>
              </w:rPr>
            </w:pPr>
            <w:r>
              <w:rPr>
                <w:noProof/>
              </w:rPr>
              <w:t>Punerea în funcțiune a modulelor primei faze a platformei digitale ghișeului unic pentru autorizarea și monitorizarea proiectelor privind energia din surse regenerabile</w:t>
            </w:r>
          </w:p>
        </w:tc>
        <w:tc>
          <w:tcPr>
            <w:tcW w:w="993" w:type="dxa"/>
            <w:shd w:val="clear" w:color="auto" w:fill="C4EFCE"/>
            <w:noWrap/>
            <w:vAlign w:val="center"/>
          </w:tcPr>
          <w:p w14:paraId="7068296D"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70A3301"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0D53A9AC"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5DA0EC12" w14:textId="4A6E8E0F"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018D5E69" w14:textId="0E4CC2FF"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276B9CE4" w14:textId="4108B586" w:rsidR="00A15990" w:rsidRDefault="00686A62">
            <w:pPr>
              <w:pStyle w:val="P68B1DB1-Bodytext1013"/>
              <w:spacing w:after="0" w:line="240" w:lineRule="auto"/>
              <w:jc w:val="both"/>
              <w:rPr>
                <w:rFonts w:cstheme="minorHAnsi"/>
                <w:noProof/>
              </w:rPr>
            </w:pPr>
            <w:r>
              <w:rPr>
                <w:noProof/>
              </w:rPr>
              <w:t>Punerea în funcțiune a modulelor primei faze a platformei digitale „ghișeu unic” pentru autorizarea și monitorizarea proiectelor privind energia din surse regenerabile, astfel cum se specifică în descrierea măsurii.</w:t>
            </w:r>
          </w:p>
        </w:tc>
      </w:tr>
      <w:tr w:rsidR="00A15990" w14:paraId="4586FFC2" w14:textId="77777777">
        <w:trPr>
          <w:trHeight w:val="430"/>
        </w:trPr>
        <w:tc>
          <w:tcPr>
            <w:tcW w:w="1135" w:type="dxa"/>
            <w:shd w:val="clear" w:color="auto" w:fill="C4EFCE"/>
            <w:vAlign w:val="center"/>
          </w:tcPr>
          <w:p w14:paraId="7F1EF689" w14:textId="32009939" w:rsidR="00A15990" w:rsidRDefault="00686A62">
            <w:pPr>
              <w:pStyle w:val="P68B1DB1-Normal11"/>
              <w:spacing w:after="0" w:line="240" w:lineRule="auto"/>
              <w:jc w:val="center"/>
              <w:rPr>
                <w:rFonts w:eastAsia="Times New Roman" w:cstheme="minorHAnsi"/>
                <w:noProof/>
              </w:rPr>
            </w:pPr>
            <w:r>
              <w:rPr>
                <w:noProof/>
              </w:rPr>
              <w:t>21.31</w:t>
            </w:r>
          </w:p>
        </w:tc>
        <w:tc>
          <w:tcPr>
            <w:tcW w:w="1276" w:type="dxa"/>
            <w:shd w:val="clear" w:color="auto" w:fill="C4EFCE"/>
            <w:noWrap/>
            <w:vAlign w:val="center"/>
          </w:tcPr>
          <w:p w14:paraId="61E4D6AF" w14:textId="2D0F6781" w:rsidR="00A15990" w:rsidRDefault="00686A62">
            <w:pPr>
              <w:pStyle w:val="P68B1DB1-Normal12"/>
              <w:spacing w:after="0" w:line="240" w:lineRule="auto"/>
              <w:jc w:val="center"/>
              <w:rPr>
                <w:rFonts w:eastAsia="Times New Roman"/>
                <w:noProof/>
              </w:rPr>
            </w:pPr>
            <w:r>
              <w:rPr>
                <w:noProof/>
              </w:rPr>
              <w:t>RP-C21-i09</w:t>
            </w:r>
          </w:p>
        </w:tc>
        <w:tc>
          <w:tcPr>
            <w:tcW w:w="1134" w:type="dxa"/>
            <w:shd w:val="clear" w:color="auto" w:fill="C4EFCE"/>
            <w:noWrap/>
            <w:vAlign w:val="center"/>
          </w:tcPr>
          <w:p w14:paraId="230CED97" w14:textId="74F37228"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203708E" w14:textId="12D046CF" w:rsidR="00A15990" w:rsidRDefault="00686A62">
            <w:pPr>
              <w:pStyle w:val="P68B1DB1-Bodytext1013"/>
              <w:spacing w:line="240" w:lineRule="auto"/>
              <w:jc w:val="center"/>
              <w:rPr>
                <w:rFonts w:cstheme="minorHAnsi"/>
                <w:noProof/>
              </w:rPr>
            </w:pPr>
            <w:r>
              <w:rPr>
                <w:noProof/>
              </w:rPr>
              <w:t>Punerea în funcțiune a modulelor celei de a doua faze a platformei digitale „ghișeu unic” pentru autorizarea și monitorizarea proiectelor privind energia din surse regenerabile și finalizarea procesului de dematerializare a documentelor de autorizare existente.</w:t>
            </w:r>
          </w:p>
        </w:tc>
        <w:tc>
          <w:tcPr>
            <w:tcW w:w="1275" w:type="dxa"/>
            <w:shd w:val="clear" w:color="auto" w:fill="C4EFCE"/>
            <w:noWrap/>
            <w:vAlign w:val="center"/>
          </w:tcPr>
          <w:p w14:paraId="1901C1FE" w14:textId="3FE5BDE9" w:rsidR="00A15990" w:rsidRDefault="00686A62">
            <w:pPr>
              <w:pStyle w:val="P68B1DB1-Bodytext1013"/>
              <w:rPr>
                <w:rFonts w:cstheme="minorHAnsi"/>
                <w:noProof/>
              </w:rPr>
            </w:pPr>
            <w:r>
              <w:rPr>
                <w:noProof/>
              </w:rPr>
              <w:t>Punerea în funcțiune a modulelor celei de-a doua faze și finalizarea procesului de dematerializare</w:t>
            </w:r>
          </w:p>
        </w:tc>
        <w:tc>
          <w:tcPr>
            <w:tcW w:w="993" w:type="dxa"/>
            <w:shd w:val="clear" w:color="auto" w:fill="C4EFCE"/>
            <w:noWrap/>
            <w:vAlign w:val="center"/>
          </w:tcPr>
          <w:p w14:paraId="737BEEE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4893EFA"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5041F109"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0CC8B59F" w14:textId="2295E9F0" w:rsidR="00A15990" w:rsidRDefault="00686A62">
            <w:pPr>
              <w:pStyle w:val="P68B1DB1-Normal12"/>
              <w:spacing w:after="0" w:line="240" w:lineRule="auto"/>
              <w:jc w:val="center"/>
              <w:rPr>
                <w:rFonts w:eastAsia="Times New Roman"/>
                <w:noProof/>
              </w:rPr>
            </w:pPr>
            <w:r>
              <w:rPr>
                <w:noProof/>
              </w:rPr>
              <w:t>TRIMESTRUL 2</w:t>
            </w:r>
          </w:p>
        </w:tc>
        <w:tc>
          <w:tcPr>
            <w:tcW w:w="708" w:type="dxa"/>
            <w:shd w:val="clear" w:color="auto" w:fill="C4EFCE"/>
            <w:noWrap/>
            <w:vAlign w:val="center"/>
          </w:tcPr>
          <w:p w14:paraId="0AEC55F4" w14:textId="056D3D0C"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27AA262B" w14:textId="4E31E36C" w:rsidR="00A15990" w:rsidRDefault="00686A62">
            <w:pPr>
              <w:pStyle w:val="P68B1DB1-Normal12"/>
              <w:spacing w:after="0" w:line="240" w:lineRule="auto"/>
              <w:jc w:val="both"/>
              <w:rPr>
                <w:rFonts w:eastAsia="Times New Roman"/>
                <w:noProof/>
              </w:rPr>
            </w:pPr>
            <w:r>
              <w:rPr>
                <w:noProof/>
              </w:rPr>
              <w:t>Punerea în funcțiune a modulelor celei de a doua faze a platformei digitale „ghișeu unic” pentru autorizarea și monitorizarea proiectelor privind energia din surse regenerabile și finalizarea procesului de dematerializare a documentelor de autorizare existente, în conformitate cu necesitatea stabilită de Direcția Generală Energie și Geologie, astfel cum se specifică în descrierea măsurii.</w:t>
            </w:r>
          </w:p>
        </w:tc>
      </w:tr>
      <w:tr w:rsidR="00A15990" w14:paraId="6BE813FA" w14:textId="77777777">
        <w:trPr>
          <w:trHeight w:val="430"/>
        </w:trPr>
        <w:tc>
          <w:tcPr>
            <w:tcW w:w="1135" w:type="dxa"/>
            <w:shd w:val="clear" w:color="auto" w:fill="C4EFCE"/>
            <w:vAlign w:val="center"/>
          </w:tcPr>
          <w:p w14:paraId="733A43BD" w14:textId="414B2FAD" w:rsidR="00A15990" w:rsidRDefault="00686A62">
            <w:pPr>
              <w:pStyle w:val="P68B1DB1-Normal11"/>
              <w:spacing w:after="0" w:line="240" w:lineRule="auto"/>
              <w:jc w:val="center"/>
              <w:rPr>
                <w:rFonts w:eastAsia="Times New Roman" w:cstheme="minorHAnsi"/>
                <w:noProof/>
              </w:rPr>
            </w:pPr>
            <w:r>
              <w:rPr>
                <w:noProof/>
              </w:rPr>
              <w:t>21.32</w:t>
            </w:r>
          </w:p>
        </w:tc>
        <w:tc>
          <w:tcPr>
            <w:tcW w:w="1276" w:type="dxa"/>
            <w:shd w:val="clear" w:color="auto" w:fill="C4EFCE"/>
            <w:noWrap/>
            <w:vAlign w:val="center"/>
          </w:tcPr>
          <w:p w14:paraId="1D4596FC" w14:textId="6C3C6EAE" w:rsidR="00A15990" w:rsidRDefault="00686A62">
            <w:pPr>
              <w:pStyle w:val="P68B1DB1-Normal12"/>
              <w:spacing w:after="0" w:line="240" w:lineRule="auto"/>
              <w:jc w:val="center"/>
              <w:rPr>
                <w:rFonts w:eastAsia="Times New Roman"/>
                <w:noProof/>
              </w:rPr>
            </w:pPr>
            <w:r>
              <w:rPr>
                <w:noProof/>
              </w:rPr>
              <w:t>RP-C21-i10-RAA</w:t>
            </w:r>
          </w:p>
        </w:tc>
        <w:tc>
          <w:tcPr>
            <w:tcW w:w="1134" w:type="dxa"/>
            <w:shd w:val="clear" w:color="auto" w:fill="C4EFCE"/>
            <w:noWrap/>
            <w:vAlign w:val="center"/>
          </w:tcPr>
          <w:p w14:paraId="11BDF5A0" w14:textId="0F4DD2C5"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F84B7D1" w14:textId="71264E8C" w:rsidR="00A15990" w:rsidRDefault="00686A62">
            <w:pPr>
              <w:pStyle w:val="P68B1DB1-Normal12"/>
              <w:spacing w:after="0" w:line="240" w:lineRule="auto"/>
              <w:jc w:val="center"/>
              <w:rPr>
                <w:rFonts w:eastAsia="Times New Roman" w:cstheme="minorHAnsi"/>
                <w:noProof/>
              </w:rPr>
            </w:pPr>
            <w:r>
              <w:rPr>
                <w:noProof/>
              </w:rPr>
              <w:t>Instalarea capacității de stocare a energiei electrice</w:t>
            </w:r>
          </w:p>
        </w:tc>
        <w:tc>
          <w:tcPr>
            <w:tcW w:w="1275" w:type="dxa"/>
            <w:shd w:val="clear" w:color="auto" w:fill="C4EFCE"/>
            <w:noWrap/>
            <w:vAlign w:val="center"/>
          </w:tcPr>
          <w:p w14:paraId="618CABB5"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6CA43656" w14:textId="647D88FA" w:rsidR="00A15990" w:rsidRDefault="00686A62">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72C57D8C" w14:textId="3EFCC2B3" w:rsidR="00A15990" w:rsidRDefault="00686A62">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6E4AE3" w14:textId="01C62BBE" w:rsidR="00A15990" w:rsidRDefault="00686A62">
            <w:pPr>
              <w:pStyle w:val="P68B1DB1-Normal12"/>
              <w:spacing w:after="0" w:line="240" w:lineRule="auto"/>
              <w:jc w:val="center"/>
              <w:rPr>
                <w:rFonts w:eastAsia="Times New Roman" w:cstheme="minorHAnsi"/>
                <w:noProof/>
              </w:rPr>
            </w:pPr>
            <w:r>
              <w:rPr>
                <w:noProof/>
              </w:rPr>
              <w:t>8,75</w:t>
            </w:r>
          </w:p>
        </w:tc>
        <w:tc>
          <w:tcPr>
            <w:tcW w:w="567" w:type="dxa"/>
            <w:shd w:val="clear" w:color="auto" w:fill="C4EFCE"/>
            <w:noWrap/>
            <w:vAlign w:val="center"/>
          </w:tcPr>
          <w:p w14:paraId="2B3BB704" w14:textId="2A88BBEA"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2CE8D20C" w14:textId="5A9DDA13"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7ACED5AC" w14:textId="74C3E21E" w:rsidR="00A15990" w:rsidRDefault="00686A62">
            <w:pPr>
              <w:pStyle w:val="P68B1DB1-Normal12"/>
              <w:spacing w:after="0" w:line="240" w:lineRule="auto"/>
              <w:jc w:val="both"/>
              <w:rPr>
                <w:rFonts w:eastAsia="Times New Roman" w:cstheme="minorHAnsi"/>
                <w:noProof/>
              </w:rPr>
            </w:pPr>
            <w:r>
              <w:rPr>
                <w:noProof/>
              </w:rPr>
              <w:t>O capacitate de stocare a energiei electrice de cel puțin 8,75 MW instalată pentru autoconsum.</w:t>
            </w:r>
          </w:p>
        </w:tc>
      </w:tr>
      <w:tr w:rsidR="00A15990" w14:paraId="59FCB201" w14:textId="77777777">
        <w:trPr>
          <w:trHeight w:val="430"/>
        </w:trPr>
        <w:tc>
          <w:tcPr>
            <w:tcW w:w="1135" w:type="dxa"/>
            <w:shd w:val="clear" w:color="auto" w:fill="C4EFCE"/>
            <w:vAlign w:val="center"/>
          </w:tcPr>
          <w:p w14:paraId="16D1E889" w14:textId="1734E102" w:rsidR="00A15990" w:rsidRDefault="00686A62">
            <w:pPr>
              <w:pStyle w:val="P68B1DB1-Normal11"/>
              <w:spacing w:after="0" w:line="240" w:lineRule="auto"/>
              <w:jc w:val="center"/>
              <w:rPr>
                <w:rFonts w:eastAsia="Times New Roman" w:cstheme="minorHAnsi"/>
                <w:noProof/>
              </w:rPr>
            </w:pPr>
            <w:r>
              <w:rPr>
                <w:noProof/>
              </w:rPr>
              <w:t>21.33</w:t>
            </w:r>
          </w:p>
        </w:tc>
        <w:tc>
          <w:tcPr>
            <w:tcW w:w="1276" w:type="dxa"/>
            <w:shd w:val="clear" w:color="auto" w:fill="C4EFCE"/>
            <w:noWrap/>
            <w:vAlign w:val="center"/>
          </w:tcPr>
          <w:p w14:paraId="0DD29FA5" w14:textId="656F08E3" w:rsidR="00A15990" w:rsidRDefault="00686A62">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6443488B" w14:textId="0171A2E8"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0442E0E7" w14:textId="10C4B9DB" w:rsidR="00A15990" w:rsidRDefault="00686A62">
            <w:pPr>
              <w:pStyle w:val="P68B1DB1-Normal12"/>
              <w:spacing w:after="0" w:line="240" w:lineRule="auto"/>
              <w:jc w:val="center"/>
              <w:rPr>
                <w:rFonts w:eastAsia="Times New Roman"/>
                <w:noProof/>
              </w:rPr>
            </w:pPr>
            <w:r>
              <w:rPr>
                <w:noProof/>
              </w:rPr>
              <w:t>Creșterea capacității instalate a unităților de producere a energiei din surse regenerabile pentru autoconsum și creșterea capacității instalate de stocare pentru autoconsum</w:t>
            </w:r>
          </w:p>
        </w:tc>
        <w:tc>
          <w:tcPr>
            <w:tcW w:w="1275" w:type="dxa"/>
            <w:shd w:val="clear" w:color="auto" w:fill="C4EFCE"/>
            <w:noWrap/>
            <w:vAlign w:val="center"/>
          </w:tcPr>
          <w:p w14:paraId="14BAC0AF"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5B7EA6FB" w14:textId="6D0983F5" w:rsidR="00A15990" w:rsidRDefault="00686A62">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24D8C7DF" w14:textId="21183495" w:rsidR="00A15990" w:rsidRDefault="00686A62">
            <w:pPr>
              <w:pStyle w:val="P68B1DB1-Normal12"/>
              <w:spacing w:after="0" w:line="240" w:lineRule="auto"/>
              <w:jc w:val="center"/>
              <w:rPr>
                <w:rFonts w:eastAsia="Times New Roman" w:cstheme="minorHAnsi"/>
                <w:noProof/>
              </w:rPr>
            </w:pPr>
            <w:r>
              <w:rPr>
                <w:noProof/>
              </w:rPr>
              <w:t xml:space="preserve"> 0</w:t>
            </w:r>
          </w:p>
        </w:tc>
        <w:tc>
          <w:tcPr>
            <w:tcW w:w="992" w:type="dxa"/>
            <w:shd w:val="clear" w:color="auto" w:fill="C4EFCE"/>
            <w:noWrap/>
            <w:vAlign w:val="center"/>
          </w:tcPr>
          <w:p w14:paraId="2B7883F0" w14:textId="7809369D" w:rsidR="00A15990" w:rsidRDefault="00686A62">
            <w:pPr>
              <w:pStyle w:val="P68B1DB1-Normal12"/>
              <w:spacing w:after="0" w:line="240" w:lineRule="auto"/>
              <w:jc w:val="center"/>
              <w:rPr>
                <w:rFonts w:eastAsia="Times New Roman"/>
                <w:noProof/>
              </w:rPr>
            </w:pPr>
            <w:r>
              <w:rPr>
                <w:noProof/>
              </w:rPr>
              <w:t>5.25</w:t>
            </w:r>
          </w:p>
        </w:tc>
        <w:tc>
          <w:tcPr>
            <w:tcW w:w="567" w:type="dxa"/>
            <w:shd w:val="clear" w:color="auto" w:fill="C4EFCE"/>
            <w:noWrap/>
            <w:vAlign w:val="center"/>
          </w:tcPr>
          <w:p w14:paraId="496A646E" w14:textId="54237EC0"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119BAC6D" w14:textId="70C26F2D"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4F13C5D1" w14:textId="58328E68" w:rsidR="00A15990" w:rsidRDefault="00686A62">
            <w:pPr>
              <w:pStyle w:val="P68B1DB1-Normal12"/>
              <w:spacing w:after="0" w:line="240" w:lineRule="auto"/>
              <w:jc w:val="both"/>
              <w:rPr>
                <w:rFonts w:eastAsia="Times New Roman"/>
                <w:noProof/>
              </w:rPr>
            </w:pPr>
            <w:r>
              <w:rPr>
                <w:noProof/>
              </w:rPr>
              <w:t>Se instalează o capacitate de cel puțin 2,75 MW pentru producția de energie din surse regenerabile pentru autoconsum.</w:t>
            </w:r>
          </w:p>
          <w:p w14:paraId="0A9ABADC" w14:textId="3E09A486" w:rsidR="00A15990" w:rsidRDefault="00A15990">
            <w:pPr>
              <w:spacing w:after="0" w:line="240" w:lineRule="auto"/>
              <w:jc w:val="both"/>
              <w:rPr>
                <w:noProof/>
                <w:sz w:val="16"/>
              </w:rPr>
            </w:pPr>
          </w:p>
          <w:p w14:paraId="1C328A9F" w14:textId="1996C913" w:rsidR="00A15990" w:rsidRDefault="00686A62">
            <w:pPr>
              <w:pStyle w:val="P68B1DB1-Normal12"/>
              <w:spacing w:after="0" w:line="240" w:lineRule="auto"/>
              <w:jc w:val="both"/>
              <w:rPr>
                <w:rFonts w:eastAsia="Times New Roman"/>
                <w:noProof/>
              </w:rPr>
            </w:pPr>
            <w:r>
              <w:rPr>
                <w:noProof/>
              </w:rPr>
              <w:t>Se instalează o capacitate de stocare a energiei electrice de cel puțin 2,5 MW pentru autoconsum.</w:t>
            </w:r>
          </w:p>
        </w:tc>
      </w:tr>
      <w:tr w:rsidR="00A15990" w14:paraId="5AEA89DD" w14:textId="77777777">
        <w:trPr>
          <w:trHeight w:val="430"/>
        </w:trPr>
        <w:tc>
          <w:tcPr>
            <w:tcW w:w="1135" w:type="dxa"/>
            <w:shd w:val="clear" w:color="auto" w:fill="C4EFCE"/>
            <w:vAlign w:val="center"/>
          </w:tcPr>
          <w:p w14:paraId="06F06D71" w14:textId="1CAAC2A0" w:rsidR="00A15990" w:rsidRDefault="00686A62">
            <w:pPr>
              <w:pStyle w:val="P68B1DB1-Normal11"/>
              <w:spacing w:after="0" w:line="240" w:lineRule="auto"/>
              <w:jc w:val="center"/>
              <w:rPr>
                <w:rFonts w:eastAsia="Times New Roman" w:cstheme="minorHAnsi"/>
                <w:noProof/>
              </w:rPr>
            </w:pPr>
            <w:r>
              <w:rPr>
                <w:noProof/>
              </w:rPr>
              <w:t>21.34</w:t>
            </w:r>
          </w:p>
        </w:tc>
        <w:tc>
          <w:tcPr>
            <w:tcW w:w="1276" w:type="dxa"/>
            <w:shd w:val="clear" w:color="auto" w:fill="C4EFCE"/>
            <w:noWrap/>
            <w:vAlign w:val="center"/>
          </w:tcPr>
          <w:p w14:paraId="50A32A38" w14:textId="6FB4DA15" w:rsidR="00A15990" w:rsidRDefault="00686A62">
            <w:pPr>
              <w:pStyle w:val="P68B1DB1-Normal12"/>
              <w:spacing w:after="0" w:line="240" w:lineRule="auto"/>
              <w:jc w:val="center"/>
              <w:rPr>
                <w:rFonts w:eastAsia="Times New Roman"/>
                <w:noProof/>
              </w:rPr>
            </w:pPr>
            <w:r>
              <w:rPr>
                <w:noProof/>
              </w:rPr>
              <w:t>RP-C21-i11-RAM</w:t>
            </w:r>
          </w:p>
        </w:tc>
        <w:tc>
          <w:tcPr>
            <w:tcW w:w="1134" w:type="dxa"/>
            <w:shd w:val="clear" w:color="auto" w:fill="C4EFCE"/>
            <w:noWrap/>
            <w:vAlign w:val="center"/>
          </w:tcPr>
          <w:p w14:paraId="1E977997" w14:textId="68BD8EDF"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34206821" w14:textId="7D6204F6" w:rsidR="00A15990" w:rsidRDefault="00686A62">
            <w:pPr>
              <w:pStyle w:val="P68B1DB1-Normal12"/>
              <w:spacing w:after="0" w:line="240" w:lineRule="auto"/>
              <w:jc w:val="center"/>
              <w:rPr>
                <w:rFonts w:eastAsia="Times New Roman" w:cstheme="minorHAnsi"/>
                <w:noProof/>
              </w:rPr>
            </w:pPr>
            <w:r>
              <w:rPr>
                <w:noProof/>
              </w:rPr>
              <w:t>Consolidarea capacității instalate de energie eoliană</w:t>
            </w:r>
          </w:p>
        </w:tc>
        <w:tc>
          <w:tcPr>
            <w:tcW w:w="1275" w:type="dxa"/>
            <w:shd w:val="clear" w:color="auto" w:fill="C4EFCE"/>
            <w:noWrap/>
          </w:tcPr>
          <w:p w14:paraId="5A477E66" w14:textId="3465589D"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3C8E2AE" w14:textId="2F0553A1" w:rsidR="00A15990" w:rsidRDefault="00686A62">
            <w:pPr>
              <w:pStyle w:val="P68B1DB1-Normal12"/>
              <w:spacing w:after="0" w:line="240" w:lineRule="auto"/>
              <w:jc w:val="center"/>
              <w:rPr>
                <w:rFonts w:eastAsia="Times New Roman" w:cstheme="minorHAnsi"/>
                <w:noProof/>
              </w:rPr>
            </w:pPr>
            <w:r>
              <w:rPr>
                <w:noProof/>
              </w:rPr>
              <w:t>MW</w:t>
            </w:r>
          </w:p>
        </w:tc>
        <w:tc>
          <w:tcPr>
            <w:tcW w:w="992" w:type="dxa"/>
            <w:shd w:val="clear" w:color="auto" w:fill="C4EFCE"/>
            <w:noWrap/>
            <w:vAlign w:val="center"/>
          </w:tcPr>
          <w:p w14:paraId="4CACD599" w14:textId="7A662419" w:rsidR="00A15990" w:rsidRDefault="00686A62">
            <w:pPr>
              <w:pStyle w:val="P68B1DB1-Normal12"/>
              <w:spacing w:after="0" w:line="240" w:lineRule="auto"/>
              <w:jc w:val="center"/>
              <w:rPr>
                <w:rFonts w:eastAsia="Times New Roman" w:cstheme="minorHAnsi"/>
                <w:noProof/>
              </w:rPr>
            </w:pPr>
            <w:r>
              <w:rPr>
                <w:noProof/>
              </w:rPr>
              <w:t>0</w:t>
            </w:r>
          </w:p>
        </w:tc>
        <w:tc>
          <w:tcPr>
            <w:tcW w:w="992" w:type="dxa"/>
            <w:shd w:val="clear" w:color="auto" w:fill="C4EFCE"/>
            <w:noWrap/>
            <w:vAlign w:val="center"/>
          </w:tcPr>
          <w:p w14:paraId="1D8B24C1" w14:textId="3B83C067" w:rsidR="00A15990" w:rsidRDefault="00686A62">
            <w:pPr>
              <w:pStyle w:val="P68B1DB1-Normal12"/>
              <w:spacing w:after="0" w:line="240" w:lineRule="auto"/>
              <w:jc w:val="center"/>
              <w:rPr>
                <w:rFonts w:eastAsia="Times New Roman" w:cstheme="minorHAnsi"/>
                <w:noProof/>
              </w:rPr>
            </w:pPr>
            <w:r>
              <w:rPr>
                <w:noProof/>
              </w:rPr>
              <w:t>7</w:t>
            </w:r>
          </w:p>
        </w:tc>
        <w:tc>
          <w:tcPr>
            <w:tcW w:w="567" w:type="dxa"/>
            <w:shd w:val="clear" w:color="auto" w:fill="C4EFCE"/>
            <w:noWrap/>
            <w:vAlign w:val="center"/>
          </w:tcPr>
          <w:p w14:paraId="7E0DAF3D" w14:textId="487909DB"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6E08C107" w14:textId="667BF99D"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60E20BC6" w14:textId="03E226A0" w:rsidR="00A15990" w:rsidRDefault="00686A62">
            <w:pPr>
              <w:pStyle w:val="P68B1DB1-Normal12"/>
              <w:spacing w:after="0" w:line="240" w:lineRule="auto"/>
              <w:jc w:val="both"/>
              <w:rPr>
                <w:rFonts w:eastAsia="Times New Roman" w:cstheme="minorHAnsi"/>
                <w:noProof/>
              </w:rPr>
            </w:pPr>
            <w:r>
              <w:rPr>
                <w:noProof/>
              </w:rPr>
              <w:t>Pe insula Porto Santo se instalează o capacitate suplimentară de producție a energiei eoliene de 7 MW conectată la rețeaua electrică.</w:t>
            </w:r>
          </w:p>
        </w:tc>
      </w:tr>
      <w:tr w:rsidR="00A15990" w14:paraId="57E89DD0" w14:textId="77777777">
        <w:trPr>
          <w:trHeight w:val="430"/>
        </w:trPr>
        <w:tc>
          <w:tcPr>
            <w:tcW w:w="1135" w:type="dxa"/>
            <w:shd w:val="clear" w:color="auto" w:fill="C4EFCE"/>
            <w:vAlign w:val="center"/>
          </w:tcPr>
          <w:p w14:paraId="5BE74300" w14:textId="459942DF" w:rsidR="00A15990" w:rsidRDefault="00686A62">
            <w:pPr>
              <w:pStyle w:val="P68B1DB1-Normal11"/>
              <w:spacing w:after="0" w:line="240" w:lineRule="auto"/>
              <w:jc w:val="center"/>
              <w:rPr>
                <w:rFonts w:eastAsia="Times New Roman" w:cstheme="minorHAnsi"/>
                <w:noProof/>
              </w:rPr>
            </w:pPr>
            <w:r>
              <w:rPr>
                <w:noProof/>
              </w:rPr>
              <w:t>21.35</w:t>
            </w:r>
          </w:p>
        </w:tc>
        <w:tc>
          <w:tcPr>
            <w:tcW w:w="1276" w:type="dxa"/>
            <w:shd w:val="clear" w:color="auto" w:fill="C4EFCE"/>
            <w:noWrap/>
            <w:vAlign w:val="center"/>
          </w:tcPr>
          <w:p w14:paraId="5202472B" w14:textId="081F4DDF" w:rsidR="00A15990" w:rsidRDefault="00686A62">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3C71133D" w14:textId="339DEA58"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8FBE419" w14:textId="66C41B1C" w:rsidR="00A15990" w:rsidRDefault="00686A62">
            <w:pPr>
              <w:pStyle w:val="P68B1DB1-Normal12"/>
              <w:spacing w:after="0" w:line="240" w:lineRule="auto"/>
              <w:jc w:val="center"/>
              <w:rPr>
                <w:rFonts w:eastAsia="Times New Roman" w:cstheme="minorHAnsi"/>
                <w:noProof/>
              </w:rPr>
            </w:pPr>
            <w:r>
              <w:rPr>
                <w:noProof/>
              </w:rPr>
              <w:t>Semnarea contractului pentru achiziționarea de autobuze nepoluante în cadrul Programului de decarbonizare a transportului public</w:t>
            </w:r>
          </w:p>
        </w:tc>
        <w:tc>
          <w:tcPr>
            <w:tcW w:w="1275" w:type="dxa"/>
            <w:shd w:val="clear" w:color="auto" w:fill="C4EFCE"/>
            <w:noWrap/>
          </w:tcPr>
          <w:p w14:paraId="526A8439" w14:textId="21927C98" w:rsidR="00A15990" w:rsidRDefault="00686A62">
            <w:pPr>
              <w:pStyle w:val="P68B1DB1-Normal12"/>
              <w:spacing w:after="0" w:line="240" w:lineRule="auto"/>
              <w:jc w:val="center"/>
              <w:rPr>
                <w:rFonts w:eastAsia="Times New Roman" w:cstheme="minorHAnsi"/>
                <w:noProof/>
              </w:rPr>
            </w:pPr>
            <w:r>
              <w:rPr>
                <w:noProof/>
              </w:rPr>
              <w:t>Semnarea contractului pentru achiziționarea de autobuze nepoluante în cadrul Programului de decarbonizare a transportului public</w:t>
            </w:r>
          </w:p>
        </w:tc>
        <w:tc>
          <w:tcPr>
            <w:tcW w:w="993" w:type="dxa"/>
            <w:shd w:val="clear" w:color="auto" w:fill="C4EFCE"/>
            <w:noWrap/>
          </w:tcPr>
          <w:p w14:paraId="5B5F632F" w14:textId="43CF795F" w:rsidR="00A15990" w:rsidRDefault="00686A62">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756CF22A" w14:textId="0AB870C4" w:rsidR="00A15990" w:rsidRDefault="00A15990">
            <w:pPr>
              <w:spacing w:after="0" w:line="240" w:lineRule="auto"/>
              <w:jc w:val="center"/>
              <w:rPr>
                <w:rFonts w:eastAsia="Times New Roman" w:cstheme="minorHAnsi"/>
                <w:noProof/>
                <w:sz w:val="16"/>
              </w:rPr>
            </w:pPr>
          </w:p>
        </w:tc>
        <w:tc>
          <w:tcPr>
            <w:tcW w:w="992" w:type="dxa"/>
            <w:shd w:val="clear" w:color="auto" w:fill="C4EFCE"/>
            <w:noWrap/>
          </w:tcPr>
          <w:p w14:paraId="6F932B44" w14:textId="27A48D92" w:rsidR="00A15990" w:rsidRDefault="00686A62">
            <w:pPr>
              <w:pStyle w:val="P68B1DB1-Normal12"/>
              <w:spacing w:after="0" w:line="240" w:lineRule="auto"/>
              <w:jc w:val="center"/>
              <w:rPr>
                <w:rFonts w:eastAsia="Times New Roman" w:cstheme="minorHAnsi"/>
                <w:noProof/>
              </w:rPr>
            </w:pPr>
            <w:r>
              <w:rPr>
                <w:noProof/>
              </w:rPr>
              <w:t xml:space="preserve"> </w:t>
            </w:r>
          </w:p>
        </w:tc>
        <w:tc>
          <w:tcPr>
            <w:tcW w:w="567" w:type="dxa"/>
            <w:shd w:val="clear" w:color="auto" w:fill="C4EFCE"/>
            <w:noWrap/>
            <w:vAlign w:val="center"/>
          </w:tcPr>
          <w:p w14:paraId="7BEFD333" w14:textId="6ED7E9C3"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3A864357" w14:textId="6C2FC1DE"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BD2252A" w14:textId="03C0FAE2" w:rsidR="00A15990" w:rsidRDefault="00686A62">
            <w:pPr>
              <w:pStyle w:val="P68B1DB1-Normal12"/>
              <w:spacing w:after="0" w:line="240" w:lineRule="auto"/>
              <w:jc w:val="both"/>
              <w:rPr>
                <w:rFonts w:eastAsia="Times New Roman" w:cstheme="minorHAnsi"/>
                <w:noProof/>
              </w:rPr>
            </w:pPr>
            <w:r>
              <w:rPr>
                <w:noProof/>
              </w:rPr>
              <w:t>Semnarea contractului între beneficiari și organismul de gestionare, pe baza unei proceduri competitive de atribuire, prin care se angajează să achiziționeze 300 autobuze cu emisii zero (electrice și hidrogen).</w:t>
            </w:r>
          </w:p>
        </w:tc>
      </w:tr>
      <w:tr w:rsidR="00A15990" w14:paraId="716F3052" w14:textId="77777777">
        <w:trPr>
          <w:trHeight w:val="430"/>
        </w:trPr>
        <w:tc>
          <w:tcPr>
            <w:tcW w:w="1135" w:type="dxa"/>
            <w:shd w:val="clear" w:color="auto" w:fill="C4EFCE"/>
            <w:vAlign w:val="center"/>
          </w:tcPr>
          <w:p w14:paraId="3FC90F90" w14:textId="5F27DE07" w:rsidR="00A15990" w:rsidRDefault="00686A62">
            <w:pPr>
              <w:pStyle w:val="P68B1DB1-Normal11"/>
              <w:spacing w:after="0" w:line="240" w:lineRule="auto"/>
              <w:jc w:val="center"/>
              <w:rPr>
                <w:rFonts w:eastAsia="Times New Roman" w:cstheme="minorHAnsi"/>
                <w:noProof/>
              </w:rPr>
            </w:pPr>
            <w:r>
              <w:rPr>
                <w:noProof/>
              </w:rPr>
              <w:t>21.36</w:t>
            </w:r>
          </w:p>
        </w:tc>
        <w:tc>
          <w:tcPr>
            <w:tcW w:w="1276" w:type="dxa"/>
            <w:shd w:val="clear" w:color="auto" w:fill="C4EFCE"/>
            <w:noWrap/>
            <w:vAlign w:val="center"/>
          </w:tcPr>
          <w:p w14:paraId="1F66CCD9" w14:textId="33FB0967" w:rsidR="00A15990" w:rsidRDefault="00686A62">
            <w:pPr>
              <w:pStyle w:val="P68B1DB1-Normal12"/>
              <w:spacing w:after="0" w:line="240" w:lineRule="auto"/>
              <w:jc w:val="center"/>
              <w:rPr>
                <w:rFonts w:eastAsia="Times New Roman"/>
                <w:noProof/>
              </w:rPr>
            </w:pPr>
            <w:r>
              <w:rPr>
                <w:noProof/>
              </w:rPr>
              <w:t>RP-C21-i12</w:t>
            </w:r>
          </w:p>
        </w:tc>
        <w:tc>
          <w:tcPr>
            <w:tcW w:w="1134" w:type="dxa"/>
            <w:shd w:val="clear" w:color="auto" w:fill="C4EFCE"/>
            <w:noWrap/>
            <w:vAlign w:val="center"/>
          </w:tcPr>
          <w:p w14:paraId="45CD69E3" w14:textId="4C7E9777"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7464071F" w14:textId="2F857C6F" w:rsidR="00A15990" w:rsidRDefault="00686A62">
            <w:pPr>
              <w:pStyle w:val="P68B1DB1-Normal12"/>
              <w:spacing w:after="0" w:line="240" w:lineRule="auto"/>
              <w:jc w:val="center"/>
              <w:rPr>
                <w:rFonts w:eastAsia="Times New Roman" w:cstheme="minorHAnsi"/>
                <w:noProof/>
              </w:rPr>
            </w:pPr>
            <w:r>
              <w:rPr>
                <w:noProof/>
              </w:rPr>
              <w:t>Achiziționarea de autobuze noi cu emisii zero (electrice sau pe bază de hidrogen) utilizate pentru transportul public</w:t>
            </w:r>
          </w:p>
        </w:tc>
        <w:tc>
          <w:tcPr>
            <w:tcW w:w="1275" w:type="dxa"/>
            <w:shd w:val="clear" w:color="auto" w:fill="C4EFCE"/>
            <w:noWrap/>
          </w:tcPr>
          <w:p w14:paraId="3C72326A" w14:textId="2F037DC0"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0404D39E" w14:textId="33FBF6E8"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48371656" w14:textId="6BCE283C" w:rsidR="00A15990" w:rsidRDefault="00686A62">
            <w:pPr>
              <w:pStyle w:val="P68B1DB1-Normal12"/>
              <w:spacing w:after="0" w:line="240" w:lineRule="auto"/>
              <w:jc w:val="center"/>
              <w:rPr>
                <w:rFonts w:eastAsia="Times New Roman" w:cstheme="minorHAnsi"/>
                <w:noProof/>
              </w:rPr>
            </w:pPr>
            <w:r>
              <w:rPr>
                <w:noProof/>
              </w:rPr>
              <w:t>145</w:t>
            </w:r>
          </w:p>
        </w:tc>
        <w:tc>
          <w:tcPr>
            <w:tcW w:w="992" w:type="dxa"/>
            <w:shd w:val="clear" w:color="auto" w:fill="C4EFCE"/>
            <w:noWrap/>
            <w:vAlign w:val="center"/>
          </w:tcPr>
          <w:p w14:paraId="0460B517" w14:textId="5EEA6EB2" w:rsidR="00A15990" w:rsidRDefault="00686A62">
            <w:pPr>
              <w:pStyle w:val="P68B1DB1-Normal12"/>
              <w:spacing w:after="0" w:line="240" w:lineRule="auto"/>
              <w:jc w:val="center"/>
              <w:rPr>
                <w:rFonts w:eastAsia="Times New Roman" w:cstheme="minorHAnsi"/>
                <w:noProof/>
              </w:rPr>
            </w:pPr>
            <w:r>
              <w:rPr>
                <w:noProof/>
              </w:rPr>
              <w:t>445</w:t>
            </w:r>
          </w:p>
        </w:tc>
        <w:tc>
          <w:tcPr>
            <w:tcW w:w="567" w:type="dxa"/>
            <w:shd w:val="clear" w:color="auto" w:fill="C4EFCE"/>
            <w:noWrap/>
            <w:vAlign w:val="center"/>
          </w:tcPr>
          <w:p w14:paraId="0D0FF0A6" w14:textId="62A587E4"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378FDA1C" w14:textId="035B1EE2"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24AF3ACA" w14:textId="54F8D633" w:rsidR="00A15990" w:rsidRDefault="00686A62">
            <w:pPr>
              <w:pStyle w:val="P68B1DB1-Normal12"/>
              <w:spacing w:after="0" w:line="240" w:lineRule="auto"/>
              <w:jc w:val="both"/>
              <w:rPr>
                <w:rFonts w:eastAsia="Times New Roman" w:cstheme="minorHAnsi"/>
                <w:noProof/>
              </w:rPr>
            </w:pPr>
            <w:r>
              <w:rPr>
                <w:noProof/>
              </w:rPr>
              <w:t>Se achiziționează 300 autobuze noi cu emisii zero (electrice sau pe bază de hidrogen) și se instalează punctele de reîncărcare sau de realimentare aferente.</w:t>
            </w:r>
          </w:p>
        </w:tc>
      </w:tr>
      <w:tr w:rsidR="00A15990" w14:paraId="384ADCA7" w14:textId="77777777">
        <w:trPr>
          <w:trHeight w:val="430"/>
        </w:trPr>
        <w:tc>
          <w:tcPr>
            <w:tcW w:w="1135" w:type="dxa"/>
            <w:shd w:val="clear" w:color="auto" w:fill="C4EFCE"/>
            <w:vAlign w:val="center"/>
          </w:tcPr>
          <w:p w14:paraId="2962B7B9" w14:textId="4E1C3EE5" w:rsidR="00A15990" w:rsidRDefault="00686A62">
            <w:pPr>
              <w:pStyle w:val="P68B1DB1-Normal11"/>
              <w:spacing w:after="0" w:line="240" w:lineRule="auto"/>
              <w:jc w:val="center"/>
              <w:rPr>
                <w:rFonts w:eastAsia="Times New Roman" w:cstheme="minorHAnsi"/>
                <w:noProof/>
              </w:rPr>
            </w:pPr>
            <w:r>
              <w:rPr>
                <w:noProof/>
              </w:rPr>
              <w:t>21.37</w:t>
            </w:r>
          </w:p>
        </w:tc>
        <w:tc>
          <w:tcPr>
            <w:tcW w:w="1276" w:type="dxa"/>
            <w:shd w:val="clear" w:color="auto" w:fill="C4EFCE"/>
            <w:noWrap/>
            <w:vAlign w:val="center"/>
          </w:tcPr>
          <w:p w14:paraId="4B2F008F" w14:textId="40A48065" w:rsidR="00A15990" w:rsidRDefault="00686A62">
            <w:pPr>
              <w:pStyle w:val="P68B1DB1-Normal12"/>
              <w:spacing w:after="0" w:line="240" w:lineRule="auto"/>
              <w:jc w:val="center"/>
              <w:rPr>
                <w:rFonts w:eastAsia="Times New Roman"/>
                <w:noProof/>
              </w:rPr>
            </w:pPr>
            <w:r>
              <w:rPr>
                <w:noProof/>
              </w:rPr>
              <w:t>RP-C21-i13-RAM</w:t>
            </w:r>
          </w:p>
        </w:tc>
        <w:tc>
          <w:tcPr>
            <w:tcW w:w="1134" w:type="dxa"/>
            <w:shd w:val="clear" w:color="auto" w:fill="C4EFCE"/>
            <w:noWrap/>
            <w:vAlign w:val="center"/>
          </w:tcPr>
          <w:p w14:paraId="65354B4F" w14:textId="517B6DCE"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4896FBFA" w14:textId="04C5CE6F" w:rsidR="00A15990" w:rsidRDefault="00686A62">
            <w:pPr>
              <w:pStyle w:val="P68B1DB1-Normal12"/>
              <w:spacing w:after="0" w:line="240" w:lineRule="auto"/>
              <w:jc w:val="center"/>
              <w:rPr>
                <w:rFonts w:eastAsia="Times New Roman"/>
                <w:noProof/>
              </w:rPr>
            </w:pPr>
            <w:r>
              <w:rPr>
                <w:noProof/>
              </w:rPr>
              <w:t>Achiziționarea de autobuze noi cu emisii zero (electrice sau pe bază de hidrogen) utilizate pentru transportul public și serviciile turistice și achiziționarea de autoturisme electrice care înlocuiesc vehiculele casate</w:t>
            </w:r>
          </w:p>
        </w:tc>
        <w:tc>
          <w:tcPr>
            <w:tcW w:w="1275" w:type="dxa"/>
            <w:shd w:val="clear" w:color="auto" w:fill="C4EFCE"/>
            <w:noWrap/>
            <w:vAlign w:val="center"/>
          </w:tcPr>
          <w:p w14:paraId="634D7D56"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2ECE2C14" w14:textId="6594762E" w:rsidR="00A15990" w:rsidRDefault="00686A62">
            <w:pPr>
              <w:pStyle w:val="P68B1DB1-Normal12"/>
              <w:spacing w:after="0" w:line="240" w:lineRule="auto"/>
              <w:jc w:val="center"/>
              <w:rPr>
                <w:rFonts w:eastAsia="Times New Roman"/>
                <w:noProof/>
              </w:rPr>
            </w:pPr>
            <w:r>
              <w:rPr>
                <w:noProof/>
              </w:rPr>
              <w:t>Numărul</w:t>
            </w:r>
          </w:p>
        </w:tc>
        <w:tc>
          <w:tcPr>
            <w:tcW w:w="992" w:type="dxa"/>
            <w:shd w:val="clear" w:color="auto" w:fill="C4EFCE"/>
            <w:noWrap/>
            <w:vAlign w:val="center"/>
          </w:tcPr>
          <w:p w14:paraId="367DBAF5" w14:textId="0B86A6AB" w:rsidR="00A15990" w:rsidRDefault="00686A62">
            <w:pPr>
              <w:pStyle w:val="P68B1DB1-Normal12"/>
              <w:spacing w:after="0" w:line="240" w:lineRule="auto"/>
              <w:jc w:val="center"/>
              <w:rPr>
                <w:rFonts w:eastAsia="Times New Roman" w:cstheme="minorHAnsi"/>
                <w:noProof/>
              </w:rPr>
            </w:pPr>
            <w:r>
              <w:rPr>
                <w:noProof/>
              </w:rPr>
              <w:t xml:space="preserve"> </w:t>
            </w:r>
          </w:p>
        </w:tc>
        <w:tc>
          <w:tcPr>
            <w:tcW w:w="992" w:type="dxa"/>
            <w:shd w:val="clear" w:color="auto" w:fill="C4EFCE"/>
            <w:noWrap/>
            <w:vAlign w:val="center"/>
          </w:tcPr>
          <w:p w14:paraId="107A0B9E" w14:textId="7CEAB357" w:rsidR="00A15990" w:rsidRDefault="00686A62">
            <w:pPr>
              <w:pStyle w:val="P68B1DB1-Normal12"/>
              <w:spacing w:after="0" w:line="240" w:lineRule="auto"/>
              <w:jc w:val="center"/>
              <w:rPr>
                <w:rFonts w:eastAsia="Times New Roman"/>
                <w:noProof/>
              </w:rPr>
            </w:pPr>
            <w:r>
              <w:rPr>
                <w:noProof/>
              </w:rPr>
              <w:t>576</w:t>
            </w:r>
          </w:p>
        </w:tc>
        <w:tc>
          <w:tcPr>
            <w:tcW w:w="567" w:type="dxa"/>
            <w:shd w:val="clear" w:color="auto" w:fill="C4EFCE"/>
            <w:noWrap/>
            <w:vAlign w:val="center"/>
          </w:tcPr>
          <w:p w14:paraId="351C723C" w14:textId="796E67D1"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1F57265D" w14:textId="1B91BDBB"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1EE77ED" w14:textId="213DF929" w:rsidR="00A15990" w:rsidRDefault="00686A62">
            <w:pPr>
              <w:pStyle w:val="P68B1DB1-Normal12"/>
              <w:spacing w:after="0" w:line="240" w:lineRule="auto"/>
              <w:jc w:val="both"/>
              <w:rPr>
                <w:rFonts w:eastAsia="Times New Roman"/>
                <w:noProof/>
              </w:rPr>
            </w:pPr>
            <w:r>
              <w:rPr>
                <w:noProof/>
              </w:rPr>
              <w:t xml:space="preserve">Se achiziționează 26 autobuze noi cu emisii zero (electrice sau pe bază de hidrogen), iar punctele de reîncărcare aferente se instalează în Regiunea Autonomă Madeira. Cel puțin 10 dintre autobuzele achiziționate trebuie utilizate pentru transportul public de călători. </w:t>
            </w:r>
          </w:p>
          <w:p w14:paraId="2D49F8EB" w14:textId="3C0DE98F" w:rsidR="00A15990" w:rsidRDefault="00A15990">
            <w:pPr>
              <w:spacing w:after="0" w:line="240" w:lineRule="auto"/>
              <w:jc w:val="both"/>
              <w:rPr>
                <w:noProof/>
                <w:sz w:val="16"/>
              </w:rPr>
            </w:pPr>
          </w:p>
          <w:p w14:paraId="6D678AF5" w14:textId="0E55A84D" w:rsidR="00A15990" w:rsidRDefault="00686A62">
            <w:pPr>
              <w:pStyle w:val="P68B1DB1-Normal12"/>
              <w:spacing w:after="0" w:line="240" w:lineRule="auto"/>
              <w:jc w:val="both"/>
              <w:rPr>
                <w:rFonts w:eastAsia="Times New Roman"/>
                <w:noProof/>
              </w:rPr>
            </w:pPr>
            <w:r>
              <w:rPr>
                <w:noProof/>
              </w:rPr>
              <w:t>550 vehiculele sunt casate și înlocuite cu vehicule electrice în Regiunea Autonomă Madeira.</w:t>
            </w:r>
          </w:p>
        </w:tc>
      </w:tr>
      <w:tr w:rsidR="00A15990" w14:paraId="7128FD55" w14:textId="77777777">
        <w:trPr>
          <w:trHeight w:val="430"/>
        </w:trPr>
        <w:tc>
          <w:tcPr>
            <w:tcW w:w="1135" w:type="dxa"/>
            <w:shd w:val="clear" w:color="auto" w:fill="C4EFCE"/>
            <w:vAlign w:val="center"/>
          </w:tcPr>
          <w:p w14:paraId="3D47AF57" w14:textId="7724070C" w:rsidR="00A15990" w:rsidRDefault="00686A62">
            <w:pPr>
              <w:pStyle w:val="P68B1DB1-Normal11"/>
              <w:spacing w:after="0" w:line="240" w:lineRule="auto"/>
              <w:jc w:val="center"/>
              <w:rPr>
                <w:rFonts w:eastAsia="Times New Roman" w:cstheme="minorHAnsi"/>
                <w:noProof/>
              </w:rPr>
            </w:pPr>
            <w:r>
              <w:rPr>
                <w:noProof/>
              </w:rPr>
              <w:t>21.38</w:t>
            </w:r>
          </w:p>
        </w:tc>
        <w:tc>
          <w:tcPr>
            <w:tcW w:w="1276" w:type="dxa"/>
            <w:shd w:val="clear" w:color="auto" w:fill="C4EFCE"/>
            <w:noWrap/>
            <w:vAlign w:val="center"/>
          </w:tcPr>
          <w:p w14:paraId="021E606B" w14:textId="01DE8394" w:rsidR="00A15990" w:rsidRDefault="00686A62">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6265AB1B" w14:textId="2A284064"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71621A87" w14:textId="60F63A87" w:rsidR="00A15990" w:rsidRDefault="00686A62">
            <w:pPr>
              <w:pStyle w:val="P68B1DB1-Normal12"/>
              <w:spacing w:after="0" w:line="240" w:lineRule="auto"/>
              <w:jc w:val="center"/>
              <w:rPr>
                <w:rFonts w:eastAsia="Times New Roman" w:cstheme="minorHAnsi"/>
                <w:noProof/>
              </w:rPr>
            </w:pPr>
            <w:r>
              <w:rPr>
                <w:noProof/>
              </w:rPr>
              <w:t>Semnarea contractului pentru construirea a două linii de tranzit rapid cu autobuzul în Braga</w:t>
            </w:r>
          </w:p>
        </w:tc>
        <w:tc>
          <w:tcPr>
            <w:tcW w:w="1275" w:type="dxa"/>
            <w:shd w:val="clear" w:color="auto" w:fill="C4EFCE"/>
            <w:noWrap/>
            <w:vAlign w:val="center"/>
          </w:tcPr>
          <w:p w14:paraId="5BA09737"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3AD601A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F0A5A5B"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0B39241D"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2A2B11DA" w14:textId="2701FEF8"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51589D34" w14:textId="129F25AC"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4F93B8E5" w14:textId="02E466A0" w:rsidR="00A15990" w:rsidRDefault="00686A62">
            <w:pPr>
              <w:pStyle w:val="P68B1DB1-Normal12"/>
              <w:spacing w:after="0" w:line="240" w:lineRule="auto"/>
              <w:jc w:val="both"/>
              <w:rPr>
                <w:rFonts w:eastAsia="Times New Roman" w:cstheme="minorHAnsi"/>
                <w:noProof/>
              </w:rPr>
            </w:pPr>
            <w:r>
              <w:rPr>
                <w:noProof/>
              </w:rPr>
              <w:t>Semnarea contractului de implementare a proiectului între autoritățile publice și contractantul selectat printr-o procedură de licitație deschisă. Contractul prevede construirea a două linii de tranzit rapid cu autobuzul care leagă gara de Avenida Robert Smith și Spitalul Braga.</w:t>
            </w:r>
          </w:p>
        </w:tc>
      </w:tr>
      <w:tr w:rsidR="00A15990" w14:paraId="1EF25195" w14:textId="77777777">
        <w:trPr>
          <w:trHeight w:val="430"/>
        </w:trPr>
        <w:tc>
          <w:tcPr>
            <w:tcW w:w="1135" w:type="dxa"/>
            <w:shd w:val="clear" w:color="auto" w:fill="C4EFCE"/>
            <w:vAlign w:val="center"/>
          </w:tcPr>
          <w:p w14:paraId="360DF924" w14:textId="1F7490F1" w:rsidR="00A15990" w:rsidRDefault="00686A62">
            <w:pPr>
              <w:pStyle w:val="P68B1DB1-Normal11"/>
              <w:spacing w:after="0" w:line="240" w:lineRule="auto"/>
              <w:jc w:val="center"/>
              <w:rPr>
                <w:rFonts w:eastAsia="Times New Roman" w:cstheme="minorHAnsi"/>
                <w:noProof/>
              </w:rPr>
            </w:pPr>
            <w:r>
              <w:rPr>
                <w:noProof/>
              </w:rPr>
              <w:t>21.39</w:t>
            </w:r>
          </w:p>
        </w:tc>
        <w:tc>
          <w:tcPr>
            <w:tcW w:w="1276" w:type="dxa"/>
            <w:shd w:val="clear" w:color="auto" w:fill="C4EFCE"/>
            <w:noWrap/>
            <w:vAlign w:val="center"/>
          </w:tcPr>
          <w:p w14:paraId="511BB843" w14:textId="506A72EC" w:rsidR="00A15990" w:rsidRDefault="00686A62">
            <w:pPr>
              <w:pStyle w:val="P68B1DB1-Normal12"/>
              <w:spacing w:after="0" w:line="240" w:lineRule="auto"/>
              <w:jc w:val="center"/>
              <w:rPr>
                <w:rFonts w:eastAsia="Times New Roman"/>
                <w:noProof/>
              </w:rPr>
            </w:pPr>
            <w:r>
              <w:rPr>
                <w:noProof/>
              </w:rPr>
              <w:t>RP-C21-i14</w:t>
            </w:r>
          </w:p>
        </w:tc>
        <w:tc>
          <w:tcPr>
            <w:tcW w:w="1134" w:type="dxa"/>
            <w:shd w:val="clear" w:color="auto" w:fill="C4EFCE"/>
            <w:noWrap/>
            <w:vAlign w:val="center"/>
          </w:tcPr>
          <w:p w14:paraId="2F78C88B" w14:textId="006A851A"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47B24D0B" w14:textId="65A04047" w:rsidR="00A15990" w:rsidRDefault="00686A62">
            <w:pPr>
              <w:pStyle w:val="P68B1DB1-Normal12"/>
              <w:spacing w:after="0" w:line="240" w:lineRule="auto"/>
              <w:jc w:val="center"/>
              <w:rPr>
                <w:rFonts w:eastAsia="Times New Roman" w:cstheme="minorHAnsi"/>
                <w:noProof/>
              </w:rPr>
            </w:pPr>
            <w:r>
              <w:rPr>
                <w:noProof/>
              </w:rPr>
              <w:t>Construirea a două linii de tranzit rapid cu autobuzul în Braga</w:t>
            </w:r>
          </w:p>
        </w:tc>
        <w:tc>
          <w:tcPr>
            <w:tcW w:w="1275" w:type="dxa"/>
            <w:shd w:val="clear" w:color="auto" w:fill="C4EFCE"/>
            <w:noWrap/>
            <w:vAlign w:val="center"/>
          </w:tcPr>
          <w:p w14:paraId="1E4282F4"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78A689F4" w14:textId="16AF7609" w:rsidR="00A15990" w:rsidRDefault="00686A62">
            <w:pPr>
              <w:pStyle w:val="P68B1DB1-Normal12"/>
              <w:spacing w:after="0" w:line="240" w:lineRule="auto"/>
              <w:jc w:val="center"/>
              <w:rPr>
                <w:rFonts w:eastAsia="Times New Roman" w:cstheme="minorHAnsi"/>
                <w:noProof/>
              </w:rPr>
            </w:pPr>
            <w:r>
              <w:rPr>
                <w:noProof/>
              </w:rPr>
              <w:t>Kilometri</w:t>
            </w:r>
          </w:p>
        </w:tc>
        <w:tc>
          <w:tcPr>
            <w:tcW w:w="992" w:type="dxa"/>
            <w:shd w:val="clear" w:color="auto" w:fill="C4EFCE"/>
            <w:noWrap/>
            <w:vAlign w:val="center"/>
          </w:tcPr>
          <w:p w14:paraId="28074223"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9811327" w14:textId="644FF319" w:rsidR="00A15990" w:rsidRDefault="00686A62">
            <w:pPr>
              <w:pStyle w:val="P68B1DB1-Normal12"/>
              <w:spacing w:after="0" w:line="240" w:lineRule="auto"/>
              <w:jc w:val="center"/>
              <w:rPr>
                <w:rFonts w:eastAsia="Times New Roman" w:cstheme="minorHAnsi"/>
                <w:noProof/>
              </w:rPr>
            </w:pPr>
            <w:r>
              <w:rPr>
                <w:noProof/>
              </w:rPr>
              <w:t>12.2</w:t>
            </w:r>
          </w:p>
        </w:tc>
        <w:tc>
          <w:tcPr>
            <w:tcW w:w="567" w:type="dxa"/>
            <w:shd w:val="clear" w:color="auto" w:fill="C4EFCE"/>
            <w:noWrap/>
            <w:vAlign w:val="center"/>
          </w:tcPr>
          <w:p w14:paraId="27C8A23A" w14:textId="6A2DF4A3" w:rsidR="00A15990" w:rsidRDefault="00686A62">
            <w:pPr>
              <w:pStyle w:val="P68B1DB1-Normal12"/>
              <w:spacing w:after="0" w:line="240" w:lineRule="auto"/>
              <w:jc w:val="center"/>
              <w:rPr>
                <w:rFonts w:eastAsia="Times New Roman" w:cstheme="minorHAnsi"/>
                <w:noProof/>
              </w:rPr>
            </w:pPr>
            <w:r>
              <w:rPr>
                <w:noProof/>
              </w:rPr>
              <w:t>TRIMESTRUL 2</w:t>
            </w:r>
          </w:p>
        </w:tc>
        <w:tc>
          <w:tcPr>
            <w:tcW w:w="708" w:type="dxa"/>
            <w:shd w:val="clear" w:color="auto" w:fill="C4EFCE"/>
            <w:noWrap/>
            <w:vAlign w:val="center"/>
          </w:tcPr>
          <w:p w14:paraId="5704437E" w14:textId="000EFE9D"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599E09FF" w14:textId="633D041E" w:rsidR="00A15990" w:rsidRDefault="00686A62">
            <w:pPr>
              <w:pStyle w:val="P68B1DB1-Normal12"/>
              <w:spacing w:after="0" w:line="240" w:lineRule="auto"/>
              <w:jc w:val="both"/>
              <w:rPr>
                <w:rFonts w:eastAsia="Times New Roman"/>
                <w:noProof/>
              </w:rPr>
            </w:pPr>
            <w:r>
              <w:rPr>
                <w:noProof/>
              </w:rPr>
              <w:t>Se vor finaliza lucrările de construcție pe o lungime de 12,2 km pentru liniile de tranzit rapid Bus din Braga (linia galbenă și linia roșie), care leagă gara de Avenida Robert Smith și Spitalul Braga. Sistemul funcționează în principal pe benzi dedicate și numai cu autobuze cu emisii zero. Investiția include, de asemenea, achiziționarea a zece autobuze cu emisii zero, inclusiv a stațiilor de încărcare necesare pentru exploatarea liniilor. Liniile trebuie să fie pregătite pentru operarea imediată a serviciilor de transport planificate.</w:t>
            </w:r>
          </w:p>
        </w:tc>
      </w:tr>
      <w:tr w:rsidR="00A15990" w14:paraId="39E29B98" w14:textId="77777777">
        <w:trPr>
          <w:trHeight w:val="430"/>
        </w:trPr>
        <w:tc>
          <w:tcPr>
            <w:tcW w:w="1135" w:type="dxa"/>
            <w:shd w:val="clear" w:color="auto" w:fill="C4EFCE"/>
            <w:vAlign w:val="center"/>
          </w:tcPr>
          <w:p w14:paraId="1E15D547" w14:textId="16041CD9" w:rsidR="00A15990" w:rsidRDefault="00686A62">
            <w:pPr>
              <w:pStyle w:val="P68B1DB1-Normal11"/>
              <w:spacing w:after="0" w:line="240" w:lineRule="auto"/>
              <w:jc w:val="center"/>
              <w:rPr>
                <w:rFonts w:eastAsia="Times New Roman" w:cstheme="minorHAnsi"/>
                <w:noProof/>
              </w:rPr>
            </w:pPr>
            <w:r>
              <w:rPr>
                <w:noProof/>
              </w:rPr>
              <w:t>21.40</w:t>
            </w:r>
          </w:p>
        </w:tc>
        <w:tc>
          <w:tcPr>
            <w:tcW w:w="1276" w:type="dxa"/>
            <w:shd w:val="clear" w:color="auto" w:fill="C4EFCE"/>
            <w:noWrap/>
            <w:vAlign w:val="center"/>
          </w:tcPr>
          <w:p w14:paraId="46A3C78E" w14:textId="1EC79D62" w:rsidR="00A15990" w:rsidRDefault="00686A62">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42B665C" w14:textId="29FC4974"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60028DBE" w14:textId="3E426063" w:rsidR="00A15990" w:rsidRDefault="00686A62">
            <w:pPr>
              <w:pStyle w:val="P68B1DB1-Normal12"/>
              <w:spacing w:after="0" w:line="240" w:lineRule="auto"/>
              <w:jc w:val="center"/>
              <w:rPr>
                <w:rFonts w:eastAsia="Times New Roman" w:cstheme="minorHAnsi"/>
                <w:noProof/>
              </w:rPr>
            </w:pPr>
            <w:r>
              <w:rPr>
                <w:noProof/>
              </w:rPr>
              <w:t>Semnarea contractului pentru achiziționarea a două feriboturi electrice pentru transportul de pasageri și de vehicule între insulele Pico, Faial și São Jorge</w:t>
            </w:r>
          </w:p>
        </w:tc>
        <w:tc>
          <w:tcPr>
            <w:tcW w:w="1275" w:type="dxa"/>
            <w:shd w:val="clear" w:color="auto" w:fill="C4EFCE"/>
            <w:noWrap/>
          </w:tcPr>
          <w:p w14:paraId="5D04A650" w14:textId="77777777" w:rsidR="00A15990" w:rsidRDefault="00A15990">
            <w:pPr>
              <w:spacing w:after="0" w:line="240" w:lineRule="auto"/>
              <w:jc w:val="center"/>
              <w:rPr>
                <w:rFonts w:eastAsia="Times New Roman" w:cstheme="minorHAnsi"/>
                <w:noProof/>
                <w:sz w:val="16"/>
              </w:rPr>
            </w:pPr>
          </w:p>
        </w:tc>
        <w:tc>
          <w:tcPr>
            <w:tcW w:w="993" w:type="dxa"/>
            <w:shd w:val="clear" w:color="auto" w:fill="C4EFCE"/>
            <w:noWrap/>
            <w:vAlign w:val="center"/>
          </w:tcPr>
          <w:p w14:paraId="166D214F"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73A389CB"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63EA367E"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2B396275" w14:textId="1FAB48B9"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5382DE72" w14:textId="0911A6D2"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5E9CA13D" w14:textId="0D1554CF" w:rsidR="00A15990" w:rsidRDefault="00686A62">
            <w:pPr>
              <w:pStyle w:val="P68B1DB1-Normal12"/>
              <w:spacing w:after="0" w:line="240" w:lineRule="auto"/>
              <w:jc w:val="both"/>
              <w:rPr>
                <w:rFonts w:eastAsia="Times New Roman" w:cstheme="minorHAnsi"/>
                <w:noProof/>
              </w:rPr>
            </w:pPr>
            <w:r>
              <w:rPr>
                <w:noProof/>
              </w:rPr>
              <w:t>Semnarea contractului între autoritățile publice și contractantul selectat printr-o procedură de licitație deschisă, pentru achiziționarea a două feriboturi electrice pentru transportul de pasageri și de vehicule între insulele Pico, Faial și São Jorge.</w:t>
            </w:r>
          </w:p>
        </w:tc>
      </w:tr>
      <w:tr w:rsidR="00A15990" w14:paraId="532849A0" w14:textId="77777777">
        <w:trPr>
          <w:trHeight w:val="430"/>
        </w:trPr>
        <w:tc>
          <w:tcPr>
            <w:tcW w:w="1135" w:type="dxa"/>
            <w:shd w:val="clear" w:color="auto" w:fill="C4EFCE"/>
            <w:vAlign w:val="center"/>
          </w:tcPr>
          <w:p w14:paraId="55C6CC28" w14:textId="1C4AEDF6" w:rsidR="00A15990" w:rsidRDefault="00686A62">
            <w:pPr>
              <w:pStyle w:val="P68B1DB1-Normal11"/>
              <w:spacing w:after="0" w:line="240" w:lineRule="auto"/>
              <w:jc w:val="center"/>
              <w:rPr>
                <w:rFonts w:eastAsia="Times New Roman" w:cstheme="minorHAnsi"/>
                <w:noProof/>
              </w:rPr>
            </w:pPr>
            <w:r>
              <w:rPr>
                <w:noProof/>
              </w:rPr>
              <w:t>21.41</w:t>
            </w:r>
          </w:p>
        </w:tc>
        <w:tc>
          <w:tcPr>
            <w:tcW w:w="1276" w:type="dxa"/>
            <w:shd w:val="clear" w:color="auto" w:fill="C4EFCE"/>
            <w:noWrap/>
            <w:vAlign w:val="center"/>
          </w:tcPr>
          <w:p w14:paraId="4692FE69" w14:textId="6AED7451" w:rsidR="00A15990" w:rsidRDefault="00686A62">
            <w:pPr>
              <w:pStyle w:val="P68B1DB1-Normal12"/>
              <w:spacing w:after="0" w:line="240" w:lineRule="auto"/>
              <w:jc w:val="center"/>
              <w:rPr>
                <w:rFonts w:eastAsia="Times New Roman"/>
                <w:noProof/>
              </w:rPr>
            </w:pPr>
            <w:r>
              <w:rPr>
                <w:noProof/>
              </w:rPr>
              <w:t>RP-C21-i15-RAA</w:t>
            </w:r>
          </w:p>
        </w:tc>
        <w:tc>
          <w:tcPr>
            <w:tcW w:w="1134" w:type="dxa"/>
            <w:shd w:val="clear" w:color="auto" w:fill="C4EFCE"/>
            <w:noWrap/>
            <w:vAlign w:val="center"/>
          </w:tcPr>
          <w:p w14:paraId="1036E0DB" w14:textId="5894D827"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245CFBD1" w14:textId="6135298E" w:rsidR="00A15990" w:rsidRDefault="00686A62">
            <w:pPr>
              <w:pStyle w:val="P68B1DB1-Normal12"/>
              <w:spacing w:after="0" w:line="240" w:lineRule="auto"/>
              <w:jc w:val="center"/>
              <w:rPr>
                <w:rFonts w:eastAsia="Times New Roman" w:cstheme="minorHAnsi"/>
                <w:noProof/>
              </w:rPr>
            </w:pPr>
            <w:r>
              <w:rPr>
                <w:noProof/>
              </w:rPr>
              <w:t>Punerea în funcțiune a două feriboturi electrice noi</w:t>
            </w:r>
          </w:p>
        </w:tc>
        <w:tc>
          <w:tcPr>
            <w:tcW w:w="1275" w:type="dxa"/>
            <w:shd w:val="clear" w:color="auto" w:fill="C4EFCE"/>
            <w:noWrap/>
          </w:tcPr>
          <w:p w14:paraId="1E3534A1" w14:textId="4F88212C" w:rsidR="00A15990" w:rsidRDefault="00686A62">
            <w:pPr>
              <w:pStyle w:val="P68B1DB1-Normal12"/>
              <w:spacing w:after="0" w:line="240" w:lineRule="auto"/>
              <w:jc w:val="center"/>
              <w:rPr>
                <w:rFonts w:eastAsia="Times New Roman" w:cstheme="minorHAnsi"/>
                <w:noProof/>
              </w:rPr>
            </w:pPr>
            <w:r>
              <w:rPr>
                <w:noProof/>
              </w:rPr>
              <w:t xml:space="preserve"> </w:t>
            </w:r>
          </w:p>
        </w:tc>
        <w:tc>
          <w:tcPr>
            <w:tcW w:w="993" w:type="dxa"/>
            <w:shd w:val="clear" w:color="auto" w:fill="C4EFCE"/>
            <w:noWrap/>
            <w:vAlign w:val="center"/>
          </w:tcPr>
          <w:p w14:paraId="7A30C4B3" w14:textId="346D871A" w:rsidR="00A15990" w:rsidRDefault="00686A62">
            <w:pPr>
              <w:pStyle w:val="P68B1DB1-Normal12"/>
              <w:spacing w:after="0" w:line="240" w:lineRule="auto"/>
              <w:jc w:val="center"/>
              <w:rPr>
                <w:rFonts w:eastAsia="Times New Roman" w:cstheme="minorHAnsi"/>
                <w:noProof/>
              </w:rPr>
            </w:pPr>
            <w:r>
              <w:rPr>
                <w:noProof/>
              </w:rPr>
              <w:t>Numărul</w:t>
            </w:r>
          </w:p>
        </w:tc>
        <w:tc>
          <w:tcPr>
            <w:tcW w:w="992" w:type="dxa"/>
            <w:shd w:val="clear" w:color="auto" w:fill="C4EFCE"/>
            <w:noWrap/>
            <w:vAlign w:val="center"/>
          </w:tcPr>
          <w:p w14:paraId="3BF6FA6B"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0CF1AA39" w14:textId="68E4BC6C" w:rsidR="00A15990" w:rsidRDefault="00686A62">
            <w:pPr>
              <w:pStyle w:val="P68B1DB1-Normal12"/>
              <w:spacing w:after="0" w:line="240" w:lineRule="auto"/>
              <w:jc w:val="center"/>
              <w:rPr>
                <w:rFonts w:eastAsia="Times New Roman" w:cstheme="minorHAnsi"/>
                <w:noProof/>
              </w:rPr>
            </w:pPr>
            <w:r>
              <w:rPr>
                <w:noProof/>
              </w:rPr>
              <w:t>2</w:t>
            </w:r>
          </w:p>
        </w:tc>
        <w:tc>
          <w:tcPr>
            <w:tcW w:w="567" w:type="dxa"/>
            <w:shd w:val="clear" w:color="auto" w:fill="C4EFCE"/>
            <w:noWrap/>
            <w:vAlign w:val="center"/>
          </w:tcPr>
          <w:p w14:paraId="2E1C0DE5" w14:textId="2A1D5C1E" w:rsidR="00A15990" w:rsidRDefault="00686A62">
            <w:pPr>
              <w:pStyle w:val="P68B1DB1-Normal12"/>
              <w:spacing w:after="0" w:line="240" w:lineRule="auto"/>
              <w:jc w:val="center"/>
              <w:rPr>
                <w:rFonts w:eastAsia="Times New Roman" w:cstheme="minorHAnsi"/>
                <w:noProof/>
              </w:rPr>
            </w:pPr>
            <w:r>
              <w:rPr>
                <w:noProof/>
              </w:rPr>
              <w:t>TRIMESTRUL 4</w:t>
            </w:r>
          </w:p>
        </w:tc>
        <w:tc>
          <w:tcPr>
            <w:tcW w:w="708" w:type="dxa"/>
            <w:shd w:val="clear" w:color="auto" w:fill="C4EFCE"/>
            <w:noWrap/>
            <w:vAlign w:val="center"/>
          </w:tcPr>
          <w:p w14:paraId="054DE515" w14:textId="4363BF6B" w:rsidR="00A15990" w:rsidRDefault="00686A62">
            <w:pPr>
              <w:pStyle w:val="P68B1DB1-Normal12"/>
              <w:spacing w:after="0" w:line="240" w:lineRule="auto"/>
              <w:jc w:val="center"/>
              <w:rPr>
                <w:rFonts w:eastAsia="Times New Roman" w:cstheme="minorHAnsi"/>
                <w:noProof/>
              </w:rPr>
            </w:pPr>
            <w:r>
              <w:rPr>
                <w:noProof/>
              </w:rPr>
              <w:t>2025</w:t>
            </w:r>
          </w:p>
        </w:tc>
        <w:tc>
          <w:tcPr>
            <w:tcW w:w="3969" w:type="dxa"/>
            <w:shd w:val="clear" w:color="auto" w:fill="C4EFCE"/>
            <w:vAlign w:val="center"/>
          </w:tcPr>
          <w:p w14:paraId="185A16C5" w14:textId="6AA0A3D6" w:rsidR="00A15990" w:rsidRDefault="00686A62">
            <w:pPr>
              <w:pStyle w:val="P68B1DB1-Normal12"/>
              <w:spacing w:after="0" w:line="240" w:lineRule="auto"/>
              <w:jc w:val="both"/>
              <w:rPr>
                <w:rFonts w:eastAsia="Times New Roman" w:cstheme="minorHAnsi"/>
                <w:noProof/>
              </w:rPr>
            </w:pPr>
            <w:r>
              <w:rPr>
                <w:noProof/>
              </w:rPr>
              <w:t>Două feriboturi electrice noi vor fi achiziționate și vor fi operaționale pentru transportul de pasageri și vehicule între insulele Pico, Faial și São Jorge. Feriboturile trebuie să aibă o capacitate minimă de 200, respectiv 100 de pasageri.</w:t>
            </w:r>
          </w:p>
        </w:tc>
      </w:tr>
      <w:tr w:rsidR="00A15990" w14:paraId="1DF1176B" w14:textId="77777777">
        <w:trPr>
          <w:trHeight w:val="430"/>
        </w:trPr>
        <w:tc>
          <w:tcPr>
            <w:tcW w:w="1135" w:type="dxa"/>
            <w:shd w:val="clear" w:color="auto" w:fill="C4EFCE"/>
            <w:vAlign w:val="center"/>
          </w:tcPr>
          <w:p w14:paraId="3EF0FD70" w14:textId="48FA3140" w:rsidR="00A15990" w:rsidRDefault="00686A62">
            <w:pPr>
              <w:pStyle w:val="P68B1DB1-Normal11"/>
              <w:spacing w:after="0" w:line="240" w:lineRule="auto"/>
              <w:jc w:val="center"/>
              <w:rPr>
                <w:rFonts w:eastAsia="Times New Roman" w:cstheme="minorHAnsi"/>
                <w:noProof/>
              </w:rPr>
            </w:pPr>
            <w:r>
              <w:rPr>
                <w:noProof/>
              </w:rPr>
              <w:t>21.42</w:t>
            </w:r>
          </w:p>
        </w:tc>
        <w:tc>
          <w:tcPr>
            <w:tcW w:w="1276" w:type="dxa"/>
            <w:shd w:val="clear" w:color="auto" w:fill="C4EFCE"/>
            <w:noWrap/>
            <w:vAlign w:val="center"/>
          </w:tcPr>
          <w:p w14:paraId="3E37980A" w14:textId="32943EB6" w:rsidR="00A15990" w:rsidRDefault="00686A62">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75D0961D" w14:textId="5C584069" w:rsidR="00A15990" w:rsidRDefault="00686A62">
            <w:pPr>
              <w:pStyle w:val="P68B1DB1-Normal12"/>
              <w:spacing w:after="0" w:line="240" w:lineRule="auto"/>
              <w:jc w:val="center"/>
              <w:rPr>
                <w:rFonts w:eastAsia="Times New Roman" w:cstheme="minorHAnsi"/>
                <w:noProof/>
              </w:rPr>
            </w:pPr>
            <w:r>
              <w:rPr>
                <w:noProof/>
              </w:rPr>
              <w:t>M</w:t>
            </w:r>
          </w:p>
        </w:tc>
        <w:tc>
          <w:tcPr>
            <w:tcW w:w="1701" w:type="dxa"/>
            <w:shd w:val="clear" w:color="auto" w:fill="C4EFCE"/>
            <w:noWrap/>
            <w:vAlign w:val="center"/>
          </w:tcPr>
          <w:p w14:paraId="5E1BD89C" w14:textId="0763BBE2" w:rsidR="00A15990" w:rsidRDefault="00686A62">
            <w:pPr>
              <w:pStyle w:val="P68B1DB1-Normal12"/>
              <w:spacing w:after="0" w:line="240" w:lineRule="auto"/>
              <w:jc w:val="center"/>
              <w:rPr>
                <w:rFonts w:eastAsia="Times New Roman" w:cstheme="minorHAnsi"/>
                <w:noProof/>
              </w:rPr>
            </w:pPr>
            <w:r>
              <w:rPr>
                <w:noProof/>
              </w:rPr>
              <w:t>Semnarea contractului pentru punerea în aplicare a proiectului</w:t>
            </w:r>
          </w:p>
        </w:tc>
        <w:tc>
          <w:tcPr>
            <w:tcW w:w="1275" w:type="dxa"/>
            <w:shd w:val="clear" w:color="auto" w:fill="C4EFCE"/>
            <w:noWrap/>
            <w:vAlign w:val="center"/>
          </w:tcPr>
          <w:p w14:paraId="6D51BF19" w14:textId="1E92AFD0" w:rsidR="00A15990" w:rsidRDefault="00686A62">
            <w:pPr>
              <w:pStyle w:val="P68B1DB1-Normal12"/>
              <w:spacing w:after="0" w:line="240" w:lineRule="auto"/>
              <w:jc w:val="center"/>
              <w:rPr>
                <w:rFonts w:eastAsia="Times New Roman" w:cstheme="minorHAnsi"/>
                <w:noProof/>
              </w:rPr>
            </w:pPr>
            <w:r>
              <w:rPr>
                <w:noProof/>
              </w:rPr>
              <w:t>Semnarea contractului</w:t>
            </w:r>
          </w:p>
        </w:tc>
        <w:tc>
          <w:tcPr>
            <w:tcW w:w="993" w:type="dxa"/>
            <w:shd w:val="clear" w:color="auto" w:fill="C4EFCE"/>
            <w:noWrap/>
            <w:vAlign w:val="center"/>
          </w:tcPr>
          <w:p w14:paraId="741D0788"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18B6EA83"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C4F720A"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4ED6CA4A" w14:textId="7C6F7542" w:rsidR="00A15990" w:rsidRDefault="00686A62">
            <w:pPr>
              <w:pStyle w:val="P68B1DB1-Normal12"/>
              <w:spacing w:after="0" w:line="240" w:lineRule="auto"/>
              <w:jc w:val="center"/>
              <w:rPr>
                <w:rFonts w:eastAsia="Times New Roman" w:cstheme="minorHAnsi"/>
                <w:noProof/>
              </w:rPr>
            </w:pPr>
            <w:r>
              <w:rPr>
                <w:noProof/>
              </w:rPr>
              <w:t>TRIMESTRUL 3</w:t>
            </w:r>
          </w:p>
        </w:tc>
        <w:tc>
          <w:tcPr>
            <w:tcW w:w="708" w:type="dxa"/>
            <w:shd w:val="clear" w:color="auto" w:fill="C4EFCE"/>
            <w:noWrap/>
            <w:vAlign w:val="center"/>
          </w:tcPr>
          <w:p w14:paraId="211B5EDD" w14:textId="5AF255BE" w:rsidR="00A15990" w:rsidRDefault="00686A62">
            <w:pPr>
              <w:pStyle w:val="P68B1DB1-Normal12"/>
              <w:spacing w:after="0" w:line="240" w:lineRule="auto"/>
              <w:jc w:val="center"/>
              <w:rPr>
                <w:rFonts w:eastAsia="Times New Roman" w:cstheme="minorHAnsi"/>
                <w:noProof/>
              </w:rPr>
            </w:pPr>
            <w:r>
              <w:rPr>
                <w:noProof/>
              </w:rPr>
              <w:t>2024</w:t>
            </w:r>
          </w:p>
        </w:tc>
        <w:tc>
          <w:tcPr>
            <w:tcW w:w="3969" w:type="dxa"/>
            <w:shd w:val="clear" w:color="auto" w:fill="C4EFCE"/>
            <w:vAlign w:val="center"/>
          </w:tcPr>
          <w:p w14:paraId="3212FFEE" w14:textId="40EC26CF" w:rsidR="00A15990" w:rsidRDefault="00686A62">
            <w:pPr>
              <w:pStyle w:val="P68B1DB1-Normal12"/>
              <w:spacing w:after="0" w:line="240" w:lineRule="auto"/>
              <w:jc w:val="both"/>
              <w:rPr>
                <w:rFonts w:eastAsia="Times New Roman" w:cstheme="minorHAnsi"/>
                <w:noProof/>
              </w:rPr>
            </w:pPr>
            <w:r>
              <w:rPr>
                <w:noProof/>
              </w:rPr>
              <w:t>Semnarea contractului de implementare a proiectului între autoritățile publice și contractantul selectat printr-o procedură de licitație internațională deschisă.</w:t>
            </w:r>
          </w:p>
        </w:tc>
      </w:tr>
      <w:tr w:rsidR="00A15990" w14:paraId="529C25C3" w14:textId="77777777">
        <w:trPr>
          <w:trHeight w:val="430"/>
        </w:trPr>
        <w:tc>
          <w:tcPr>
            <w:tcW w:w="1135" w:type="dxa"/>
            <w:shd w:val="clear" w:color="auto" w:fill="C4EFCE"/>
            <w:vAlign w:val="center"/>
          </w:tcPr>
          <w:p w14:paraId="2ADCAD91" w14:textId="62A09313" w:rsidR="00A15990" w:rsidRDefault="00686A62">
            <w:pPr>
              <w:pStyle w:val="P68B1DB1-Normal11"/>
              <w:spacing w:after="0" w:line="240" w:lineRule="auto"/>
              <w:jc w:val="center"/>
              <w:rPr>
                <w:rFonts w:eastAsia="Times New Roman" w:cstheme="minorHAnsi"/>
                <w:noProof/>
              </w:rPr>
            </w:pPr>
            <w:r>
              <w:rPr>
                <w:noProof/>
              </w:rPr>
              <w:t>21.43</w:t>
            </w:r>
          </w:p>
        </w:tc>
        <w:tc>
          <w:tcPr>
            <w:tcW w:w="1276" w:type="dxa"/>
            <w:shd w:val="clear" w:color="auto" w:fill="C4EFCE"/>
            <w:noWrap/>
            <w:vAlign w:val="center"/>
          </w:tcPr>
          <w:p w14:paraId="6EFB5CCE" w14:textId="7C36AC8C" w:rsidR="00A15990" w:rsidRDefault="00686A62">
            <w:pPr>
              <w:pStyle w:val="P68B1DB1-Normal12"/>
              <w:spacing w:after="0" w:line="240" w:lineRule="auto"/>
              <w:jc w:val="center"/>
              <w:rPr>
                <w:rFonts w:eastAsia="Times New Roman"/>
                <w:noProof/>
              </w:rPr>
            </w:pPr>
            <w:r>
              <w:rPr>
                <w:noProof/>
              </w:rPr>
              <w:t>RP-C21-i16</w:t>
            </w:r>
          </w:p>
        </w:tc>
        <w:tc>
          <w:tcPr>
            <w:tcW w:w="1134" w:type="dxa"/>
            <w:shd w:val="clear" w:color="auto" w:fill="C4EFCE"/>
            <w:noWrap/>
            <w:vAlign w:val="center"/>
          </w:tcPr>
          <w:p w14:paraId="3C242F77" w14:textId="218D6D72" w:rsidR="00A15990" w:rsidRDefault="00686A62">
            <w:pPr>
              <w:pStyle w:val="P68B1DB1-Normal12"/>
              <w:spacing w:after="0" w:line="240" w:lineRule="auto"/>
              <w:jc w:val="center"/>
              <w:rPr>
                <w:rFonts w:eastAsia="Times New Roman" w:cstheme="minorHAnsi"/>
                <w:noProof/>
              </w:rPr>
            </w:pPr>
            <w:r>
              <w:rPr>
                <w:noProof/>
              </w:rPr>
              <w:t>T</w:t>
            </w:r>
          </w:p>
        </w:tc>
        <w:tc>
          <w:tcPr>
            <w:tcW w:w="1701" w:type="dxa"/>
            <w:shd w:val="clear" w:color="auto" w:fill="C4EFCE"/>
            <w:noWrap/>
            <w:vAlign w:val="center"/>
          </w:tcPr>
          <w:p w14:paraId="533DBFF8" w14:textId="384221C4" w:rsidR="00A15990" w:rsidRDefault="00686A62">
            <w:pPr>
              <w:pStyle w:val="P68B1DB1-Normal12"/>
              <w:spacing w:after="0" w:line="240" w:lineRule="auto"/>
              <w:jc w:val="center"/>
              <w:rPr>
                <w:rFonts w:eastAsia="Times New Roman"/>
                <w:noProof/>
              </w:rPr>
            </w:pPr>
            <w:r>
              <w:rPr>
                <w:noProof/>
              </w:rPr>
              <w:t>Construcția unui funicular</w:t>
            </w:r>
          </w:p>
        </w:tc>
        <w:tc>
          <w:tcPr>
            <w:tcW w:w="1275" w:type="dxa"/>
            <w:shd w:val="clear" w:color="auto" w:fill="C4EFCE"/>
            <w:noWrap/>
            <w:vAlign w:val="center"/>
          </w:tcPr>
          <w:p w14:paraId="02FA81D6" w14:textId="764DECD3" w:rsidR="00A15990" w:rsidRDefault="00686A62">
            <w:pPr>
              <w:pStyle w:val="P68B1DB1-Normal12"/>
              <w:spacing w:after="0" w:line="240" w:lineRule="auto"/>
              <w:jc w:val="center"/>
              <w:rPr>
                <w:rFonts w:eastAsia="Times New Roman" w:cstheme="minorHAnsi"/>
                <w:noProof/>
              </w:rPr>
            </w:pPr>
            <w:r>
              <w:rPr>
                <w:noProof/>
              </w:rPr>
              <w:t>Intrarea în funcțiune</w:t>
            </w:r>
          </w:p>
        </w:tc>
        <w:tc>
          <w:tcPr>
            <w:tcW w:w="993" w:type="dxa"/>
            <w:shd w:val="clear" w:color="auto" w:fill="C4EFCE"/>
            <w:noWrap/>
            <w:vAlign w:val="center"/>
          </w:tcPr>
          <w:p w14:paraId="5F53A211"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267D5047" w14:textId="77777777" w:rsidR="00A15990" w:rsidRDefault="00A15990">
            <w:pPr>
              <w:spacing w:after="0" w:line="240" w:lineRule="auto"/>
              <w:jc w:val="center"/>
              <w:rPr>
                <w:rFonts w:eastAsia="Times New Roman" w:cstheme="minorHAnsi"/>
                <w:noProof/>
                <w:sz w:val="16"/>
              </w:rPr>
            </w:pPr>
          </w:p>
        </w:tc>
        <w:tc>
          <w:tcPr>
            <w:tcW w:w="992" w:type="dxa"/>
            <w:shd w:val="clear" w:color="auto" w:fill="C4EFCE"/>
            <w:noWrap/>
            <w:vAlign w:val="center"/>
          </w:tcPr>
          <w:p w14:paraId="307D8611" w14:textId="77777777" w:rsidR="00A15990" w:rsidRDefault="00A15990">
            <w:pPr>
              <w:spacing w:after="0" w:line="240" w:lineRule="auto"/>
              <w:jc w:val="center"/>
              <w:rPr>
                <w:rFonts w:eastAsia="Times New Roman" w:cstheme="minorHAnsi"/>
                <w:noProof/>
                <w:sz w:val="16"/>
              </w:rPr>
            </w:pPr>
          </w:p>
        </w:tc>
        <w:tc>
          <w:tcPr>
            <w:tcW w:w="567" w:type="dxa"/>
            <w:shd w:val="clear" w:color="auto" w:fill="C4EFCE"/>
            <w:noWrap/>
            <w:vAlign w:val="center"/>
          </w:tcPr>
          <w:p w14:paraId="5A8CFE96" w14:textId="2683462D" w:rsidR="00A15990" w:rsidRDefault="00686A62">
            <w:pPr>
              <w:pStyle w:val="P68B1DB1-Normal12"/>
              <w:spacing w:after="0" w:line="240" w:lineRule="auto"/>
              <w:jc w:val="center"/>
              <w:rPr>
                <w:rFonts w:eastAsia="Times New Roman" w:cstheme="minorHAnsi"/>
                <w:noProof/>
              </w:rPr>
            </w:pPr>
            <w:r>
              <w:rPr>
                <w:noProof/>
              </w:rPr>
              <w:t>TRIMESTRUL 1</w:t>
            </w:r>
          </w:p>
        </w:tc>
        <w:tc>
          <w:tcPr>
            <w:tcW w:w="708" w:type="dxa"/>
            <w:shd w:val="clear" w:color="auto" w:fill="C4EFCE"/>
            <w:noWrap/>
            <w:vAlign w:val="center"/>
          </w:tcPr>
          <w:p w14:paraId="6E0F941C" w14:textId="1527F901" w:rsidR="00A15990" w:rsidRDefault="00686A62">
            <w:pPr>
              <w:pStyle w:val="P68B1DB1-Normal12"/>
              <w:spacing w:after="0" w:line="240" w:lineRule="auto"/>
              <w:jc w:val="center"/>
              <w:rPr>
                <w:rFonts w:eastAsia="Times New Roman" w:cstheme="minorHAnsi"/>
                <w:noProof/>
              </w:rPr>
            </w:pPr>
            <w:r>
              <w:rPr>
                <w:noProof/>
              </w:rPr>
              <w:t>2026</w:t>
            </w:r>
          </w:p>
        </w:tc>
        <w:tc>
          <w:tcPr>
            <w:tcW w:w="3969" w:type="dxa"/>
            <w:shd w:val="clear" w:color="auto" w:fill="C4EFCE"/>
            <w:vAlign w:val="center"/>
          </w:tcPr>
          <w:p w14:paraId="66B1EB48" w14:textId="691924FE" w:rsidR="00A15990" w:rsidRDefault="00686A62">
            <w:pPr>
              <w:pStyle w:val="P68B1DB1-Normal12"/>
              <w:spacing w:after="0" w:line="240" w:lineRule="auto"/>
              <w:jc w:val="both"/>
              <w:rPr>
                <w:rFonts w:eastAsia="Times New Roman"/>
                <w:noProof/>
              </w:rPr>
            </w:pPr>
            <w:r>
              <w:rPr>
                <w:noProof/>
              </w:rPr>
              <w:t>O soluție mecanică de transport (funicular) de aproximativ 200 metri lungime trebuie să fie gata de funcționare imediată, legând zona Pedreneira de zona inferioară a satului Nazaré.</w:t>
            </w:r>
          </w:p>
        </w:tc>
      </w:tr>
    </w:tbl>
    <w:p w14:paraId="35ED878F" w14:textId="77777777" w:rsidR="00A15990" w:rsidRDefault="00A15990">
      <w:pPr>
        <w:spacing w:after="0"/>
        <w:jc w:val="both"/>
        <w:rPr>
          <w:rFonts w:ascii="Times New Roman" w:hAnsi="Times New Roman" w:cs="Times New Roman"/>
          <w:noProof/>
          <w:sz w:val="24"/>
        </w:rPr>
        <w:sectPr w:rsidR="00A15990" w:rsidSect="00587917">
          <w:headerReference w:type="even" r:id="rId374"/>
          <w:headerReference w:type="default" r:id="rId375"/>
          <w:footerReference w:type="even" r:id="rId376"/>
          <w:footerReference w:type="default" r:id="rId377"/>
          <w:headerReference w:type="first" r:id="rId378"/>
          <w:footerReference w:type="first" r:id="rId379"/>
          <w:pgSz w:w="16838" w:h="11906" w:orient="landscape"/>
          <w:pgMar w:top="1134" w:right="1134" w:bottom="1134" w:left="1134" w:header="567" w:footer="567" w:gutter="0"/>
          <w:cols w:space="708"/>
          <w:docGrid w:linePitch="360"/>
        </w:sectPr>
      </w:pPr>
    </w:p>
    <w:p w14:paraId="236D10E6" w14:textId="66A5EAFD" w:rsidR="00A15990" w:rsidRDefault="00686A62">
      <w:pPr>
        <w:pStyle w:val="P68B1DB1-Normal3"/>
        <w:keepNext/>
        <w:spacing w:before="40" w:after="0" w:line="259" w:lineRule="auto"/>
        <w:ind w:left="130" w:firstLine="720"/>
        <w:jc w:val="both"/>
        <w:outlineLvl w:val="1"/>
        <w:rPr>
          <w:rFonts w:eastAsiaTheme="minorEastAsia" w:cs="Times New Roman"/>
          <w:noProof/>
        </w:rPr>
      </w:pPr>
      <w:r>
        <w:rPr>
          <w:noProof/>
        </w:rPr>
        <w:t>V. COMPONENTA 22: Audit și control</w:t>
      </w:r>
    </w:p>
    <w:p w14:paraId="44234FA0"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p w14:paraId="12542E50" w14:textId="77777777"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V.1. Descrierea reformei</w:t>
      </w:r>
    </w:p>
    <w:p w14:paraId="4C7B8830" w14:textId="27F623A3" w:rsidR="00A15990" w:rsidRDefault="00686A62">
      <w:pPr>
        <w:pStyle w:val="P68B1DB1-Normal5"/>
        <w:keepNext/>
        <w:spacing w:before="240" w:after="0" w:line="259" w:lineRule="auto"/>
        <w:ind w:left="851"/>
        <w:jc w:val="both"/>
        <w:outlineLvl w:val="2"/>
        <w:rPr>
          <w:rFonts w:eastAsiaTheme="minorEastAsia" w:cs="Times New Roman"/>
          <w:noProof/>
        </w:rPr>
      </w:pPr>
      <w:r>
        <w:rPr>
          <w:noProof/>
        </w:rPr>
        <w:t>Reforma RE-C22-r49: Modalități de monitorizare și punere în aplicare a planului de redresare și reziliență</w:t>
      </w:r>
    </w:p>
    <w:p w14:paraId="180C4631" w14:textId="314000A4" w:rsidR="00A15990" w:rsidRDefault="00686A62">
      <w:pPr>
        <w:pStyle w:val="P68B1DB1-Normal4"/>
        <w:spacing w:after="0" w:line="240" w:lineRule="auto"/>
        <w:jc w:val="both"/>
        <w:rPr>
          <w:rFonts w:cs="Times New Roman"/>
          <w:noProof/>
        </w:rPr>
      </w:pPr>
      <w:r>
        <w:rPr>
          <w:noProof/>
        </w:rPr>
        <w:t>Obiectivul măsurii este de a îmbunătăți monitorizarea și punerea în aplicare a planului de redresare și reziliență. Pentru a asigura o punere în aplicare eficace a unor măsuri proporționale de combatere a fraudei și a corupției, Portugalia modifică contractele semnate între organismul de coordonare „EMRP” și toate autoritățile responsabile cu punerea în aplicare a planului de redresare și reziliență pentru a adăuga o obligație legală pentru organismele de implementare de a efectua o evaluare a riscului de fraudă în termen de trei luni de la modificarea contractelor lor și, în cazul în care evaluarea riscului de fraudă identifică riscuri care nu sunt abordate de controalele existente, de a elabora un plan de acțiune care să conțină controale suplimentare. Această obligație se reflectă în manualul de proceduri al organismului de coordonare. Organismul de coordonare comunică, de asemenea, în mod oficial tuturor organismelor de punere în aplicare, orientări tehnice pentru a le sprijini în efectuarea evaluării riscului de fraudă. În plus, Portugalia îmbunătățește procedurile de reducere sau de atenuare a riscului de dublă finanțare prin introducerea unor controale încrucișate sistematice eficace ale cererilor de finanțare potențială în cadrul MRR și între MRR și alte programe ale Uniunii, în conformitate cu principiul bunei gestiuni financiare. Organismul de coordonare prezintă un document care descrie controalele încrucișate detaliate propuse cu privire la dubla finanțare pentru a confirma că există proceduri adecvate pentru evitarea dublei finanțări.</w:t>
      </w:r>
    </w:p>
    <w:p w14:paraId="74765BC7" w14:textId="77777777" w:rsidR="00A15990" w:rsidRDefault="00A15990">
      <w:pPr>
        <w:spacing w:before="40" w:after="0" w:line="259" w:lineRule="auto"/>
        <w:jc w:val="both"/>
        <w:rPr>
          <w:rFonts w:ascii="Times New Roman" w:hAnsi="Times New Roman" w:cs="Times New Roman"/>
          <w:noProof/>
          <w:sz w:val="24"/>
        </w:rPr>
        <w:sectPr w:rsidR="00A15990" w:rsidSect="00737670">
          <w:headerReference w:type="even" r:id="rId380"/>
          <w:headerReference w:type="default" r:id="rId381"/>
          <w:footerReference w:type="even" r:id="rId382"/>
          <w:footerReference w:type="default" r:id="rId383"/>
          <w:headerReference w:type="first" r:id="rId384"/>
          <w:footerReference w:type="first" r:id="rId385"/>
          <w:pgSz w:w="11906" w:h="16838"/>
          <w:pgMar w:top="1134" w:right="1134" w:bottom="1134" w:left="1134" w:header="567" w:footer="567" w:gutter="0"/>
          <w:cols w:space="708"/>
          <w:docGrid w:linePitch="360"/>
        </w:sectPr>
      </w:pPr>
    </w:p>
    <w:p w14:paraId="3636EC65" w14:textId="77777777" w:rsidR="00A15990" w:rsidRDefault="00A15990">
      <w:pPr>
        <w:spacing w:before="40" w:after="0" w:line="259" w:lineRule="auto"/>
        <w:jc w:val="both"/>
        <w:rPr>
          <w:rFonts w:ascii="Times New Roman" w:hAnsi="Times New Roman" w:cs="Times New Roman"/>
          <w:noProof/>
          <w:sz w:val="24"/>
        </w:rPr>
      </w:pPr>
    </w:p>
    <w:p w14:paraId="2CBAD660" w14:textId="647AAFB2" w:rsidR="00A15990" w:rsidRDefault="00686A62">
      <w:pPr>
        <w:pStyle w:val="P68B1DB1-Normal3"/>
        <w:keepNext/>
        <w:spacing w:before="40" w:after="0" w:line="259" w:lineRule="auto"/>
        <w:ind w:left="130" w:firstLine="720"/>
        <w:jc w:val="both"/>
        <w:outlineLvl w:val="2"/>
        <w:rPr>
          <w:rFonts w:eastAsiaTheme="minorEastAsia" w:cs="Times New Roman"/>
          <w:noProof/>
        </w:rPr>
      </w:pPr>
      <w:r>
        <w:rPr>
          <w:noProof/>
        </w:rPr>
        <w:t>V.2. Jaloane, ținte, indicatori și calendarul de monitorizare și punere în aplicare</w:t>
      </w:r>
    </w:p>
    <w:p w14:paraId="68A62073" w14:textId="77777777"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134"/>
        <w:gridCol w:w="1984"/>
        <w:gridCol w:w="1134"/>
        <w:gridCol w:w="851"/>
        <w:gridCol w:w="992"/>
        <w:gridCol w:w="709"/>
        <w:gridCol w:w="567"/>
        <w:gridCol w:w="708"/>
        <w:gridCol w:w="4395"/>
      </w:tblGrid>
      <w:tr w:rsidR="00A15990" w14:paraId="7A27D3D1" w14:textId="77777777">
        <w:trPr>
          <w:trHeight w:val="300"/>
          <w:tblHeader/>
        </w:trPr>
        <w:tc>
          <w:tcPr>
            <w:tcW w:w="1135" w:type="dxa"/>
            <w:vMerge w:val="restart"/>
            <w:shd w:val="clear" w:color="auto" w:fill="BDD6EE"/>
            <w:vAlign w:val="center"/>
            <w:hideMark/>
          </w:tcPr>
          <w:p w14:paraId="5CC94774"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276" w:type="dxa"/>
            <w:vMerge w:val="restart"/>
            <w:shd w:val="clear" w:color="auto" w:fill="BDD6EE"/>
            <w:noWrap/>
            <w:vAlign w:val="center"/>
            <w:hideMark/>
          </w:tcPr>
          <w:p w14:paraId="30C71F68" w14:textId="77777777" w:rsidR="00A15990" w:rsidRDefault="00686A62">
            <w:pPr>
              <w:pStyle w:val="P68B1DB1-Normal6"/>
              <w:spacing w:after="0" w:line="240" w:lineRule="auto"/>
              <w:jc w:val="center"/>
              <w:rPr>
                <w:rFonts w:eastAsia="Times New Roman" w:cs="Times New Roman"/>
                <w:noProof/>
              </w:rPr>
            </w:pPr>
            <w:r>
              <w:rPr>
                <w:noProof/>
              </w:rPr>
              <w:t>Măsură (reformă sau investiții)</w:t>
            </w:r>
          </w:p>
        </w:tc>
        <w:tc>
          <w:tcPr>
            <w:tcW w:w="1134" w:type="dxa"/>
            <w:vMerge w:val="restart"/>
            <w:shd w:val="clear" w:color="auto" w:fill="BDD6EE"/>
            <w:noWrap/>
            <w:vAlign w:val="center"/>
            <w:hideMark/>
          </w:tcPr>
          <w:p w14:paraId="620CB2B2" w14:textId="49DE1DB8"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1984" w:type="dxa"/>
            <w:vMerge w:val="restart"/>
            <w:shd w:val="clear" w:color="auto" w:fill="BDD6EE"/>
            <w:noWrap/>
            <w:vAlign w:val="center"/>
            <w:hideMark/>
          </w:tcPr>
          <w:p w14:paraId="1C302F4F" w14:textId="77777777" w:rsidR="00A15990" w:rsidRDefault="00686A62">
            <w:pPr>
              <w:pStyle w:val="P68B1DB1-Normal6"/>
              <w:spacing w:after="0" w:line="240" w:lineRule="auto"/>
              <w:jc w:val="center"/>
              <w:rPr>
                <w:rFonts w:eastAsia="Times New Roman" w:cs="Times New Roman"/>
                <w:noProof/>
              </w:rPr>
            </w:pPr>
            <w:r>
              <w:rPr>
                <w:noProof/>
              </w:rPr>
              <w:t>Nume</w:t>
            </w:r>
          </w:p>
        </w:tc>
        <w:tc>
          <w:tcPr>
            <w:tcW w:w="1134" w:type="dxa"/>
            <w:vMerge w:val="restart"/>
            <w:shd w:val="clear" w:color="auto" w:fill="BDD6EE"/>
            <w:noWrap/>
            <w:vAlign w:val="center"/>
            <w:hideMark/>
          </w:tcPr>
          <w:p w14:paraId="7F93989A" w14:textId="77777777" w:rsidR="00A15990" w:rsidRDefault="00686A62">
            <w:pPr>
              <w:pStyle w:val="P68B1DB1-Normal6"/>
              <w:spacing w:after="0" w:line="240" w:lineRule="auto"/>
              <w:jc w:val="center"/>
              <w:rPr>
                <w:rFonts w:eastAsia="Times New Roman" w:cs="Times New Roman"/>
                <w:noProof/>
              </w:rPr>
            </w:pPr>
            <w:r>
              <w:rPr>
                <w:noProof/>
              </w:rPr>
              <w:t>Indicatori calitativi (pentru obiectivele de etapă)</w:t>
            </w:r>
          </w:p>
        </w:tc>
        <w:tc>
          <w:tcPr>
            <w:tcW w:w="2552" w:type="dxa"/>
            <w:gridSpan w:val="3"/>
            <w:shd w:val="clear" w:color="auto" w:fill="BDD6EE"/>
            <w:noWrap/>
            <w:vAlign w:val="center"/>
            <w:hideMark/>
          </w:tcPr>
          <w:p w14:paraId="5C5240E8" w14:textId="77777777" w:rsidR="00A15990" w:rsidRDefault="00686A62">
            <w:pPr>
              <w:pStyle w:val="P68B1DB1-Normal6"/>
              <w:spacing w:after="0" w:line="240" w:lineRule="auto"/>
              <w:jc w:val="center"/>
              <w:rPr>
                <w:rFonts w:eastAsia="Times New Roman" w:cs="Times New Roman"/>
                <w:noProof/>
              </w:rPr>
            </w:pPr>
            <w:r>
              <w:rPr>
                <w:noProof/>
              </w:rPr>
              <w:t>Indicatori cantitativi (pentru obiective)</w:t>
            </w:r>
          </w:p>
        </w:tc>
        <w:tc>
          <w:tcPr>
            <w:tcW w:w="1275" w:type="dxa"/>
            <w:gridSpan w:val="2"/>
            <w:shd w:val="clear" w:color="auto" w:fill="BDD6EE"/>
            <w:noWrap/>
            <w:vAlign w:val="center"/>
            <w:hideMark/>
          </w:tcPr>
          <w:p w14:paraId="5A90F2F3" w14:textId="77777777" w:rsidR="00A15990" w:rsidRDefault="00686A62">
            <w:pPr>
              <w:pStyle w:val="P68B1DB1-Normal6"/>
              <w:spacing w:after="0" w:line="240" w:lineRule="auto"/>
              <w:jc w:val="center"/>
              <w:rPr>
                <w:rFonts w:eastAsia="Times New Roman" w:cs="Times New Roman"/>
                <w:noProof/>
              </w:rPr>
            </w:pPr>
            <w:r>
              <w:rPr>
                <w:noProof/>
              </w:rPr>
              <w:t>Calendarul de finalizare</w:t>
            </w:r>
          </w:p>
        </w:tc>
        <w:tc>
          <w:tcPr>
            <w:tcW w:w="4395" w:type="dxa"/>
            <w:vMerge w:val="restart"/>
            <w:shd w:val="clear" w:color="auto" w:fill="BDD6EE"/>
            <w:vAlign w:val="center"/>
            <w:hideMark/>
          </w:tcPr>
          <w:p w14:paraId="05C538FC" w14:textId="77777777" w:rsidR="00A15990" w:rsidRDefault="00686A62">
            <w:pPr>
              <w:pStyle w:val="P68B1DB1-Normal6"/>
              <w:spacing w:after="0" w:line="240" w:lineRule="auto"/>
              <w:jc w:val="center"/>
              <w:rPr>
                <w:rFonts w:eastAsia="Times New Roman" w:cs="Times New Roman"/>
                <w:noProof/>
              </w:rPr>
            </w:pPr>
            <w:r>
              <w:rPr>
                <w:noProof/>
              </w:rPr>
              <w:t>Descrierea și definiția clară a fiecărui obiectiv de etapă și a fiecărei ținte</w:t>
            </w:r>
          </w:p>
        </w:tc>
      </w:tr>
      <w:tr w:rsidR="00A15990" w14:paraId="791474D6" w14:textId="77777777">
        <w:trPr>
          <w:trHeight w:val="300"/>
          <w:tblHeader/>
        </w:trPr>
        <w:tc>
          <w:tcPr>
            <w:tcW w:w="1135" w:type="dxa"/>
            <w:vMerge/>
            <w:vAlign w:val="center"/>
            <w:hideMark/>
          </w:tcPr>
          <w:p w14:paraId="64F5E293" w14:textId="77777777" w:rsidR="00A15990" w:rsidRDefault="00A15990">
            <w:pPr>
              <w:spacing w:after="0" w:line="240" w:lineRule="auto"/>
              <w:rPr>
                <w:rFonts w:ascii="Times New Roman" w:eastAsia="Times New Roman" w:hAnsi="Times New Roman" w:cs="Times New Roman"/>
                <w:b/>
                <w:noProof/>
                <w:sz w:val="18"/>
              </w:rPr>
            </w:pPr>
          </w:p>
        </w:tc>
        <w:tc>
          <w:tcPr>
            <w:tcW w:w="1276" w:type="dxa"/>
            <w:vMerge/>
            <w:vAlign w:val="center"/>
            <w:hideMark/>
          </w:tcPr>
          <w:p w14:paraId="4801FFBD"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noWrap/>
            <w:vAlign w:val="center"/>
            <w:hideMark/>
          </w:tcPr>
          <w:p w14:paraId="0FBCC370" w14:textId="77777777" w:rsidR="00A15990" w:rsidRDefault="00A15990">
            <w:pPr>
              <w:spacing w:after="0" w:line="240" w:lineRule="auto"/>
              <w:jc w:val="center"/>
              <w:rPr>
                <w:rFonts w:ascii="Times New Roman" w:eastAsia="Times New Roman" w:hAnsi="Times New Roman" w:cs="Times New Roman"/>
                <w:b/>
                <w:noProof/>
                <w:sz w:val="18"/>
              </w:rPr>
            </w:pPr>
          </w:p>
        </w:tc>
        <w:tc>
          <w:tcPr>
            <w:tcW w:w="1984" w:type="dxa"/>
            <w:vMerge/>
            <w:vAlign w:val="center"/>
            <w:hideMark/>
          </w:tcPr>
          <w:p w14:paraId="57A267FE" w14:textId="77777777" w:rsidR="00A15990" w:rsidRDefault="00A15990">
            <w:pPr>
              <w:spacing w:after="0" w:line="240" w:lineRule="auto"/>
              <w:rPr>
                <w:rFonts w:ascii="Times New Roman" w:eastAsia="Times New Roman" w:hAnsi="Times New Roman" w:cs="Times New Roman"/>
                <w:b/>
                <w:noProof/>
                <w:sz w:val="18"/>
              </w:rPr>
            </w:pPr>
          </w:p>
        </w:tc>
        <w:tc>
          <w:tcPr>
            <w:tcW w:w="1134" w:type="dxa"/>
            <w:vMerge/>
            <w:vAlign w:val="center"/>
            <w:hideMark/>
          </w:tcPr>
          <w:p w14:paraId="0C7C5FFB" w14:textId="77777777" w:rsidR="00A15990" w:rsidRDefault="00A15990">
            <w:pPr>
              <w:spacing w:after="0" w:line="240" w:lineRule="auto"/>
              <w:rPr>
                <w:rFonts w:ascii="Times New Roman" w:eastAsia="Times New Roman" w:hAnsi="Times New Roman" w:cs="Times New Roman"/>
                <w:b/>
                <w:noProof/>
                <w:sz w:val="18"/>
              </w:rPr>
            </w:pPr>
          </w:p>
        </w:tc>
        <w:tc>
          <w:tcPr>
            <w:tcW w:w="851" w:type="dxa"/>
            <w:shd w:val="clear" w:color="auto" w:fill="BDD6EE"/>
            <w:noWrap/>
            <w:vAlign w:val="center"/>
            <w:hideMark/>
          </w:tcPr>
          <w:p w14:paraId="1A7AD875" w14:textId="77777777" w:rsidR="00A15990" w:rsidRDefault="00686A62">
            <w:pPr>
              <w:pStyle w:val="P68B1DB1-Normal6"/>
              <w:spacing w:after="0" w:line="240" w:lineRule="auto"/>
              <w:jc w:val="center"/>
              <w:rPr>
                <w:rFonts w:eastAsia="Times New Roman" w:cs="Times New Roman"/>
                <w:noProof/>
              </w:rPr>
            </w:pPr>
            <w:r>
              <w:rPr>
                <w:noProof/>
              </w:rPr>
              <w:t>Unitate de măsură</w:t>
            </w:r>
          </w:p>
        </w:tc>
        <w:tc>
          <w:tcPr>
            <w:tcW w:w="992" w:type="dxa"/>
            <w:shd w:val="clear" w:color="auto" w:fill="BDD6EE"/>
            <w:noWrap/>
            <w:vAlign w:val="center"/>
            <w:hideMark/>
          </w:tcPr>
          <w:p w14:paraId="75CEC3C9" w14:textId="77777777" w:rsidR="00A15990" w:rsidRDefault="00686A62">
            <w:pPr>
              <w:pStyle w:val="P68B1DB1-Normal6"/>
              <w:spacing w:after="0" w:line="240" w:lineRule="auto"/>
              <w:jc w:val="center"/>
              <w:rPr>
                <w:rFonts w:eastAsia="Times New Roman" w:cs="Times New Roman"/>
                <w:noProof/>
              </w:rPr>
            </w:pPr>
            <w:r>
              <w:rPr>
                <w:noProof/>
              </w:rPr>
              <w:t>Situația de referință</w:t>
            </w:r>
          </w:p>
        </w:tc>
        <w:tc>
          <w:tcPr>
            <w:tcW w:w="709" w:type="dxa"/>
            <w:shd w:val="clear" w:color="auto" w:fill="BDD6EE"/>
            <w:noWrap/>
            <w:vAlign w:val="center"/>
            <w:hideMark/>
          </w:tcPr>
          <w:p w14:paraId="1839FA92" w14:textId="77777777" w:rsidR="00A15990" w:rsidRDefault="00686A62">
            <w:pPr>
              <w:pStyle w:val="P68B1DB1-Normal6"/>
              <w:spacing w:after="0" w:line="240" w:lineRule="auto"/>
              <w:jc w:val="center"/>
              <w:rPr>
                <w:rFonts w:eastAsia="Times New Roman" w:cs="Times New Roman"/>
                <w:noProof/>
              </w:rPr>
            </w:pPr>
            <w:r>
              <w:rPr>
                <w:noProof/>
              </w:rPr>
              <w:t>Obiectiv</w:t>
            </w:r>
          </w:p>
        </w:tc>
        <w:tc>
          <w:tcPr>
            <w:tcW w:w="567" w:type="dxa"/>
            <w:shd w:val="clear" w:color="auto" w:fill="BDD6EE"/>
            <w:noWrap/>
            <w:vAlign w:val="center"/>
            <w:hideMark/>
          </w:tcPr>
          <w:p w14:paraId="034E72F5" w14:textId="77777777" w:rsidR="00A15990" w:rsidRDefault="00686A62">
            <w:pPr>
              <w:pStyle w:val="P68B1DB1-Normal6"/>
              <w:spacing w:after="0" w:line="240" w:lineRule="auto"/>
              <w:jc w:val="center"/>
              <w:rPr>
                <w:rFonts w:eastAsia="Times New Roman" w:cs="Times New Roman"/>
                <w:noProof/>
              </w:rPr>
            </w:pPr>
            <w:r>
              <w:rPr>
                <w:noProof/>
              </w:rPr>
              <w:t>Q</w:t>
            </w:r>
          </w:p>
        </w:tc>
        <w:tc>
          <w:tcPr>
            <w:tcW w:w="708" w:type="dxa"/>
            <w:shd w:val="clear" w:color="auto" w:fill="BDD6EE"/>
            <w:noWrap/>
            <w:vAlign w:val="center"/>
            <w:hideMark/>
          </w:tcPr>
          <w:p w14:paraId="739CD227" w14:textId="77777777" w:rsidR="00A15990" w:rsidRDefault="00686A62">
            <w:pPr>
              <w:pStyle w:val="P68B1DB1-Normal6"/>
              <w:spacing w:after="0" w:line="240" w:lineRule="auto"/>
              <w:jc w:val="center"/>
              <w:rPr>
                <w:rFonts w:eastAsia="Times New Roman" w:cs="Times New Roman"/>
                <w:noProof/>
              </w:rPr>
            </w:pPr>
            <w:r>
              <w:rPr>
                <w:noProof/>
              </w:rPr>
              <w:t>Anul</w:t>
            </w:r>
          </w:p>
        </w:tc>
        <w:tc>
          <w:tcPr>
            <w:tcW w:w="4395" w:type="dxa"/>
            <w:vMerge/>
            <w:vAlign w:val="center"/>
            <w:hideMark/>
          </w:tcPr>
          <w:p w14:paraId="6237285D" w14:textId="77777777" w:rsidR="00A15990" w:rsidRDefault="00A15990">
            <w:pPr>
              <w:spacing w:after="0" w:line="240" w:lineRule="auto"/>
              <w:rPr>
                <w:rFonts w:ascii="Times New Roman" w:eastAsia="Times New Roman" w:hAnsi="Times New Roman" w:cs="Times New Roman"/>
                <w:b/>
                <w:noProof/>
                <w:sz w:val="18"/>
              </w:rPr>
            </w:pPr>
          </w:p>
        </w:tc>
      </w:tr>
      <w:tr w:rsidR="00A15990" w14:paraId="6842EF63" w14:textId="77777777">
        <w:trPr>
          <w:trHeight w:val="1260"/>
          <w:tblHeader/>
        </w:trPr>
        <w:tc>
          <w:tcPr>
            <w:tcW w:w="1135" w:type="dxa"/>
            <w:shd w:val="clear" w:color="auto" w:fill="C4EFCE"/>
            <w:noWrap/>
            <w:vAlign w:val="center"/>
          </w:tcPr>
          <w:p w14:paraId="20D33C04" w14:textId="3BE29466" w:rsidR="00A15990" w:rsidRDefault="00686A62">
            <w:pPr>
              <w:pStyle w:val="P68B1DB1-Normal7"/>
              <w:spacing w:after="0" w:line="240" w:lineRule="auto"/>
              <w:jc w:val="center"/>
              <w:rPr>
                <w:rFonts w:eastAsia="Times New Roman" w:cs="Calibri"/>
                <w:noProof/>
              </w:rPr>
            </w:pPr>
            <w:r>
              <w:rPr>
                <w:noProof/>
              </w:rPr>
              <w:t>22.1</w:t>
            </w:r>
          </w:p>
        </w:tc>
        <w:tc>
          <w:tcPr>
            <w:tcW w:w="1276" w:type="dxa"/>
            <w:shd w:val="clear" w:color="auto" w:fill="C4EFCE"/>
            <w:noWrap/>
            <w:vAlign w:val="center"/>
          </w:tcPr>
          <w:p w14:paraId="62B22C1C" w14:textId="0E34FE03" w:rsidR="00A15990" w:rsidRDefault="00686A62">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8531306" w14:textId="7F47F2D7" w:rsidR="00A15990" w:rsidRDefault="00686A62">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560DB9C0" w14:textId="2B36040C" w:rsidR="00A15990" w:rsidRDefault="00686A62">
            <w:pPr>
              <w:pStyle w:val="P68B1DB1-Normal8"/>
              <w:spacing w:after="0" w:line="240" w:lineRule="auto"/>
              <w:jc w:val="center"/>
              <w:rPr>
                <w:rFonts w:eastAsia="Times New Roman" w:cs="Calibri"/>
                <w:noProof/>
              </w:rPr>
            </w:pPr>
            <w:r>
              <w:rPr>
                <w:noProof/>
              </w:rPr>
              <w:t>Modificarea contractelor de finanțare dintre EMRP și Organismele de implementare pentru a include obligația de a efectua o evaluare a riscului de fraudă</w:t>
            </w:r>
          </w:p>
        </w:tc>
        <w:tc>
          <w:tcPr>
            <w:tcW w:w="1134" w:type="dxa"/>
            <w:shd w:val="clear" w:color="auto" w:fill="C4EFCE"/>
            <w:noWrap/>
            <w:vAlign w:val="center"/>
          </w:tcPr>
          <w:p w14:paraId="205B0F66" w14:textId="77777777" w:rsidR="00A15990" w:rsidRDefault="00A15990">
            <w:pPr>
              <w:spacing w:after="0" w:line="240" w:lineRule="auto"/>
              <w:rPr>
                <w:rFonts w:ascii="Calibri" w:hAnsi="Calibri" w:cs="Calibri"/>
                <w:noProof/>
                <w:sz w:val="16"/>
              </w:rPr>
            </w:pPr>
          </w:p>
          <w:p w14:paraId="679BDC28" w14:textId="5A459A31" w:rsidR="00A15990" w:rsidRDefault="00686A62">
            <w:pPr>
              <w:pStyle w:val="P68B1DB1-Normal8"/>
              <w:jc w:val="center"/>
              <w:rPr>
                <w:rFonts w:cs="Calibri"/>
                <w:noProof/>
              </w:rPr>
            </w:pPr>
            <w:r>
              <w:rPr>
                <w:noProof/>
              </w:rPr>
              <w:t>Contracte modificate</w:t>
            </w:r>
          </w:p>
        </w:tc>
        <w:tc>
          <w:tcPr>
            <w:tcW w:w="851" w:type="dxa"/>
            <w:shd w:val="clear" w:color="auto" w:fill="C4EFCE"/>
            <w:noWrap/>
            <w:vAlign w:val="center"/>
          </w:tcPr>
          <w:p w14:paraId="6159C977"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4C92B964"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33DEFF08"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0CEA973F" w14:textId="74F5DD87"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tcPr>
          <w:p w14:paraId="1EB90E5A" w14:textId="798D8660" w:rsidR="00A15990" w:rsidRDefault="00686A62">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23E3766D" w14:textId="2A2CD04B" w:rsidR="00A15990" w:rsidRDefault="00686A62">
            <w:pPr>
              <w:pStyle w:val="P68B1DB1-Normal8"/>
              <w:spacing w:after="0" w:line="240" w:lineRule="auto"/>
              <w:jc w:val="both"/>
              <w:rPr>
                <w:rFonts w:eastAsia="Times New Roman" w:cs="Calibri"/>
                <w:noProof/>
              </w:rPr>
            </w:pPr>
            <w:r>
              <w:rPr>
                <w:noProof/>
              </w:rPr>
              <w:t>Organismul de coordonare „EMRP” va modifica contractele semnate cu toate autoritățile responsabile cu implementarea PRR pentru a adăuga o obligație legală a organismelor de implementare de a efectua o evaluare a riscului de fraudă în termen de trei luni de la modificarea contractelor lor și, în cazul în care evaluarea riscului de fraudă identifică riscuri care nu sunt abordate de controalele existente, de a elabora un plan de acțiune care să conțină controale suplimentare. Această obligație se reflectă în manualul de proceduri al organismului de coordonare. Organismul de coordonare comunică, de asemenea, în mod oficial tuturor organismelor de punere în aplicare, orientări tehnice pentru a le sprijini în efectuarea evaluării riscului de fraudă.</w:t>
            </w:r>
          </w:p>
        </w:tc>
      </w:tr>
      <w:tr w:rsidR="00A15990" w14:paraId="4F83E9D0" w14:textId="77777777">
        <w:trPr>
          <w:trHeight w:val="1050"/>
          <w:tblHeader/>
        </w:trPr>
        <w:tc>
          <w:tcPr>
            <w:tcW w:w="1135" w:type="dxa"/>
            <w:shd w:val="clear" w:color="auto" w:fill="C4EFCE"/>
            <w:noWrap/>
            <w:vAlign w:val="center"/>
          </w:tcPr>
          <w:p w14:paraId="6AE6A737" w14:textId="1AC80AEF" w:rsidR="00A15990" w:rsidRDefault="00686A62">
            <w:pPr>
              <w:pStyle w:val="P68B1DB1-Normal7"/>
              <w:spacing w:after="0" w:line="240" w:lineRule="auto"/>
              <w:jc w:val="center"/>
              <w:rPr>
                <w:rFonts w:eastAsia="Times New Roman" w:cs="Calibri"/>
                <w:noProof/>
              </w:rPr>
            </w:pPr>
            <w:r>
              <w:rPr>
                <w:noProof/>
              </w:rPr>
              <w:t>22.2</w:t>
            </w:r>
          </w:p>
        </w:tc>
        <w:tc>
          <w:tcPr>
            <w:tcW w:w="1276" w:type="dxa"/>
            <w:shd w:val="clear" w:color="auto" w:fill="C4EFCE"/>
            <w:noWrap/>
            <w:vAlign w:val="center"/>
          </w:tcPr>
          <w:p w14:paraId="2DA9EBA8" w14:textId="6B386F7E" w:rsidR="00A15990" w:rsidRDefault="00686A62">
            <w:pPr>
              <w:pStyle w:val="P68B1DB1-Normal8"/>
              <w:spacing w:after="0" w:line="240" w:lineRule="auto"/>
              <w:jc w:val="center"/>
              <w:rPr>
                <w:rFonts w:eastAsia="Times New Roman" w:cs="Calibri"/>
                <w:noProof/>
              </w:rPr>
            </w:pPr>
            <w:r>
              <w:rPr>
                <w:noProof/>
              </w:rPr>
              <w:t>RE-C22-r49</w:t>
            </w:r>
          </w:p>
        </w:tc>
        <w:tc>
          <w:tcPr>
            <w:tcW w:w="1134" w:type="dxa"/>
            <w:shd w:val="clear" w:color="auto" w:fill="C4EFCE"/>
            <w:noWrap/>
            <w:vAlign w:val="center"/>
          </w:tcPr>
          <w:p w14:paraId="6AC25D7A" w14:textId="40D4B45C" w:rsidR="00A15990" w:rsidRDefault="00686A62">
            <w:pPr>
              <w:pStyle w:val="P68B1DB1-Normal8"/>
              <w:spacing w:after="0" w:line="240" w:lineRule="auto"/>
              <w:jc w:val="center"/>
              <w:rPr>
                <w:rFonts w:eastAsia="Times New Roman" w:cs="Calibri"/>
                <w:noProof/>
              </w:rPr>
            </w:pPr>
            <w:r>
              <w:rPr>
                <w:noProof/>
              </w:rPr>
              <w:t>M</w:t>
            </w:r>
          </w:p>
        </w:tc>
        <w:tc>
          <w:tcPr>
            <w:tcW w:w="1984" w:type="dxa"/>
            <w:shd w:val="clear" w:color="auto" w:fill="C4EFCE"/>
            <w:noWrap/>
            <w:vAlign w:val="center"/>
          </w:tcPr>
          <w:p w14:paraId="3D88FC2B" w14:textId="5245F9E7" w:rsidR="00A15990" w:rsidRDefault="00686A62">
            <w:pPr>
              <w:pStyle w:val="P68B1DB1-Normal8"/>
              <w:spacing w:after="0" w:line="240" w:lineRule="auto"/>
              <w:jc w:val="center"/>
              <w:rPr>
                <w:rFonts w:eastAsia="Times New Roman" w:cs="Calibri"/>
                <w:noProof/>
              </w:rPr>
            </w:pPr>
            <w:r>
              <w:rPr>
                <w:noProof/>
              </w:rPr>
              <w:t>Introducerea controalelor încrucișate pentru dubla finanțare</w:t>
            </w:r>
          </w:p>
        </w:tc>
        <w:tc>
          <w:tcPr>
            <w:tcW w:w="1134" w:type="dxa"/>
            <w:shd w:val="clear" w:color="auto" w:fill="C4EFCE"/>
            <w:noWrap/>
            <w:vAlign w:val="center"/>
          </w:tcPr>
          <w:p w14:paraId="4B3ED836" w14:textId="6F92F713" w:rsidR="00A15990" w:rsidRDefault="00686A62">
            <w:pPr>
              <w:pStyle w:val="P68B1DB1-Normal8"/>
              <w:spacing w:after="0" w:line="240" w:lineRule="auto"/>
              <w:jc w:val="center"/>
              <w:rPr>
                <w:rFonts w:eastAsia="Times New Roman" w:cs="Calibri"/>
                <w:noProof/>
              </w:rPr>
            </w:pPr>
            <w:r>
              <w:rPr>
                <w:noProof/>
              </w:rPr>
              <w:t xml:space="preserve">Punerea în aplicare a unor proceduri adecvate </w:t>
            </w:r>
          </w:p>
        </w:tc>
        <w:tc>
          <w:tcPr>
            <w:tcW w:w="851" w:type="dxa"/>
            <w:shd w:val="clear" w:color="auto" w:fill="C4EFCE"/>
            <w:noWrap/>
            <w:vAlign w:val="center"/>
          </w:tcPr>
          <w:p w14:paraId="44F95A3F" w14:textId="77777777" w:rsidR="00A15990" w:rsidRDefault="00A15990">
            <w:pPr>
              <w:spacing w:after="0" w:line="240" w:lineRule="auto"/>
              <w:jc w:val="center"/>
              <w:rPr>
                <w:rFonts w:ascii="Calibri" w:eastAsia="Times New Roman" w:hAnsi="Calibri" w:cs="Calibri"/>
                <w:noProof/>
                <w:sz w:val="16"/>
              </w:rPr>
            </w:pPr>
          </w:p>
        </w:tc>
        <w:tc>
          <w:tcPr>
            <w:tcW w:w="992" w:type="dxa"/>
            <w:shd w:val="clear" w:color="auto" w:fill="C4EFCE"/>
            <w:noWrap/>
            <w:vAlign w:val="center"/>
          </w:tcPr>
          <w:p w14:paraId="2D07F96E" w14:textId="77777777" w:rsidR="00A15990" w:rsidRDefault="00A15990">
            <w:pPr>
              <w:spacing w:after="0" w:line="240" w:lineRule="auto"/>
              <w:jc w:val="center"/>
              <w:rPr>
                <w:rFonts w:ascii="Calibri" w:eastAsia="Times New Roman" w:hAnsi="Calibri" w:cs="Calibri"/>
                <w:noProof/>
                <w:sz w:val="16"/>
              </w:rPr>
            </w:pPr>
          </w:p>
        </w:tc>
        <w:tc>
          <w:tcPr>
            <w:tcW w:w="709" w:type="dxa"/>
            <w:shd w:val="clear" w:color="auto" w:fill="C4EFCE"/>
            <w:noWrap/>
            <w:vAlign w:val="center"/>
          </w:tcPr>
          <w:p w14:paraId="25F8C2EF" w14:textId="77777777" w:rsidR="00A15990" w:rsidRDefault="00A15990">
            <w:pPr>
              <w:spacing w:after="0" w:line="240" w:lineRule="auto"/>
              <w:jc w:val="center"/>
              <w:rPr>
                <w:rFonts w:ascii="Calibri" w:eastAsia="Times New Roman" w:hAnsi="Calibri" w:cs="Calibri"/>
                <w:noProof/>
                <w:sz w:val="16"/>
              </w:rPr>
            </w:pPr>
          </w:p>
        </w:tc>
        <w:tc>
          <w:tcPr>
            <w:tcW w:w="567" w:type="dxa"/>
            <w:shd w:val="clear" w:color="auto" w:fill="C4EFCE"/>
            <w:noWrap/>
            <w:vAlign w:val="center"/>
          </w:tcPr>
          <w:p w14:paraId="535B19B9" w14:textId="6AAFBEC9" w:rsidR="00A15990" w:rsidRDefault="00686A62">
            <w:pPr>
              <w:pStyle w:val="P68B1DB1-Normal8"/>
              <w:spacing w:after="0" w:line="240" w:lineRule="auto"/>
              <w:jc w:val="center"/>
              <w:rPr>
                <w:rFonts w:eastAsia="Times New Roman" w:cs="Calibri"/>
                <w:noProof/>
              </w:rPr>
            </w:pPr>
            <w:r>
              <w:rPr>
                <w:noProof/>
              </w:rPr>
              <w:t>TRIMESTRUL 3</w:t>
            </w:r>
          </w:p>
        </w:tc>
        <w:tc>
          <w:tcPr>
            <w:tcW w:w="708" w:type="dxa"/>
            <w:shd w:val="clear" w:color="auto" w:fill="C4EFCE"/>
            <w:noWrap/>
            <w:vAlign w:val="center"/>
          </w:tcPr>
          <w:p w14:paraId="68F6B24F" w14:textId="4C019A52" w:rsidR="00A15990" w:rsidRDefault="00686A62">
            <w:pPr>
              <w:pStyle w:val="P68B1DB1-Normal8"/>
              <w:spacing w:after="0" w:line="240" w:lineRule="auto"/>
              <w:jc w:val="center"/>
              <w:rPr>
                <w:rFonts w:eastAsia="Times New Roman" w:cs="Calibri"/>
                <w:noProof/>
              </w:rPr>
            </w:pPr>
            <w:r>
              <w:rPr>
                <w:noProof/>
              </w:rPr>
              <w:t>2023</w:t>
            </w:r>
          </w:p>
        </w:tc>
        <w:tc>
          <w:tcPr>
            <w:tcW w:w="4395" w:type="dxa"/>
            <w:shd w:val="clear" w:color="auto" w:fill="C4EFCE"/>
          </w:tcPr>
          <w:p w14:paraId="02C4B5ED" w14:textId="533404F6" w:rsidR="00A15990" w:rsidRDefault="00686A62">
            <w:pPr>
              <w:pStyle w:val="P68B1DB1-Normal8"/>
              <w:spacing w:after="0" w:line="240" w:lineRule="auto"/>
              <w:jc w:val="both"/>
              <w:rPr>
                <w:rFonts w:eastAsia="Times New Roman" w:cs="Calibri"/>
                <w:noProof/>
              </w:rPr>
            </w:pPr>
            <w:r>
              <w:rPr>
                <w:noProof/>
              </w:rPr>
              <w:t>Autoritățile portugheze îmbunătățesc și pun în aplicare proceduri adecvate pentru a reduce sau a atenua riscul dublei finanțări prin introducerea unor controale încrucișate sistematice eficace ale cererilor de finanțare potențială în cadrul MRR și între MRR și alte programe ale Uniunii, în conformitate cu principiul bunei gestiuni financiare.</w:t>
            </w:r>
          </w:p>
        </w:tc>
      </w:tr>
    </w:tbl>
    <w:p w14:paraId="43BA5E3A" w14:textId="40FA9800" w:rsidR="00A15990" w:rsidRDefault="00A15990">
      <w:pPr>
        <w:keepNext/>
        <w:spacing w:before="40" w:after="0" w:line="259" w:lineRule="auto"/>
        <w:ind w:left="130" w:firstLine="720"/>
        <w:jc w:val="both"/>
        <w:outlineLvl w:val="1"/>
        <w:rPr>
          <w:rFonts w:ascii="Times New Roman" w:eastAsiaTheme="minorEastAsia" w:hAnsi="Times New Roman" w:cs="Times New Roman"/>
          <w:b/>
          <w:noProof/>
          <w:sz w:val="24"/>
          <w:u w:val="single"/>
        </w:rPr>
        <w:sectPr w:rsidR="00A15990" w:rsidSect="00587917">
          <w:headerReference w:type="even" r:id="rId386"/>
          <w:headerReference w:type="default" r:id="rId387"/>
          <w:footerReference w:type="even" r:id="rId388"/>
          <w:footerReference w:type="default" r:id="rId389"/>
          <w:headerReference w:type="first" r:id="rId390"/>
          <w:footerReference w:type="first" r:id="rId391"/>
          <w:pgSz w:w="16838" w:h="11906" w:orient="landscape"/>
          <w:pgMar w:top="1134" w:right="1134" w:bottom="1134" w:left="1134" w:header="567" w:footer="567" w:gutter="0"/>
          <w:cols w:space="708"/>
          <w:docGrid w:linePitch="360"/>
        </w:sectPr>
      </w:pPr>
    </w:p>
    <w:p w14:paraId="38339004" w14:textId="15E78D3A" w:rsidR="00A15990" w:rsidRDefault="00686A62">
      <w:pPr>
        <w:pStyle w:val="P68B1DB1-Normal3"/>
        <w:keepNext/>
        <w:spacing w:before="40" w:after="0" w:line="259" w:lineRule="auto"/>
        <w:ind w:left="130" w:firstLine="720"/>
        <w:jc w:val="both"/>
        <w:outlineLvl w:val="1"/>
        <w:rPr>
          <w:rFonts w:eastAsiaTheme="majorEastAsia" w:cs="Times New Roman"/>
          <w:noProof/>
        </w:rPr>
      </w:pPr>
      <w:r>
        <w:rPr>
          <w:noProof/>
        </w:rPr>
        <w:t>2. Costul total estimat al planului de redresare și reziliență</w:t>
      </w:r>
    </w:p>
    <w:p w14:paraId="7A12B998" w14:textId="77777777" w:rsidR="00A15990" w:rsidRDefault="00A15990">
      <w:pPr>
        <w:jc w:val="both"/>
        <w:rPr>
          <w:rFonts w:ascii="Times New Roman" w:eastAsia="Calibri" w:hAnsi="Times New Roman" w:cs="Times New Roman"/>
          <w:noProof/>
          <w:sz w:val="24"/>
        </w:rPr>
      </w:pPr>
    </w:p>
    <w:p w14:paraId="2D28C8C3" w14:textId="5C177C46" w:rsidR="00A15990" w:rsidRDefault="00686A62">
      <w:pPr>
        <w:pStyle w:val="P68B1DB1-Normal4"/>
        <w:spacing w:before="40" w:after="0" w:line="259" w:lineRule="auto"/>
        <w:jc w:val="both"/>
        <w:rPr>
          <w:rFonts w:eastAsia="Calibri" w:cs="Times New Roman"/>
          <w:noProof/>
        </w:rPr>
      </w:pPr>
      <w:r>
        <w:rPr>
          <w:noProof/>
        </w:rPr>
        <w:t>Costurile totale estimate ale planului de redresare și reziliență al Portugaliei sunt de 22 215 870 313 EUR.</w:t>
      </w:r>
    </w:p>
    <w:p w14:paraId="10AABC7B" w14:textId="5DB77EB7" w:rsidR="00A15990" w:rsidRDefault="00686A62">
      <w:pPr>
        <w:pStyle w:val="P68B1DB1-Normal4"/>
        <w:spacing w:before="40" w:after="0" w:line="259" w:lineRule="auto"/>
        <w:jc w:val="both"/>
        <w:rPr>
          <w:rFonts w:eastAsia="Calibri" w:cs="Times New Roman"/>
          <w:noProof/>
        </w:rPr>
      </w:pPr>
      <w:r>
        <w:rPr>
          <w:noProof/>
        </w:rPr>
        <w:t>Costurile totale estimate ale capitolului dedicat planului REPowerEU sunt de 855 400 000 EUR. În special, costurile totale estimate ale măsurilor menționate la articolul 21c alineatul (3) litera (a) din Regulamentul (UE) 2023/435 sunt de 0 EUR, în timp ce costurile celorlalte măsuri din capitolul privind REPowerEU sunt de 855 400 000 EUR.</w:t>
      </w:r>
    </w:p>
    <w:p w14:paraId="1303DF5E" w14:textId="77777777" w:rsidR="00A15990" w:rsidRDefault="00A15990">
      <w:pPr>
        <w:keepNext/>
        <w:spacing w:before="40" w:after="0" w:line="259" w:lineRule="auto"/>
        <w:jc w:val="both"/>
        <w:outlineLvl w:val="1"/>
        <w:rPr>
          <w:noProof/>
        </w:rPr>
      </w:pPr>
    </w:p>
    <w:p w14:paraId="515F6B1D" w14:textId="2D642D65" w:rsidR="00A15990" w:rsidRDefault="00686A62">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r>
      <w:r>
        <w:rPr>
          <w:rFonts w:ascii="Times New Roman" w:hAnsi="Times New Roman"/>
          <w:b/>
          <w:smallCaps/>
          <w:noProof/>
          <w:sz w:val="24"/>
        </w:rPr>
        <w:t xml:space="preserve">SECȚIUNEA 2: SPRIJIN FINANCIAR </w:t>
      </w:r>
    </w:p>
    <w:p w14:paraId="549D205C" w14:textId="77777777" w:rsidR="00A15990" w:rsidRDefault="00686A62">
      <w:pPr>
        <w:pStyle w:val="P68B1DB1-Normal3"/>
        <w:keepNext/>
        <w:numPr>
          <w:ilvl w:val="1"/>
          <w:numId w:val="46"/>
        </w:numPr>
        <w:spacing w:before="40" w:after="0" w:line="259" w:lineRule="auto"/>
        <w:jc w:val="both"/>
        <w:outlineLvl w:val="1"/>
        <w:rPr>
          <w:rFonts w:eastAsiaTheme="majorEastAsia" w:cs="Times New Roman"/>
          <w:noProof/>
        </w:rPr>
      </w:pPr>
      <w:r>
        <w:rPr>
          <w:noProof/>
        </w:rPr>
        <w:t xml:space="preserve">Contribuție financiară </w:t>
      </w:r>
    </w:p>
    <w:p w14:paraId="2AEF47AF"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389DCB62" w14:textId="77777777" w:rsidR="00A15990" w:rsidRDefault="00686A62">
      <w:pPr>
        <w:pStyle w:val="P68B1DB1-Normal4"/>
        <w:keepNext/>
        <w:spacing w:before="40" w:after="160" w:line="259" w:lineRule="auto"/>
        <w:contextualSpacing/>
        <w:jc w:val="both"/>
        <w:rPr>
          <w:rFonts w:eastAsiaTheme="minorEastAsia" w:cs="Times New Roman"/>
          <w:noProof/>
        </w:rPr>
      </w:pPr>
      <w:r>
        <w:rPr>
          <w:noProof/>
        </w:rPr>
        <w:t>Tranșele menționate la articolul 2 alineatul (2) se organizează după cum urmează:</w:t>
      </w:r>
    </w:p>
    <w:p w14:paraId="18903B08"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70355FDF"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Prima cerere de plată (sprijin nerambursabil): </w:t>
      </w:r>
    </w:p>
    <w:p w14:paraId="4AABD02B"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46EFA30C" w14:textId="77777777">
        <w:trPr>
          <w:trHeight w:val="509"/>
          <w:tblHeader/>
        </w:trPr>
        <w:tc>
          <w:tcPr>
            <w:tcW w:w="1200" w:type="dxa"/>
            <w:vMerge w:val="restart"/>
            <w:shd w:val="clear" w:color="auto" w:fill="BDD7EE"/>
            <w:vAlign w:val="center"/>
            <w:hideMark/>
          </w:tcPr>
          <w:p w14:paraId="3C5DD9AA"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777412A4"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3AFC0D26" w14:textId="03568187"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7291301C"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29D8F5D2" w14:textId="77777777">
        <w:trPr>
          <w:trHeight w:val="509"/>
          <w:tblHeader/>
        </w:trPr>
        <w:tc>
          <w:tcPr>
            <w:tcW w:w="1200" w:type="dxa"/>
            <w:vMerge/>
            <w:vAlign w:val="center"/>
            <w:hideMark/>
          </w:tcPr>
          <w:p w14:paraId="724EED61" w14:textId="77777777" w:rsidR="00A15990" w:rsidRDefault="00A15990">
            <w:pPr>
              <w:spacing w:after="0" w:line="240" w:lineRule="auto"/>
              <w:rPr>
                <w:rFonts w:ascii="Times New Roman" w:eastAsia="Times New Roman" w:hAnsi="Times New Roman" w:cs="Times New Roman"/>
                <w:noProof/>
                <w:sz w:val="20"/>
              </w:rPr>
            </w:pPr>
          </w:p>
        </w:tc>
        <w:tc>
          <w:tcPr>
            <w:tcW w:w="1760" w:type="dxa"/>
            <w:vMerge/>
            <w:vAlign w:val="center"/>
            <w:hideMark/>
          </w:tcPr>
          <w:p w14:paraId="58F5A343" w14:textId="77777777" w:rsidR="00A15990" w:rsidRDefault="00A15990">
            <w:pPr>
              <w:spacing w:after="0" w:line="240" w:lineRule="auto"/>
              <w:rPr>
                <w:rFonts w:ascii="Times New Roman" w:eastAsia="Times New Roman" w:hAnsi="Times New Roman" w:cs="Times New Roman"/>
                <w:noProof/>
                <w:sz w:val="20"/>
              </w:rPr>
            </w:pPr>
          </w:p>
        </w:tc>
        <w:tc>
          <w:tcPr>
            <w:tcW w:w="1520" w:type="dxa"/>
            <w:vMerge/>
            <w:vAlign w:val="center"/>
            <w:hideMark/>
          </w:tcPr>
          <w:p w14:paraId="62853973" w14:textId="77777777" w:rsidR="00A15990" w:rsidRDefault="00A15990">
            <w:pPr>
              <w:spacing w:after="0" w:line="240" w:lineRule="auto"/>
              <w:rPr>
                <w:rFonts w:ascii="Times New Roman" w:eastAsia="Times New Roman" w:hAnsi="Times New Roman" w:cs="Times New Roman"/>
                <w:noProof/>
                <w:sz w:val="20"/>
              </w:rPr>
            </w:pPr>
          </w:p>
        </w:tc>
        <w:tc>
          <w:tcPr>
            <w:tcW w:w="5060" w:type="dxa"/>
            <w:vMerge/>
            <w:vAlign w:val="center"/>
            <w:hideMark/>
          </w:tcPr>
          <w:p w14:paraId="2BF9D123" w14:textId="77777777" w:rsidR="00A15990" w:rsidRDefault="00A15990">
            <w:pPr>
              <w:spacing w:after="0" w:line="240" w:lineRule="auto"/>
              <w:rPr>
                <w:rFonts w:ascii="Times New Roman" w:eastAsia="Times New Roman" w:hAnsi="Times New Roman" w:cs="Times New Roman"/>
                <w:noProof/>
                <w:sz w:val="20"/>
              </w:rPr>
            </w:pPr>
          </w:p>
        </w:tc>
      </w:tr>
      <w:tr w:rsidR="00A15990" w14:paraId="6BFB7F1C" w14:textId="77777777">
        <w:trPr>
          <w:trHeight w:val="440"/>
        </w:trPr>
        <w:tc>
          <w:tcPr>
            <w:tcW w:w="1200" w:type="dxa"/>
            <w:shd w:val="clear" w:color="auto" w:fill="C4EFCE"/>
            <w:vAlign w:val="center"/>
            <w:hideMark/>
          </w:tcPr>
          <w:p w14:paraId="035B456C" w14:textId="77777777" w:rsidR="00A15990" w:rsidRDefault="00686A62">
            <w:pPr>
              <w:pStyle w:val="P68B1DB1-Normal23"/>
              <w:spacing w:after="0"/>
              <w:jc w:val="center"/>
              <w:rPr>
                <w:noProof/>
              </w:rPr>
            </w:pPr>
            <w:r>
              <w:rPr>
                <w:noProof/>
              </w:rPr>
              <w:t>1.29</w:t>
            </w:r>
          </w:p>
        </w:tc>
        <w:tc>
          <w:tcPr>
            <w:tcW w:w="1760" w:type="dxa"/>
            <w:shd w:val="clear" w:color="auto" w:fill="C4EFCE"/>
            <w:vAlign w:val="center"/>
            <w:hideMark/>
          </w:tcPr>
          <w:p w14:paraId="5F82E253" w14:textId="77777777" w:rsidR="00A15990" w:rsidRDefault="00686A62">
            <w:pPr>
              <w:pStyle w:val="P68B1DB1-Normal23"/>
              <w:spacing w:after="0"/>
              <w:jc w:val="center"/>
              <w:rPr>
                <w:noProof/>
              </w:rPr>
            </w:pPr>
            <w:r>
              <w:rPr>
                <w:noProof/>
              </w:rPr>
              <w:t xml:space="preserve">RE-C01-i05-RAM </w:t>
            </w:r>
          </w:p>
        </w:tc>
        <w:tc>
          <w:tcPr>
            <w:tcW w:w="1520" w:type="dxa"/>
            <w:shd w:val="clear" w:color="auto" w:fill="C4EFCE"/>
            <w:vAlign w:val="center"/>
            <w:hideMark/>
          </w:tcPr>
          <w:p w14:paraId="3B317CCB"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748D4E23" w14:textId="77777777" w:rsidR="00A15990" w:rsidRDefault="00686A62">
            <w:pPr>
              <w:pStyle w:val="P68B1DB1-Normal23"/>
              <w:spacing w:after="0"/>
              <w:jc w:val="both"/>
              <w:rPr>
                <w:rFonts w:eastAsia="Calibri" w:cs="Calibri"/>
                <w:noProof/>
              </w:rPr>
            </w:pPr>
            <w:r>
              <w:rPr>
                <w:noProof/>
              </w:rPr>
              <w:t>Implementarea sistemului de clasificare, a profilului funcțional și a sistemului de semnalare a utilizatorilor pentru modelul regional de servicii integrate de îngrijire continuă din Madeira</w:t>
            </w:r>
          </w:p>
        </w:tc>
      </w:tr>
      <w:tr w:rsidR="00A15990" w14:paraId="3069A8FF" w14:textId="77777777">
        <w:trPr>
          <w:trHeight w:val="440"/>
        </w:trPr>
        <w:tc>
          <w:tcPr>
            <w:tcW w:w="1200" w:type="dxa"/>
            <w:shd w:val="clear" w:color="auto" w:fill="C4EFCE"/>
            <w:vAlign w:val="center"/>
            <w:hideMark/>
          </w:tcPr>
          <w:p w14:paraId="2A4852AE" w14:textId="77777777" w:rsidR="00A15990" w:rsidRDefault="00686A62">
            <w:pPr>
              <w:pStyle w:val="P68B1DB1-Normal23"/>
              <w:spacing w:after="0"/>
              <w:jc w:val="center"/>
              <w:rPr>
                <w:noProof/>
              </w:rPr>
            </w:pPr>
            <w:r>
              <w:rPr>
                <w:noProof/>
              </w:rPr>
              <w:t>1.4</w:t>
            </w:r>
          </w:p>
        </w:tc>
        <w:tc>
          <w:tcPr>
            <w:tcW w:w="1760" w:type="dxa"/>
            <w:shd w:val="clear" w:color="auto" w:fill="C4EFCE"/>
            <w:vAlign w:val="center"/>
            <w:hideMark/>
          </w:tcPr>
          <w:p w14:paraId="33989A47" w14:textId="77777777" w:rsidR="00A15990" w:rsidRDefault="00686A62">
            <w:pPr>
              <w:pStyle w:val="P68B1DB1-Normal23"/>
              <w:spacing w:after="0"/>
              <w:jc w:val="center"/>
              <w:rPr>
                <w:noProof/>
              </w:rPr>
            </w:pPr>
            <w:r>
              <w:rPr>
                <w:noProof/>
              </w:rPr>
              <w:t xml:space="preserve">RE-C01-r02 </w:t>
            </w:r>
          </w:p>
        </w:tc>
        <w:tc>
          <w:tcPr>
            <w:tcW w:w="1520" w:type="dxa"/>
            <w:shd w:val="clear" w:color="auto" w:fill="C4EFCE"/>
            <w:vAlign w:val="center"/>
            <w:hideMark/>
          </w:tcPr>
          <w:p w14:paraId="0063710F"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01F50912" w14:textId="77777777" w:rsidR="00A15990" w:rsidRDefault="00686A62">
            <w:pPr>
              <w:pStyle w:val="P68B1DB1-Normal23"/>
              <w:spacing w:after="0"/>
              <w:jc w:val="both"/>
              <w:rPr>
                <w:rFonts w:eastAsia="Calibri" w:cs="Calibri"/>
                <w:noProof/>
              </w:rPr>
            </w:pPr>
            <w:r>
              <w:rPr>
                <w:noProof/>
              </w:rPr>
              <w:t>Intrarea în vigoare a noului Decret-lege privind sănătatea mintală, care stabilește principiile de organizare a serviciilor de îngrijire a sănătății mintale</w:t>
            </w:r>
          </w:p>
        </w:tc>
      </w:tr>
      <w:tr w:rsidR="00A15990" w14:paraId="2344BBFE" w14:textId="77777777">
        <w:trPr>
          <w:trHeight w:val="440"/>
        </w:trPr>
        <w:tc>
          <w:tcPr>
            <w:tcW w:w="1200" w:type="dxa"/>
            <w:shd w:val="clear" w:color="auto" w:fill="C4EFCE"/>
            <w:vAlign w:val="center"/>
            <w:hideMark/>
          </w:tcPr>
          <w:p w14:paraId="6084FBFD" w14:textId="77777777" w:rsidR="00A15990" w:rsidRDefault="00686A62">
            <w:pPr>
              <w:pStyle w:val="P68B1DB1-Normal23"/>
              <w:spacing w:after="0"/>
              <w:jc w:val="center"/>
              <w:rPr>
                <w:noProof/>
              </w:rPr>
            </w:pPr>
            <w:r>
              <w:rPr>
                <w:noProof/>
              </w:rPr>
              <w:t>2.13</w:t>
            </w:r>
          </w:p>
        </w:tc>
        <w:tc>
          <w:tcPr>
            <w:tcW w:w="1760" w:type="dxa"/>
            <w:shd w:val="clear" w:color="auto" w:fill="C4EFCE"/>
            <w:vAlign w:val="center"/>
            <w:hideMark/>
          </w:tcPr>
          <w:p w14:paraId="68C41028" w14:textId="77777777" w:rsidR="00A15990" w:rsidRDefault="00686A62">
            <w:pPr>
              <w:pStyle w:val="P68B1DB1-Normal23"/>
              <w:spacing w:after="0"/>
              <w:jc w:val="center"/>
              <w:rPr>
                <w:noProof/>
              </w:rPr>
            </w:pPr>
            <w:r>
              <w:rPr>
                <w:noProof/>
              </w:rPr>
              <w:t xml:space="preserve">RE-C02-i04-RAA </w:t>
            </w:r>
          </w:p>
        </w:tc>
        <w:tc>
          <w:tcPr>
            <w:tcW w:w="1520" w:type="dxa"/>
            <w:shd w:val="clear" w:color="auto" w:fill="C4EFCE"/>
            <w:vAlign w:val="center"/>
            <w:hideMark/>
          </w:tcPr>
          <w:p w14:paraId="44ACBEA0" w14:textId="77777777" w:rsidR="00A15990" w:rsidRDefault="00686A62">
            <w:pPr>
              <w:pStyle w:val="P68B1DB1-Normal23"/>
              <w:spacing w:after="0"/>
              <w:jc w:val="center"/>
              <w:rPr>
                <w:noProof/>
              </w:rPr>
            </w:pPr>
            <w:r>
              <w:rPr>
                <w:noProof/>
              </w:rPr>
              <w:t>T</w:t>
            </w:r>
          </w:p>
        </w:tc>
        <w:tc>
          <w:tcPr>
            <w:tcW w:w="5060" w:type="dxa"/>
            <w:shd w:val="clear" w:color="auto" w:fill="C4EFCE"/>
            <w:vAlign w:val="center"/>
            <w:hideMark/>
          </w:tcPr>
          <w:p w14:paraId="3219CFC6" w14:textId="77777777" w:rsidR="00A15990" w:rsidRDefault="00686A62">
            <w:pPr>
              <w:pStyle w:val="P68B1DB1-Normal23"/>
              <w:spacing w:after="0"/>
              <w:jc w:val="both"/>
              <w:rPr>
                <w:rFonts w:eastAsia="Calibri" w:cs="Calibri"/>
                <w:noProof/>
              </w:rPr>
            </w:pPr>
            <w:r>
              <w:rPr>
                <w:noProof/>
              </w:rPr>
              <w:t>Intervenții asupra fondului locativ public din Regiunea Autonomă Azore</w:t>
            </w:r>
          </w:p>
        </w:tc>
      </w:tr>
      <w:tr w:rsidR="00A15990" w14:paraId="3FC1CC3B" w14:textId="77777777">
        <w:trPr>
          <w:trHeight w:val="440"/>
        </w:trPr>
        <w:tc>
          <w:tcPr>
            <w:tcW w:w="1200" w:type="dxa"/>
            <w:shd w:val="clear" w:color="auto" w:fill="C4EFCE"/>
            <w:vAlign w:val="center"/>
            <w:hideMark/>
          </w:tcPr>
          <w:p w14:paraId="1EECC9AE" w14:textId="77777777" w:rsidR="00A15990" w:rsidRDefault="00686A62">
            <w:pPr>
              <w:pStyle w:val="P68B1DB1-Normal23"/>
              <w:spacing w:after="0"/>
              <w:jc w:val="center"/>
              <w:rPr>
                <w:noProof/>
              </w:rPr>
            </w:pPr>
            <w:r>
              <w:rPr>
                <w:noProof/>
              </w:rPr>
              <w:t>2.14</w:t>
            </w:r>
          </w:p>
        </w:tc>
        <w:tc>
          <w:tcPr>
            <w:tcW w:w="1760" w:type="dxa"/>
            <w:shd w:val="clear" w:color="auto" w:fill="C4EFCE"/>
            <w:vAlign w:val="center"/>
            <w:hideMark/>
          </w:tcPr>
          <w:p w14:paraId="7D01D9D8" w14:textId="77777777" w:rsidR="00A15990" w:rsidRDefault="00686A62">
            <w:pPr>
              <w:pStyle w:val="P68B1DB1-Normal23"/>
              <w:spacing w:after="0"/>
              <w:jc w:val="center"/>
              <w:rPr>
                <w:noProof/>
              </w:rPr>
            </w:pPr>
            <w:r>
              <w:rPr>
                <w:noProof/>
              </w:rPr>
              <w:t xml:space="preserve">RE-C02-i04-RAA </w:t>
            </w:r>
          </w:p>
        </w:tc>
        <w:tc>
          <w:tcPr>
            <w:tcW w:w="1520" w:type="dxa"/>
            <w:shd w:val="clear" w:color="auto" w:fill="C4EFCE"/>
            <w:vAlign w:val="center"/>
            <w:hideMark/>
          </w:tcPr>
          <w:p w14:paraId="4B0F382B" w14:textId="77777777" w:rsidR="00A15990" w:rsidRDefault="00686A62">
            <w:pPr>
              <w:pStyle w:val="P68B1DB1-Normal23"/>
              <w:spacing w:after="0"/>
              <w:jc w:val="center"/>
              <w:rPr>
                <w:noProof/>
              </w:rPr>
            </w:pPr>
            <w:r>
              <w:rPr>
                <w:noProof/>
              </w:rPr>
              <w:t>T</w:t>
            </w:r>
          </w:p>
        </w:tc>
        <w:tc>
          <w:tcPr>
            <w:tcW w:w="5060" w:type="dxa"/>
            <w:shd w:val="clear" w:color="auto" w:fill="C4EFCE"/>
            <w:vAlign w:val="center"/>
            <w:hideMark/>
          </w:tcPr>
          <w:p w14:paraId="21EA9779" w14:textId="77777777" w:rsidR="00A15990" w:rsidRDefault="00686A62">
            <w:pPr>
              <w:pStyle w:val="P68B1DB1-Normal23"/>
              <w:spacing w:after="0"/>
              <w:jc w:val="both"/>
              <w:rPr>
                <w:rFonts w:eastAsia="Calibri" w:cs="Calibri"/>
                <w:noProof/>
              </w:rPr>
            </w:pPr>
            <w:r>
              <w:rPr>
                <w:noProof/>
              </w:rPr>
              <w:t>Intervenții în fondul locativ public al Regiunii Autonome Azore – renovare</w:t>
            </w:r>
          </w:p>
        </w:tc>
      </w:tr>
      <w:tr w:rsidR="00A15990" w14:paraId="27E2DD10" w14:textId="77777777">
        <w:trPr>
          <w:trHeight w:val="440"/>
        </w:trPr>
        <w:tc>
          <w:tcPr>
            <w:tcW w:w="1200" w:type="dxa"/>
            <w:shd w:val="clear" w:color="auto" w:fill="C4EFCE"/>
            <w:vAlign w:val="center"/>
            <w:hideMark/>
          </w:tcPr>
          <w:p w14:paraId="08C4D405" w14:textId="77777777" w:rsidR="00A15990" w:rsidRDefault="00686A62">
            <w:pPr>
              <w:pStyle w:val="P68B1DB1-Normal23"/>
              <w:spacing w:after="0"/>
              <w:jc w:val="center"/>
              <w:rPr>
                <w:noProof/>
              </w:rPr>
            </w:pPr>
            <w:r>
              <w:rPr>
                <w:noProof/>
              </w:rPr>
              <w:t>2.19</w:t>
            </w:r>
          </w:p>
        </w:tc>
        <w:tc>
          <w:tcPr>
            <w:tcW w:w="1760" w:type="dxa"/>
            <w:shd w:val="clear" w:color="auto" w:fill="C4EFCE"/>
            <w:vAlign w:val="center"/>
            <w:hideMark/>
          </w:tcPr>
          <w:p w14:paraId="02067C77" w14:textId="77777777" w:rsidR="00A15990" w:rsidRDefault="00686A62">
            <w:pPr>
              <w:pStyle w:val="P68B1DB1-Normal23"/>
              <w:spacing w:after="0"/>
              <w:jc w:val="center"/>
              <w:rPr>
                <w:noProof/>
              </w:rPr>
            </w:pPr>
            <w:r>
              <w:rPr>
                <w:noProof/>
              </w:rPr>
              <w:t xml:space="preserve">RE-C02-r04 </w:t>
            </w:r>
          </w:p>
        </w:tc>
        <w:tc>
          <w:tcPr>
            <w:tcW w:w="1520" w:type="dxa"/>
            <w:shd w:val="clear" w:color="auto" w:fill="C4EFCE"/>
            <w:vAlign w:val="center"/>
            <w:hideMark/>
          </w:tcPr>
          <w:p w14:paraId="4DE1A0FE"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63EA2037" w14:textId="77777777" w:rsidR="00A15990" w:rsidRDefault="00686A62">
            <w:pPr>
              <w:pStyle w:val="P68B1DB1-Normal23"/>
              <w:spacing w:after="0"/>
              <w:jc w:val="both"/>
              <w:rPr>
                <w:rFonts w:eastAsia="Calibri" w:cs="Calibri"/>
                <w:noProof/>
              </w:rPr>
            </w:pPr>
            <w:r>
              <w:rPr>
                <w:noProof/>
              </w:rPr>
              <w:t>Intrarea în vigoare a Decretului-lege de aprobare a cadrului juridic pentru planul național de urgență și temporar privind locuințele</w:t>
            </w:r>
          </w:p>
        </w:tc>
      </w:tr>
      <w:tr w:rsidR="00A15990" w14:paraId="1A823EEC" w14:textId="77777777">
        <w:trPr>
          <w:trHeight w:val="440"/>
        </w:trPr>
        <w:tc>
          <w:tcPr>
            <w:tcW w:w="1200" w:type="dxa"/>
            <w:shd w:val="clear" w:color="auto" w:fill="C4EFCE"/>
            <w:vAlign w:val="center"/>
            <w:hideMark/>
          </w:tcPr>
          <w:p w14:paraId="454764B0" w14:textId="77777777" w:rsidR="00A15990" w:rsidRDefault="00686A62">
            <w:pPr>
              <w:pStyle w:val="P68B1DB1-Normal23"/>
              <w:spacing w:after="0"/>
              <w:jc w:val="center"/>
              <w:rPr>
                <w:noProof/>
              </w:rPr>
            </w:pPr>
            <w:r>
              <w:rPr>
                <w:noProof/>
              </w:rPr>
              <w:t>3.17</w:t>
            </w:r>
          </w:p>
        </w:tc>
        <w:tc>
          <w:tcPr>
            <w:tcW w:w="1760" w:type="dxa"/>
            <w:shd w:val="clear" w:color="auto" w:fill="C4EFCE"/>
            <w:vAlign w:val="center"/>
            <w:hideMark/>
          </w:tcPr>
          <w:p w14:paraId="5EEE7E6A" w14:textId="77777777" w:rsidR="00A15990" w:rsidRDefault="00686A62">
            <w:pPr>
              <w:pStyle w:val="P68B1DB1-Normal23"/>
              <w:spacing w:after="0"/>
              <w:jc w:val="center"/>
              <w:rPr>
                <w:noProof/>
              </w:rPr>
            </w:pPr>
            <w:r>
              <w:rPr>
                <w:noProof/>
              </w:rPr>
              <w:t xml:space="preserve">RE-C03-i05 </w:t>
            </w:r>
          </w:p>
        </w:tc>
        <w:tc>
          <w:tcPr>
            <w:tcW w:w="1520" w:type="dxa"/>
            <w:shd w:val="clear" w:color="auto" w:fill="C4EFCE"/>
            <w:vAlign w:val="center"/>
            <w:hideMark/>
          </w:tcPr>
          <w:p w14:paraId="7E749779"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59E3FD88" w14:textId="77777777" w:rsidR="00A15990" w:rsidRDefault="00686A62">
            <w:pPr>
              <w:pStyle w:val="P68B1DB1-Normal23"/>
              <w:spacing w:after="0"/>
              <w:jc w:val="both"/>
              <w:rPr>
                <w:rFonts w:eastAsia="Calibri" w:cs="Calibri"/>
                <w:noProof/>
              </w:rPr>
            </w:pPr>
            <w:r>
              <w:rPr>
                <w:noProof/>
              </w:rPr>
              <w:t>Publicarea ofertei pentru „Construirea infrastructurii digitale pentru accesibilitate 360°”</w:t>
            </w:r>
          </w:p>
        </w:tc>
      </w:tr>
      <w:tr w:rsidR="00A15990" w14:paraId="4A7CD219" w14:textId="77777777">
        <w:trPr>
          <w:trHeight w:val="440"/>
        </w:trPr>
        <w:tc>
          <w:tcPr>
            <w:tcW w:w="1200" w:type="dxa"/>
            <w:shd w:val="clear" w:color="auto" w:fill="C4EFCE"/>
            <w:vAlign w:val="center"/>
            <w:hideMark/>
          </w:tcPr>
          <w:p w14:paraId="11B4A886" w14:textId="77777777" w:rsidR="00A15990" w:rsidRDefault="00686A62">
            <w:pPr>
              <w:pStyle w:val="P68B1DB1-Normal23"/>
              <w:spacing w:after="0"/>
              <w:jc w:val="center"/>
              <w:rPr>
                <w:noProof/>
              </w:rPr>
            </w:pPr>
            <w:r>
              <w:rPr>
                <w:noProof/>
              </w:rPr>
              <w:t>3.20</w:t>
            </w:r>
          </w:p>
        </w:tc>
        <w:tc>
          <w:tcPr>
            <w:tcW w:w="1760" w:type="dxa"/>
            <w:shd w:val="clear" w:color="auto" w:fill="C4EFCE"/>
            <w:vAlign w:val="center"/>
            <w:hideMark/>
          </w:tcPr>
          <w:p w14:paraId="5AB1C66A" w14:textId="77777777" w:rsidR="00A15990" w:rsidRDefault="00686A62">
            <w:pPr>
              <w:pStyle w:val="P68B1DB1-Normal23"/>
              <w:spacing w:after="0"/>
              <w:jc w:val="center"/>
              <w:rPr>
                <w:noProof/>
              </w:rPr>
            </w:pPr>
            <w:r>
              <w:rPr>
                <w:noProof/>
              </w:rPr>
              <w:t xml:space="preserve">RE-C03-r08 </w:t>
            </w:r>
          </w:p>
        </w:tc>
        <w:tc>
          <w:tcPr>
            <w:tcW w:w="1520" w:type="dxa"/>
            <w:shd w:val="clear" w:color="auto" w:fill="C4EFCE"/>
            <w:vAlign w:val="center"/>
            <w:hideMark/>
          </w:tcPr>
          <w:p w14:paraId="7115B103"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6834BE7E" w14:textId="77777777" w:rsidR="00A15990" w:rsidRDefault="00686A62">
            <w:pPr>
              <w:pStyle w:val="P68B1DB1-Normal23"/>
              <w:spacing w:after="0"/>
              <w:jc w:val="both"/>
              <w:rPr>
                <w:rFonts w:eastAsia="Calibri" w:cs="Calibri"/>
                <w:noProof/>
              </w:rPr>
            </w:pPr>
            <w:r>
              <w:rPr>
                <w:noProof/>
              </w:rPr>
              <w:t>Adoptarea Strategiei naționale de combatere a sărăciei</w:t>
            </w:r>
          </w:p>
        </w:tc>
      </w:tr>
      <w:tr w:rsidR="00A15990" w14:paraId="1EA1FEC6" w14:textId="77777777">
        <w:trPr>
          <w:trHeight w:val="440"/>
        </w:trPr>
        <w:tc>
          <w:tcPr>
            <w:tcW w:w="1200" w:type="dxa"/>
            <w:shd w:val="clear" w:color="auto" w:fill="C4EFCE"/>
            <w:vAlign w:val="center"/>
            <w:hideMark/>
          </w:tcPr>
          <w:p w14:paraId="3194D942" w14:textId="77777777" w:rsidR="00A15990" w:rsidRDefault="00686A62">
            <w:pPr>
              <w:pStyle w:val="P68B1DB1-Normal23"/>
              <w:spacing w:after="0"/>
              <w:jc w:val="center"/>
              <w:rPr>
                <w:noProof/>
              </w:rPr>
            </w:pPr>
            <w:r>
              <w:rPr>
                <w:noProof/>
              </w:rPr>
              <w:t>3.21</w:t>
            </w:r>
          </w:p>
        </w:tc>
        <w:tc>
          <w:tcPr>
            <w:tcW w:w="1760" w:type="dxa"/>
            <w:shd w:val="clear" w:color="auto" w:fill="C4EFCE"/>
            <w:vAlign w:val="center"/>
            <w:hideMark/>
          </w:tcPr>
          <w:p w14:paraId="365F7A17" w14:textId="77777777" w:rsidR="00A15990" w:rsidRDefault="00686A62">
            <w:pPr>
              <w:pStyle w:val="P68B1DB1-Normal23"/>
              <w:spacing w:after="0"/>
              <w:jc w:val="center"/>
              <w:rPr>
                <w:noProof/>
              </w:rPr>
            </w:pPr>
            <w:r>
              <w:rPr>
                <w:noProof/>
              </w:rPr>
              <w:t xml:space="preserve">RE-C03-r06 </w:t>
            </w:r>
          </w:p>
        </w:tc>
        <w:tc>
          <w:tcPr>
            <w:tcW w:w="1520" w:type="dxa"/>
            <w:shd w:val="clear" w:color="auto" w:fill="C4EFCE"/>
            <w:vAlign w:val="center"/>
            <w:hideMark/>
          </w:tcPr>
          <w:p w14:paraId="07DB9847"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0E6DA00E" w14:textId="77777777" w:rsidR="00A15990" w:rsidRDefault="00686A62">
            <w:pPr>
              <w:pStyle w:val="P68B1DB1-Normal23"/>
              <w:spacing w:after="0"/>
              <w:jc w:val="both"/>
              <w:rPr>
                <w:rFonts w:eastAsia="Calibri" w:cs="Calibri"/>
                <w:noProof/>
              </w:rPr>
            </w:pPr>
            <w:r>
              <w:rPr>
                <w:noProof/>
              </w:rPr>
              <w:t>Adoptarea Strategiei naționale pentru incluziunea persoanelor cu handicap 2021-2025</w:t>
            </w:r>
          </w:p>
        </w:tc>
      </w:tr>
      <w:tr w:rsidR="00A15990" w14:paraId="35F21874" w14:textId="77777777">
        <w:trPr>
          <w:trHeight w:val="440"/>
        </w:trPr>
        <w:tc>
          <w:tcPr>
            <w:tcW w:w="1200" w:type="dxa"/>
            <w:shd w:val="clear" w:color="auto" w:fill="C4EFCE"/>
            <w:vAlign w:val="center"/>
            <w:hideMark/>
          </w:tcPr>
          <w:p w14:paraId="47B7A28F" w14:textId="77777777" w:rsidR="00A15990" w:rsidRDefault="00686A62">
            <w:pPr>
              <w:pStyle w:val="P68B1DB1-Normal23"/>
              <w:spacing w:after="0"/>
              <w:jc w:val="center"/>
              <w:rPr>
                <w:noProof/>
              </w:rPr>
            </w:pPr>
            <w:r>
              <w:rPr>
                <w:noProof/>
              </w:rPr>
              <w:t>3.22</w:t>
            </w:r>
          </w:p>
        </w:tc>
        <w:tc>
          <w:tcPr>
            <w:tcW w:w="1760" w:type="dxa"/>
            <w:shd w:val="clear" w:color="auto" w:fill="C4EFCE"/>
            <w:vAlign w:val="center"/>
            <w:hideMark/>
          </w:tcPr>
          <w:p w14:paraId="6AE41D5D" w14:textId="77777777" w:rsidR="00A15990" w:rsidRDefault="00686A62">
            <w:pPr>
              <w:pStyle w:val="P68B1DB1-Normal23"/>
              <w:spacing w:after="0"/>
              <w:jc w:val="center"/>
              <w:rPr>
                <w:noProof/>
              </w:rPr>
            </w:pPr>
            <w:r>
              <w:rPr>
                <w:noProof/>
              </w:rPr>
              <w:t xml:space="preserve">RE-C03-r05 </w:t>
            </w:r>
          </w:p>
        </w:tc>
        <w:tc>
          <w:tcPr>
            <w:tcW w:w="1520" w:type="dxa"/>
            <w:shd w:val="clear" w:color="auto" w:fill="C4EFCE"/>
            <w:vAlign w:val="center"/>
            <w:hideMark/>
          </w:tcPr>
          <w:p w14:paraId="4C477BAF"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6D60CF00" w14:textId="77777777" w:rsidR="00A15990" w:rsidRDefault="00686A62">
            <w:pPr>
              <w:pStyle w:val="P68B1DB1-Normal23"/>
              <w:spacing w:after="0"/>
              <w:jc w:val="both"/>
              <w:rPr>
                <w:rFonts w:eastAsia="Calibri" w:cs="Calibri"/>
                <w:noProof/>
              </w:rPr>
            </w:pPr>
            <w:r>
              <w:rPr>
                <w:noProof/>
              </w:rPr>
              <w:t>Intrarea în vigoare a regimului simplificat de instalare a echipamentelor sociale</w:t>
            </w:r>
          </w:p>
        </w:tc>
      </w:tr>
      <w:tr w:rsidR="00A15990" w14:paraId="4430CD28" w14:textId="77777777">
        <w:trPr>
          <w:trHeight w:val="440"/>
        </w:trPr>
        <w:tc>
          <w:tcPr>
            <w:tcW w:w="1200" w:type="dxa"/>
            <w:shd w:val="clear" w:color="auto" w:fill="C4EFCE"/>
            <w:vAlign w:val="center"/>
            <w:hideMark/>
          </w:tcPr>
          <w:p w14:paraId="23A0F1E2" w14:textId="77777777" w:rsidR="00A15990" w:rsidRDefault="00686A62">
            <w:pPr>
              <w:pStyle w:val="P68B1DB1-Normal23"/>
              <w:spacing w:after="0"/>
              <w:jc w:val="center"/>
              <w:rPr>
                <w:noProof/>
              </w:rPr>
            </w:pPr>
            <w:r>
              <w:rPr>
                <w:noProof/>
              </w:rPr>
              <w:t>3.23</w:t>
            </w:r>
          </w:p>
        </w:tc>
        <w:tc>
          <w:tcPr>
            <w:tcW w:w="1760" w:type="dxa"/>
            <w:shd w:val="clear" w:color="auto" w:fill="C4EFCE"/>
            <w:vAlign w:val="center"/>
            <w:hideMark/>
          </w:tcPr>
          <w:p w14:paraId="706C3979" w14:textId="77777777" w:rsidR="00A15990" w:rsidRDefault="00686A62">
            <w:pPr>
              <w:pStyle w:val="P68B1DB1-Normal23"/>
              <w:spacing w:after="0"/>
              <w:jc w:val="center"/>
              <w:rPr>
                <w:noProof/>
              </w:rPr>
            </w:pPr>
            <w:r>
              <w:rPr>
                <w:noProof/>
              </w:rPr>
              <w:t xml:space="preserve">RE-C03-r07 </w:t>
            </w:r>
          </w:p>
        </w:tc>
        <w:tc>
          <w:tcPr>
            <w:tcW w:w="1520" w:type="dxa"/>
            <w:shd w:val="clear" w:color="auto" w:fill="C4EFCE"/>
            <w:vAlign w:val="center"/>
            <w:hideMark/>
          </w:tcPr>
          <w:p w14:paraId="02E5D703"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467651E6" w14:textId="77777777" w:rsidR="00A15990" w:rsidRDefault="00686A62">
            <w:pPr>
              <w:pStyle w:val="P68B1DB1-Normal23"/>
              <w:spacing w:after="0"/>
              <w:jc w:val="both"/>
              <w:rPr>
                <w:rFonts w:eastAsia="Calibri" w:cs="Calibri"/>
                <w:noProof/>
              </w:rPr>
            </w:pPr>
            <w:r>
              <w:rPr>
                <w:noProof/>
              </w:rPr>
              <w:t>Aprobarea planurilor de acțiune pentru comunitățile defavorizate din zonele metropolitane Lisabona și Porto</w:t>
            </w:r>
          </w:p>
        </w:tc>
      </w:tr>
      <w:tr w:rsidR="00A15990" w14:paraId="0188275D" w14:textId="77777777">
        <w:trPr>
          <w:trHeight w:val="440"/>
        </w:trPr>
        <w:tc>
          <w:tcPr>
            <w:tcW w:w="1200" w:type="dxa"/>
            <w:shd w:val="clear" w:color="auto" w:fill="C4EFCE"/>
            <w:vAlign w:val="center"/>
            <w:hideMark/>
          </w:tcPr>
          <w:p w14:paraId="1F3B57E4" w14:textId="77777777" w:rsidR="00A15990" w:rsidRDefault="00686A62">
            <w:pPr>
              <w:pStyle w:val="P68B1DB1-Normal23"/>
              <w:spacing w:after="0"/>
              <w:jc w:val="center"/>
              <w:rPr>
                <w:noProof/>
              </w:rPr>
            </w:pPr>
            <w:r>
              <w:rPr>
                <w:noProof/>
              </w:rPr>
              <w:t>5.1</w:t>
            </w:r>
          </w:p>
        </w:tc>
        <w:tc>
          <w:tcPr>
            <w:tcW w:w="1760" w:type="dxa"/>
            <w:shd w:val="clear" w:color="auto" w:fill="C4EFCE"/>
            <w:vAlign w:val="center"/>
            <w:hideMark/>
          </w:tcPr>
          <w:p w14:paraId="42A78FEF" w14:textId="77777777" w:rsidR="00A15990" w:rsidRDefault="00686A62">
            <w:pPr>
              <w:pStyle w:val="P68B1DB1-Normal23"/>
              <w:spacing w:after="0"/>
              <w:jc w:val="center"/>
              <w:rPr>
                <w:noProof/>
              </w:rPr>
            </w:pPr>
            <w:r>
              <w:rPr>
                <w:noProof/>
              </w:rPr>
              <w:t xml:space="preserve">RE-C05-r09 </w:t>
            </w:r>
          </w:p>
        </w:tc>
        <w:tc>
          <w:tcPr>
            <w:tcW w:w="1520" w:type="dxa"/>
            <w:shd w:val="clear" w:color="auto" w:fill="C4EFCE"/>
            <w:vAlign w:val="center"/>
            <w:hideMark/>
          </w:tcPr>
          <w:p w14:paraId="31498FF4"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6E244C18" w14:textId="77777777" w:rsidR="00A15990" w:rsidRDefault="00686A62">
            <w:pPr>
              <w:pStyle w:val="P68B1DB1-Normal23"/>
              <w:spacing w:after="0"/>
              <w:jc w:val="both"/>
              <w:rPr>
                <w:rFonts w:eastAsia="Calibri" w:cs="Calibri"/>
                <w:noProof/>
              </w:rPr>
            </w:pPr>
            <w:r>
              <w:rPr>
                <w:noProof/>
              </w:rPr>
              <w:t>Actualizarea orientărilor privind strategia de inovare tehnologică și de afaceri pentru Portugalia 2030</w:t>
            </w:r>
          </w:p>
        </w:tc>
      </w:tr>
      <w:tr w:rsidR="00A15990" w14:paraId="78C3ED81" w14:textId="77777777">
        <w:trPr>
          <w:trHeight w:val="440"/>
        </w:trPr>
        <w:tc>
          <w:tcPr>
            <w:tcW w:w="1200" w:type="dxa"/>
            <w:shd w:val="clear" w:color="auto" w:fill="C4EFCE"/>
            <w:vAlign w:val="center"/>
            <w:hideMark/>
          </w:tcPr>
          <w:p w14:paraId="5F5ACAF6" w14:textId="77777777" w:rsidR="00A15990" w:rsidRDefault="00686A62">
            <w:pPr>
              <w:pStyle w:val="P68B1DB1-Normal23"/>
              <w:spacing w:after="0"/>
              <w:jc w:val="center"/>
              <w:rPr>
                <w:noProof/>
              </w:rPr>
            </w:pPr>
            <w:r>
              <w:rPr>
                <w:noProof/>
              </w:rPr>
              <w:t>5.11</w:t>
            </w:r>
          </w:p>
        </w:tc>
        <w:tc>
          <w:tcPr>
            <w:tcW w:w="1760" w:type="dxa"/>
            <w:shd w:val="clear" w:color="auto" w:fill="C4EFCE"/>
            <w:vAlign w:val="center"/>
            <w:hideMark/>
          </w:tcPr>
          <w:p w14:paraId="392937B4" w14:textId="77777777" w:rsidR="00A15990" w:rsidRDefault="00686A62">
            <w:pPr>
              <w:pStyle w:val="P68B1DB1-Normal23"/>
              <w:spacing w:after="0"/>
              <w:jc w:val="center"/>
              <w:rPr>
                <w:noProof/>
              </w:rPr>
            </w:pPr>
            <w:r>
              <w:rPr>
                <w:noProof/>
              </w:rPr>
              <w:t xml:space="preserve">RE-C05-i03 </w:t>
            </w:r>
          </w:p>
        </w:tc>
        <w:tc>
          <w:tcPr>
            <w:tcW w:w="1520" w:type="dxa"/>
            <w:shd w:val="clear" w:color="auto" w:fill="C4EFCE"/>
            <w:vAlign w:val="center"/>
            <w:hideMark/>
          </w:tcPr>
          <w:p w14:paraId="7D4ACEC0"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39EA9E33" w14:textId="77777777" w:rsidR="00A15990" w:rsidRDefault="00686A62">
            <w:pPr>
              <w:pStyle w:val="P68B1DB1-Normal23"/>
              <w:spacing w:after="0"/>
              <w:jc w:val="both"/>
              <w:rPr>
                <w:rFonts w:eastAsia="Calibri" w:cs="Calibri"/>
                <w:noProof/>
              </w:rPr>
            </w:pPr>
            <w:r>
              <w:rPr>
                <w:noProof/>
              </w:rPr>
              <w:t>Procedura de licitație pentru proiecte de cercetare și inovare</w:t>
            </w:r>
          </w:p>
        </w:tc>
      </w:tr>
      <w:tr w:rsidR="00A15990" w14:paraId="1D0B4AB1" w14:textId="77777777">
        <w:trPr>
          <w:trHeight w:val="440"/>
        </w:trPr>
        <w:tc>
          <w:tcPr>
            <w:tcW w:w="1200" w:type="dxa"/>
            <w:shd w:val="clear" w:color="auto" w:fill="C4EFCE"/>
            <w:vAlign w:val="center"/>
            <w:hideMark/>
          </w:tcPr>
          <w:p w14:paraId="0F7B6C0C" w14:textId="77777777" w:rsidR="00A15990" w:rsidRDefault="00686A62">
            <w:pPr>
              <w:pStyle w:val="P68B1DB1-Normal23"/>
              <w:spacing w:after="0"/>
              <w:jc w:val="center"/>
              <w:rPr>
                <w:noProof/>
              </w:rPr>
            </w:pPr>
            <w:r>
              <w:rPr>
                <w:noProof/>
              </w:rPr>
              <w:t>5.15</w:t>
            </w:r>
          </w:p>
        </w:tc>
        <w:tc>
          <w:tcPr>
            <w:tcW w:w="1760" w:type="dxa"/>
            <w:shd w:val="clear" w:color="auto" w:fill="C4EFCE"/>
            <w:vAlign w:val="center"/>
            <w:hideMark/>
          </w:tcPr>
          <w:p w14:paraId="0CECB758" w14:textId="77777777" w:rsidR="00A15990" w:rsidRDefault="00686A62">
            <w:pPr>
              <w:pStyle w:val="P68B1DB1-Normal23"/>
              <w:spacing w:after="0"/>
              <w:jc w:val="center"/>
              <w:rPr>
                <w:noProof/>
              </w:rPr>
            </w:pPr>
            <w:r>
              <w:rPr>
                <w:noProof/>
              </w:rPr>
              <w:t xml:space="preserve">RE-C05-i04-RAA </w:t>
            </w:r>
          </w:p>
        </w:tc>
        <w:tc>
          <w:tcPr>
            <w:tcW w:w="1520" w:type="dxa"/>
            <w:shd w:val="clear" w:color="auto" w:fill="C4EFCE"/>
            <w:vAlign w:val="center"/>
            <w:hideMark/>
          </w:tcPr>
          <w:p w14:paraId="70425A2C"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3C8A3475" w14:textId="77777777" w:rsidR="00A15990" w:rsidRDefault="00686A62">
            <w:pPr>
              <w:pStyle w:val="P68B1DB1-Normal23"/>
              <w:spacing w:after="0"/>
              <w:jc w:val="both"/>
              <w:rPr>
                <w:rFonts w:eastAsia="Calibri" w:cs="Calibri"/>
                <w:noProof/>
              </w:rPr>
            </w:pPr>
            <w:r>
              <w:rPr>
                <w:noProof/>
              </w:rPr>
              <w:t>Adoptarea unui regulament privind Instrumentul de recapitalizare a întreprinderilor din Azore</w:t>
            </w:r>
          </w:p>
        </w:tc>
      </w:tr>
      <w:tr w:rsidR="00A15990" w14:paraId="176FDD0D" w14:textId="77777777">
        <w:trPr>
          <w:trHeight w:val="440"/>
        </w:trPr>
        <w:tc>
          <w:tcPr>
            <w:tcW w:w="1200" w:type="dxa"/>
            <w:shd w:val="clear" w:color="auto" w:fill="C4EFCE"/>
            <w:vAlign w:val="center"/>
            <w:hideMark/>
          </w:tcPr>
          <w:p w14:paraId="553D2824" w14:textId="77777777" w:rsidR="00A15990" w:rsidRDefault="00686A62">
            <w:pPr>
              <w:pStyle w:val="P68B1DB1-Normal23"/>
              <w:spacing w:after="0"/>
              <w:jc w:val="center"/>
              <w:rPr>
                <w:noProof/>
              </w:rPr>
            </w:pPr>
            <w:r>
              <w:rPr>
                <w:noProof/>
              </w:rPr>
              <w:t>5.16</w:t>
            </w:r>
          </w:p>
        </w:tc>
        <w:tc>
          <w:tcPr>
            <w:tcW w:w="1760" w:type="dxa"/>
            <w:shd w:val="clear" w:color="auto" w:fill="C4EFCE"/>
            <w:vAlign w:val="center"/>
            <w:hideMark/>
          </w:tcPr>
          <w:p w14:paraId="2639BDA1" w14:textId="77777777" w:rsidR="00A15990" w:rsidRDefault="00686A62">
            <w:pPr>
              <w:pStyle w:val="P68B1DB1-Normal23"/>
              <w:spacing w:after="0"/>
              <w:jc w:val="center"/>
              <w:rPr>
                <w:noProof/>
              </w:rPr>
            </w:pPr>
            <w:r>
              <w:rPr>
                <w:noProof/>
              </w:rPr>
              <w:t xml:space="preserve">RE-C05-i04-RAA </w:t>
            </w:r>
          </w:p>
        </w:tc>
        <w:tc>
          <w:tcPr>
            <w:tcW w:w="1520" w:type="dxa"/>
            <w:shd w:val="clear" w:color="auto" w:fill="C4EFCE"/>
            <w:vAlign w:val="center"/>
            <w:hideMark/>
          </w:tcPr>
          <w:p w14:paraId="102C8715"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1746EFF2" w14:textId="77777777" w:rsidR="00A15990" w:rsidRDefault="00686A62">
            <w:pPr>
              <w:pStyle w:val="P68B1DB1-Normal23"/>
              <w:spacing w:after="0"/>
              <w:jc w:val="both"/>
              <w:rPr>
                <w:rFonts w:eastAsia="Calibri" w:cs="Calibri"/>
                <w:noProof/>
              </w:rPr>
            </w:pPr>
            <w:r>
              <w:rPr>
                <w:noProof/>
              </w:rPr>
              <w:t>Adoptarea politicii de investiții pentru Instrumentul de recapitalizare a întreprinderilor din Azore</w:t>
            </w:r>
          </w:p>
        </w:tc>
      </w:tr>
      <w:tr w:rsidR="00A15990" w14:paraId="07EDB729" w14:textId="77777777">
        <w:trPr>
          <w:trHeight w:val="440"/>
        </w:trPr>
        <w:tc>
          <w:tcPr>
            <w:tcW w:w="1200" w:type="dxa"/>
            <w:shd w:val="clear" w:color="auto" w:fill="C4EFCE"/>
            <w:vAlign w:val="center"/>
            <w:hideMark/>
          </w:tcPr>
          <w:p w14:paraId="397FEFCC" w14:textId="77777777" w:rsidR="00A15990" w:rsidRDefault="00686A62">
            <w:pPr>
              <w:pStyle w:val="P68B1DB1-Normal23"/>
              <w:spacing w:after="0"/>
              <w:jc w:val="center"/>
              <w:rPr>
                <w:noProof/>
              </w:rPr>
            </w:pPr>
            <w:r>
              <w:rPr>
                <w:noProof/>
              </w:rPr>
              <w:t>5.2</w:t>
            </w:r>
          </w:p>
        </w:tc>
        <w:tc>
          <w:tcPr>
            <w:tcW w:w="1760" w:type="dxa"/>
            <w:shd w:val="clear" w:color="auto" w:fill="C4EFCE"/>
            <w:vAlign w:val="center"/>
            <w:hideMark/>
          </w:tcPr>
          <w:p w14:paraId="7C1F4829" w14:textId="77777777" w:rsidR="00A15990" w:rsidRDefault="00686A62">
            <w:pPr>
              <w:pStyle w:val="P68B1DB1-Normal23"/>
              <w:spacing w:after="0"/>
              <w:jc w:val="center"/>
              <w:rPr>
                <w:noProof/>
              </w:rPr>
            </w:pPr>
            <w:r>
              <w:rPr>
                <w:noProof/>
              </w:rPr>
              <w:t xml:space="preserve">RE-C05-r11 </w:t>
            </w:r>
          </w:p>
        </w:tc>
        <w:tc>
          <w:tcPr>
            <w:tcW w:w="1520" w:type="dxa"/>
            <w:shd w:val="clear" w:color="auto" w:fill="C4EFCE"/>
            <w:vAlign w:val="center"/>
            <w:hideMark/>
          </w:tcPr>
          <w:p w14:paraId="5720520B" w14:textId="77777777" w:rsidR="00A15990" w:rsidRDefault="00686A62">
            <w:pPr>
              <w:pStyle w:val="P68B1DB1-Normal23"/>
              <w:spacing w:after="0"/>
              <w:jc w:val="center"/>
              <w:rPr>
                <w:noProof/>
              </w:rPr>
            </w:pPr>
            <w:r>
              <w:rPr>
                <w:noProof/>
              </w:rPr>
              <w:t>T</w:t>
            </w:r>
          </w:p>
        </w:tc>
        <w:tc>
          <w:tcPr>
            <w:tcW w:w="5060" w:type="dxa"/>
            <w:shd w:val="clear" w:color="auto" w:fill="C4EFCE"/>
            <w:vAlign w:val="center"/>
            <w:hideMark/>
          </w:tcPr>
          <w:p w14:paraId="0DF8414C" w14:textId="77777777" w:rsidR="00A15990" w:rsidRDefault="00686A62">
            <w:pPr>
              <w:pStyle w:val="P68B1DB1-Normal23"/>
              <w:spacing w:after="0"/>
              <w:jc w:val="both"/>
              <w:rPr>
                <w:rFonts w:eastAsia="Calibri" w:cs="Calibri"/>
                <w:noProof/>
              </w:rPr>
            </w:pPr>
            <w:r>
              <w:rPr>
                <w:noProof/>
              </w:rPr>
              <w:t>Extinderea rețelei laboratoarelor de colaborare recunoscute</w:t>
            </w:r>
          </w:p>
        </w:tc>
      </w:tr>
      <w:tr w:rsidR="00A15990" w14:paraId="5A009809" w14:textId="77777777">
        <w:trPr>
          <w:trHeight w:val="440"/>
        </w:trPr>
        <w:tc>
          <w:tcPr>
            <w:tcW w:w="1200" w:type="dxa"/>
            <w:shd w:val="clear" w:color="auto" w:fill="C4EFCE"/>
            <w:vAlign w:val="center"/>
            <w:hideMark/>
          </w:tcPr>
          <w:p w14:paraId="45985C5D" w14:textId="77777777" w:rsidR="00A15990" w:rsidRDefault="00686A62">
            <w:pPr>
              <w:pStyle w:val="P68B1DB1-Normal23"/>
              <w:spacing w:after="0"/>
              <w:jc w:val="center"/>
              <w:rPr>
                <w:noProof/>
              </w:rPr>
            </w:pPr>
            <w:r>
              <w:rPr>
                <w:noProof/>
              </w:rPr>
              <w:t>5.3</w:t>
            </w:r>
          </w:p>
        </w:tc>
        <w:tc>
          <w:tcPr>
            <w:tcW w:w="1760" w:type="dxa"/>
            <w:shd w:val="clear" w:color="auto" w:fill="C4EFCE"/>
            <w:vAlign w:val="center"/>
            <w:hideMark/>
          </w:tcPr>
          <w:p w14:paraId="011C25AB" w14:textId="77777777" w:rsidR="00A15990" w:rsidRDefault="00686A62">
            <w:pPr>
              <w:pStyle w:val="P68B1DB1-Normal23"/>
              <w:spacing w:after="0"/>
              <w:jc w:val="center"/>
              <w:rPr>
                <w:noProof/>
              </w:rPr>
            </w:pPr>
            <w:r>
              <w:rPr>
                <w:noProof/>
              </w:rPr>
              <w:t xml:space="preserve">RE-C05-r11 </w:t>
            </w:r>
          </w:p>
        </w:tc>
        <w:tc>
          <w:tcPr>
            <w:tcW w:w="1520" w:type="dxa"/>
            <w:shd w:val="clear" w:color="auto" w:fill="C4EFCE"/>
            <w:vAlign w:val="center"/>
            <w:hideMark/>
          </w:tcPr>
          <w:p w14:paraId="2FDDC858"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6A5BACC9" w14:textId="77777777" w:rsidR="00A15990" w:rsidRDefault="00686A62">
            <w:pPr>
              <w:pStyle w:val="P68B1DB1-Normal23"/>
              <w:spacing w:after="0"/>
              <w:jc w:val="both"/>
              <w:rPr>
                <w:rFonts w:eastAsia="Calibri" w:cs="Calibri"/>
                <w:noProof/>
              </w:rPr>
            </w:pPr>
            <w:r>
              <w:rPr>
                <w:noProof/>
              </w:rPr>
              <w:t>Intrarea în vigoare a noului regim juridic pentru centrele tehnologice și de inovare</w:t>
            </w:r>
          </w:p>
        </w:tc>
      </w:tr>
      <w:tr w:rsidR="00A15990" w14:paraId="19FDD4F0" w14:textId="77777777">
        <w:trPr>
          <w:trHeight w:val="440"/>
        </w:trPr>
        <w:tc>
          <w:tcPr>
            <w:tcW w:w="1200" w:type="dxa"/>
            <w:shd w:val="clear" w:color="auto" w:fill="C4EFCE"/>
            <w:vAlign w:val="center"/>
            <w:hideMark/>
          </w:tcPr>
          <w:p w14:paraId="63D580E9" w14:textId="77777777" w:rsidR="00A15990" w:rsidRDefault="00686A62">
            <w:pPr>
              <w:pStyle w:val="P68B1DB1-Normal23"/>
              <w:spacing w:after="0"/>
              <w:jc w:val="center"/>
              <w:rPr>
                <w:noProof/>
              </w:rPr>
            </w:pPr>
            <w:r>
              <w:rPr>
                <w:noProof/>
              </w:rPr>
              <w:t>5.4</w:t>
            </w:r>
          </w:p>
        </w:tc>
        <w:tc>
          <w:tcPr>
            <w:tcW w:w="1760" w:type="dxa"/>
            <w:shd w:val="clear" w:color="auto" w:fill="C4EFCE"/>
            <w:vAlign w:val="center"/>
            <w:hideMark/>
          </w:tcPr>
          <w:p w14:paraId="10BF5D37" w14:textId="77777777" w:rsidR="00A15990" w:rsidRDefault="00686A62">
            <w:pPr>
              <w:pStyle w:val="P68B1DB1-Normal23"/>
              <w:spacing w:after="0"/>
              <w:jc w:val="center"/>
              <w:rPr>
                <w:noProof/>
              </w:rPr>
            </w:pPr>
            <w:r>
              <w:rPr>
                <w:noProof/>
              </w:rPr>
              <w:t xml:space="preserve">RE-C05-r12 </w:t>
            </w:r>
          </w:p>
        </w:tc>
        <w:tc>
          <w:tcPr>
            <w:tcW w:w="1520" w:type="dxa"/>
            <w:shd w:val="clear" w:color="auto" w:fill="C4EFCE"/>
            <w:vAlign w:val="center"/>
            <w:hideMark/>
          </w:tcPr>
          <w:p w14:paraId="1867B00B"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5CD95E27" w14:textId="77777777" w:rsidR="00A15990" w:rsidRDefault="00686A62">
            <w:pPr>
              <w:pStyle w:val="P68B1DB1-Normal23"/>
              <w:spacing w:after="0"/>
              <w:jc w:val="both"/>
              <w:rPr>
                <w:rFonts w:eastAsia="Calibri" w:cs="Calibri"/>
                <w:noProof/>
              </w:rPr>
            </w:pPr>
            <w:r>
              <w:rPr>
                <w:noProof/>
              </w:rPr>
              <w:t>Aprobarea Agendei de inovare pentru agricultură</w:t>
            </w:r>
          </w:p>
        </w:tc>
      </w:tr>
      <w:tr w:rsidR="00A15990" w14:paraId="12F9AFB2" w14:textId="77777777">
        <w:trPr>
          <w:trHeight w:val="440"/>
        </w:trPr>
        <w:tc>
          <w:tcPr>
            <w:tcW w:w="1200" w:type="dxa"/>
            <w:shd w:val="clear" w:color="auto" w:fill="C4EFCE"/>
            <w:vAlign w:val="center"/>
            <w:hideMark/>
          </w:tcPr>
          <w:p w14:paraId="39DEBBB4" w14:textId="77777777" w:rsidR="00A15990" w:rsidRDefault="00686A62">
            <w:pPr>
              <w:pStyle w:val="P68B1DB1-Normal23"/>
              <w:spacing w:after="0"/>
              <w:jc w:val="center"/>
              <w:rPr>
                <w:noProof/>
              </w:rPr>
            </w:pPr>
            <w:r>
              <w:rPr>
                <w:noProof/>
              </w:rPr>
              <w:t>6.13</w:t>
            </w:r>
          </w:p>
        </w:tc>
        <w:tc>
          <w:tcPr>
            <w:tcW w:w="1760" w:type="dxa"/>
            <w:shd w:val="clear" w:color="auto" w:fill="C4EFCE"/>
            <w:vAlign w:val="center"/>
            <w:hideMark/>
          </w:tcPr>
          <w:p w14:paraId="30D3AAEE" w14:textId="77777777" w:rsidR="00A15990" w:rsidRDefault="00686A62">
            <w:pPr>
              <w:pStyle w:val="P68B1DB1-Normal23"/>
              <w:spacing w:after="0"/>
              <w:jc w:val="center"/>
              <w:rPr>
                <w:noProof/>
              </w:rPr>
            </w:pPr>
            <w:r>
              <w:rPr>
                <w:noProof/>
              </w:rPr>
              <w:t xml:space="preserve">RE-C06-r15 </w:t>
            </w:r>
          </w:p>
        </w:tc>
        <w:tc>
          <w:tcPr>
            <w:tcW w:w="1520" w:type="dxa"/>
            <w:shd w:val="clear" w:color="auto" w:fill="C4EFCE"/>
            <w:vAlign w:val="center"/>
            <w:hideMark/>
          </w:tcPr>
          <w:p w14:paraId="43512B53"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1BF7F834" w14:textId="77777777" w:rsidR="00A15990" w:rsidRDefault="00686A62">
            <w:pPr>
              <w:pStyle w:val="P68B1DB1-Normal23"/>
              <w:spacing w:after="0"/>
              <w:jc w:val="both"/>
              <w:rPr>
                <w:rFonts w:eastAsia="Calibri" w:cs="Calibri"/>
                <w:noProof/>
              </w:rPr>
            </w:pPr>
            <w:r>
              <w:rPr>
                <w:noProof/>
              </w:rPr>
              <w:t>Intrarea în vigoare a legii care instituie concursuri speciale de admitere în învățământul superior</w:t>
            </w:r>
          </w:p>
        </w:tc>
      </w:tr>
      <w:tr w:rsidR="00A15990" w14:paraId="61C18867" w14:textId="77777777">
        <w:trPr>
          <w:trHeight w:val="440"/>
        </w:trPr>
        <w:tc>
          <w:tcPr>
            <w:tcW w:w="1200" w:type="dxa"/>
            <w:shd w:val="clear" w:color="auto" w:fill="C4EFCE"/>
            <w:vAlign w:val="center"/>
            <w:hideMark/>
          </w:tcPr>
          <w:p w14:paraId="0FD5FA1D" w14:textId="77777777" w:rsidR="00A15990" w:rsidRDefault="00686A62">
            <w:pPr>
              <w:pStyle w:val="P68B1DB1-Normal23"/>
              <w:spacing w:after="0"/>
              <w:jc w:val="center"/>
              <w:rPr>
                <w:noProof/>
              </w:rPr>
            </w:pPr>
            <w:r>
              <w:rPr>
                <w:noProof/>
              </w:rPr>
              <w:t>6.14</w:t>
            </w:r>
          </w:p>
        </w:tc>
        <w:tc>
          <w:tcPr>
            <w:tcW w:w="1760" w:type="dxa"/>
            <w:shd w:val="clear" w:color="auto" w:fill="C4EFCE"/>
            <w:vAlign w:val="center"/>
            <w:hideMark/>
          </w:tcPr>
          <w:p w14:paraId="1EE8D1BA" w14:textId="77777777" w:rsidR="00A15990" w:rsidRDefault="00686A62">
            <w:pPr>
              <w:pStyle w:val="P68B1DB1-Normal23"/>
              <w:spacing w:after="0"/>
              <w:jc w:val="center"/>
              <w:rPr>
                <w:noProof/>
              </w:rPr>
            </w:pPr>
            <w:r>
              <w:rPr>
                <w:noProof/>
              </w:rPr>
              <w:t xml:space="preserve">RE-C06-r15 </w:t>
            </w:r>
          </w:p>
        </w:tc>
        <w:tc>
          <w:tcPr>
            <w:tcW w:w="1520" w:type="dxa"/>
            <w:shd w:val="clear" w:color="auto" w:fill="C4EFCE"/>
            <w:vAlign w:val="center"/>
            <w:hideMark/>
          </w:tcPr>
          <w:p w14:paraId="64C27FF8"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14B43E2A" w14:textId="77777777" w:rsidR="00A15990" w:rsidRDefault="00686A62">
            <w:pPr>
              <w:pStyle w:val="P68B1DB1-Normal23"/>
              <w:spacing w:after="0"/>
              <w:jc w:val="both"/>
              <w:rPr>
                <w:rFonts w:eastAsia="Calibri" w:cs="Calibri"/>
                <w:noProof/>
              </w:rPr>
            </w:pPr>
            <w:r>
              <w:rPr>
                <w:noProof/>
              </w:rPr>
              <w:t>Intrarea în vigoare a noului cadru juridic care reglementează cooperarea instituțiilor de învățământ superior cu administrația publică și cu întreprinderile</w:t>
            </w:r>
          </w:p>
        </w:tc>
      </w:tr>
      <w:tr w:rsidR="00A15990" w14:paraId="4A58B578" w14:textId="77777777">
        <w:trPr>
          <w:trHeight w:val="440"/>
        </w:trPr>
        <w:tc>
          <w:tcPr>
            <w:tcW w:w="1200" w:type="dxa"/>
            <w:shd w:val="clear" w:color="auto" w:fill="C4EFCE"/>
            <w:vAlign w:val="center"/>
            <w:hideMark/>
          </w:tcPr>
          <w:p w14:paraId="589ACBA1" w14:textId="77777777" w:rsidR="00A15990" w:rsidRDefault="00686A62">
            <w:pPr>
              <w:pStyle w:val="P68B1DB1-Normal23"/>
              <w:spacing w:after="0"/>
              <w:jc w:val="center"/>
              <w:rPr>
                <w:noProof/>
              </w:rPr>
            </w:pPr>
            <w:r>
              <w:rPr>
                <w:noProof/>
              </w:rPr>
              <w:t>7.13</w:t>
            </w:r>
          </w:p>
        </w:tc>
        <w:tc>
          <w:tcPr>
            <w:tcW w:w="1760" w:type="dxa"/>
            <w:shd w:val="clear" w:color="auto" w:fill="C4EFCE"/>
            <w:vAlign w:val="center"/>
            <w:hideMark/>
          </w:tcPr>
          <w:p w14:paraId="4582D520" w14:textId="77777777" w:rsidR="00A15990" w:rsidRDefault="00686A62">
            <w:pPr>
              <w:pStyle w:val="P68B1DB1-Normal23"/>
              <w:spacing w:after="0"/>
              <w:jc w:val="center"/>
              <w:rPr>
                <w:noProof/>
              </w:rPr>
            </w:pPr>
            <w:r>
              <w:rPr>
                <w:noProof/>
              </w:rPr>
              <w:t xml:space="preserve">RE-C07-i05-RAA </w:t>
            </w:r>
          </w:p>
        </w:tc>
        <w:tc>
          <w:tcPr>
            <w:tcW w:w="1520" w:type="dxa"/>
            <w:shd w:val="clear" w:color="auto" w:fill="C4EFCE"/>
            <w:vAlign w:val="center"/>
            <w:hideMark/>
          </w:tcPr>
          <w:p w14:paraId="47370D35"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26028944" w14:textId="77777777" w:rsidR="00A15990" w:rsidRDefault="00686A62">
            <w:pPr>
              <w:pStyle w:val="P68B1DB1-Normal23"/>
              <w:spacing w:after="0"/>
              <w:jc w:val="both"/>
              <w:rPr>
                <w:rFonts w:eastAsia="Calibri" w:cs="Calibri"/>
                <w:noProof/>
              </w:rPr>
            </w:pPr>
            <w:r>
              <w:rPr>
                <w:noProof/>
              </w:rPr>
              <w:t>Contract semnat pentru 2 proiecte rutiere</w:t>
            </w:r>
          </w:p>
        </w:tc>
      </w:tr>
      <w:tr w:rsidR="00A15990" w14:paraId="5A75393F" w14:textId="77777777">
        <w:trPr>
          <w:trHeight w:val="440"/>
        </w:trPr>
        <w:tc>
          <w:tcPr>
            <w:tcW w:w="1200" w:type="dxa"/>
            <w:shd w:val="clear" w:color="auto" w:fill="C4EFCE"/>
            <w:vAlign w:val="center"/>
            <w:hideMark/>
          </w:tcPr>
          <w:p w14:paraId="4836862C" w14:textId="77777777" w:rsidR="00A15990" w:rsidRDefault="00686A62">
            <w:pPr>
              <w:pStyle w:val="P68B1DB1-Normal23"/>
              <w:spacing w:after="0"/>
              <w:jc w:val="center"/>
              <w:rPr>
                <w:noProof/>
              </w:rPr>
            </w:pPr>
            <w:r>
              <w:rPr>
                <w:noProof/>
              </w:rPr>
              <w:t>7.4</w:t>
            </w:r>
          </w:p>
        </w:tc>
        <w:tc>
          <w:tcPr>
            <w:tcW w:w="1760" w:type="dxa"/>
            <w:shd w:val="clear" w:color="auto" w:fill="C4EFCE"/>
            <w:vAlign w:val="center"/>
            <w:hideMark/>
          </w:tcPr>
          <w:p w14:paraId="6EC62E0F" w14:textId="77777777" w:rsidR="00A15990" w:rsidRDefault="00686A62">
            <w:pPr>
              <w:pStyle w:val="P68B1DB1-Normal23"/>
              <w:spacing w:after="0"/>
              <w:jc w:val="center"/>
              <w:rPr>
                <w:noProof/>
              </w:rPr>
            </w:pPr>
            <w:r>
              <w:rPr>
                <w:noProof/>
              </w:rPr>
              <w:t xml:space="preserve">RE-C07-i01 </w:t>
            </w:r>
          </w:p>
        </w:tc>
        <w:tc>
          <w:tcPr>
            <w:tcW w:w="1520" w:type="dxa"/>
            <w:shd w:val="clear" w:color="auto" w:fill="C4EFCE"/>
            <w:vAlign w:val="center"/>
            <w:hideMark/>
          </w:tcPr>
          <w:p w14:paraId="43E1DAC1"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4A91E7C4" w14:textId="77777777" w:rsidR="00A15990" w:rsidRDefault="00686A62">
            <w:pPr>
              <w:pStyle w:val="P68B1DB1-Normal23"/>
              <w:spacing w:after="0"/>
              <w:jc w:val="both"/>
              <w:rPr>
                <w:rFonts w:eastAsia="Calibri" w:cs="Calibri"/>
                <w:noProof/>
              </w:rPr>
            </w:pPr>
            <w:r>
              <w:rPr>
                <w:noProof/>
              </w:rPr>
              <w:t>Selectarea zonelor de primire a întreprinderilor pentru intervenții în vederea îmbunătățirii durabilității mediului și a digitalizării</w:t>
            </w:r>
          </w:p>
        </w:tc>
      </w:tr>
      <w:tr w:rsidR="00A15990" w14:paraId="75CC5DDC" w14:textId="77777777">
        <w:trPr>
          <w:trHeight w:val="440"/>
        </w:trPr>
        <w:tc>
          <w:tcPr>
            <w:tcW w:w="1200" w:type="dxa"/>
            <w:shd w:val="clear" w:color="auto" w:fill="C4EFCE"/>
            <w:vAlign w:val="center"/>
            <w:hideMark/>
          </w:tcPr>
          <w:p w14:paraId="5E220711" w14:textId="77777777" w:rsidR="00A15990" w:rsidRDefault="00686A62">
            <w:pPr>
              <w:pStyle w:val="P68B1DB1-Normal23"/>
              <w:spacing w:after="0"/>
              <w:jc w:val="center"/>
              <w:rPr>
                <w:noProof/>
              </w:rPr>
            </w:pPr>
            <w:r>
              <w:rPr>
                <w:noProof/>
              </w:rPr>
              <w:t>7.6</w:t>
            </w:r>
          </w:p>
        </w:tc>
        <w:tc>
          <w:tcPr>
            <w:tcW w:w="1760" w:type="dxa"/>
            <w:shd w:val="clear" w:color="auto" w:fill="C4EFCE"/>
            <w:vAlign w:val="center"/>
            <w:hideMark/>
          </w:tcPr>
          <w:p w14:paraId="5A760791" w14:textId="77777777" w:rsidR="00A15990" w:rsidRDefault="00686A62">
            <w:pPr>
              <w:pStyle w:val="P68B1DB1-Normal23"/>
              <w:spacing w:after="0"/>
              <w:jc w:val="center"/>
              <w:rPr>
                <w:noProof/>
              </w:rPr>
            </w:pPr>
            <w:r>
              <w:rPr>
                <w:noProof/>
              </w:rPr>
              <w:t xml:space="preserve">RE-C07-i02 </w:t>
            </w:r>
          </w:p>
        </w:tc>
        <w:tc>
          <w:tcPr>
            <w:tcW w:w="1520" w:type="dxa"/>
            <w:shd w:val="clear" w:color="auto" w:fill="C4EFCE"/>
            <w:vAlign w:val="center"/>
            <w:hideMark/>
          </w:tcPr>
          <w:p w14:paraId="7D0D3132"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7E253E1A" w14:textId="77777777" w:rsidR="00A15990" w:rsidRDefault="00686A62">
            <w:pPr>
              <w:pStyle w:val="P68B1DB1-Normal23"/>
              <w:spacing w:after="0"/>
              <w:jc w:val="both"/>
              <w:rPr>
                <w:rFonts w:eastAsia="Calibri" w:cs="Calibri"/>
                <w:noProof/>
              </w:rPr>
            </w:pPr>
            <w:r>
              <w:rPr>
                <w:noProof/>
              </w:rPr>
              <w:t>Contract semnat pentru proiectul rutier 1</w:t>
            </w:r>
          </w:p>
        </w:tc>
      </w:tr>
      <w:tr w:rsidR="00A15990" w14:paraId="5BEA9678" w14:textId="77777777">
        <w:trPr>
          <w:trHeight w:val="440"/>
        </w:trPr>
        <w:tc>
          <w:tcPr>
            <w:tcW w:w="1200" w:type="dxa"/>
            <w:shd w:val="clear" w:color="auto" w:fill="C4EFCE"/>
            <w:vAlign w:val="center"/>
            <w:hideMark/>
          </w:tcPr>
          <w:p w14:paraId="3C39A8D9" w14:textId="77777777" w:rsidR="00A15990" w:rsidRDefault="00686A62">
            <w:pPr>
              <w:pStyle w:val="P68B1DB1-Normal23"/>
              <w:spacing w:after="0"/>
              <w:jc w:val="center"/>
              <w:rPr>
                <w:noProof/>
              </w:rPr>
            </w:pPr>
            <w:r>
              <w:rPr>
                <w:noProof/>
              </w:rPr>
              <w:t>8.17</w:t>
            </w:r>
          </w:p>
        </w:tc>
        <w:tc>
          <w:tcPr>
            <w:tcW w:w="1760" w:type="dxa"/>
            <w:shd w:val="clear" w:color="auto" w:fill="C4EFCE"/>
            <w:vAlign w:val="center"/>
            <w:hideMark/>
          </w:tcPr>
          <w:p w14:paraId="0B0F6447" w14:textId="77777777" w:rsidR="00A15990" w:rsidRDefault="00686A62">
            <w:pPr>
              <w:pStyle w:val="P68B1DB1-Normal23"/>
              <w:spacing w:after="0"/>
              <w:jc w:val="center"/>
              <w:rPr>
                <w:noProof/>
              </w:rPr>
            </w:pPr>
            <w:r>
              <w:rPr>
                <w:noProof/>
              </w:rPr>
              <w:t xml:space="preserve">RE-C08-r19 </w:t>
            </w:r>
          </w:p>
        </w:tc>
        <w:tc>
          <w:tcPr>
            <w:tcW w:w="1520" w:type="dxa"/>
            <w:shd w:val="clear" w:color="auto" w:fill="C4EFCE"/>
            <w:vAlign w:val="center"/>
            <w:hideMark/>
          </w:tcPr>
          <w:p w14:paraId="6886AA4B"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113FE96C" w14:textId="77777777" w:rsidR="00A15990" w:rsidRDefault="00686A62">
            <w:pPr>
              <w:pStyle w:val="P68B1DB1-Normal23"/>
              <w:spacing w:after="0"/>
              <w:jc w:val="both"/>
              <w:rPr>
                <w:rFonts w:eastAsia="Calibri" w:cs="Calibri"/>
                <w:noProof/>
              </w:rPr>
            </w:pPr>
            <w:r>
              <w:rPr>
                <w:noProof/>
              </w:rPr>
              <w:t>Cadrul juridic privind deținerea obligatorie a terenurilor rurale în zonele forestiere</w:t>
            </w:r>
          </w:p>
        </w:tc>
      </w:tr>
      <w:tr w:rsidR="00A15990" w14:paraId="5B8ABD10" w14:textId="77777777">
        <w:trPr>
          <w:trHeight w:val="440"/>
        </w:trPr>
        <w:tc>
          <w:tcPr>
            <w:tcW w:w="1200" w:type="dxa"/>
            <w:shd w:val="clear" w:color="auto" w:fill="C4EFCE"/>
            <w:vAlign w:val="center"/>
            <w:hideMark/>
          </w:tcPr>
          <w:p w14:paraId="519B6950" w14:textId="77777777" w:rsidR="00A15990" w:rsidRDefault="00686A62">
            <w:pPr>
              <w:pStyle w:val="P68B1DB1-Normal23"/>
              <w:spacing w:after="0"/>
              <w:jc w:val="center"/>
              <w:rPr>
                <w:noProof/>
              </w:rPr>
            </w:pPr>
            <w:r>
              <w:rPr>
                <w:noProof/>
              </w:rPr>
              <w:t>8.19</w:t>
            </w:r>
          </w:p>
        </w:tc>
        <w:tc>
          <w:tcPr>
            <w:tcW w:w="1760" w:type="dxa"/>
            <w:shd w:val="clear" w:color="auto" w:fill="C4EFCE"/>
            <w:vAlign w:val="center"/>
            <w:hideMark/>
          </w:tcPr>
          <w:p w14:paraId="5223F53B" w14:textId="77777777" w:rsidR="00A15990" w:rsidRDefault="00686A62">
            <w:pPr>
              <w:pStyle w:val="P68B1DB1-Normal23"/>
              <w:spacing w:after="0"/>
              <w:jc w:val="center"/>
              <w:rPr>
                <w:noProof/>
              </w:rPr>
            </w:pPr>
            <w:r>
              <w:rPr>
                <w:noProof/>
              </w:rPr>
              <w:t xml:space="preserve">RE-C08-r21 </w:t>
            </w:r>
          </w:p>
        </w:tc>
        <w:tc>
          <w:tcPr>
            <w:tcW w:w="1520" w:type="dxa"/>
            <w:shd w:val="clear" w:color="auto" w:fill="C4EFCE"/>
            <w:vAlign w:val="center"/>
            <w:hideMark/>
          </w:tcPr>
          <w:p w14:paraId="4883CA1A"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02ED0FFB" w14:textId="77777777" w:rsidR="00A15990" w:rsidRDefault="00686A62">
            <w:pPr>
              <w:pStyle w:val="P68B1DB1-Normal23"/>
              <w:spacing w:after="0"/>
              <w:jc w:val="both"/>
              <w:rPr>
                <w:rFonts w:eastAsia="Calibri" w:cs="Calibri"/>
                <w:noProof/>
              </w:rPr>
            </w:pPr>
            <w:r>
              <w:rPr>
                <w:noProof/>
              </w:rPr>
              <w:t>Legea privind instituirea sistemului integrat de gestionare a incendiilor din mediul rural (SGIFR)</w:t>
            </w:r>
          </w:p>
        </w:tc>
      </w:tr>
      <w:tr w:rsidR="00A15990" w14:paraId="7BBE62F1" w14:textId="77777777">
        <w:trPr>
          <w:trHeight w:val="440"/>
        </w:trPr>
        <w:tc>
          <w:tcPr>
            <w:tcW w:w="1200" w:type="dxa"/>
            <w:shd w:val="clear" w:color="auto" w:fill="C4EFCE"/>
            <w:vAlign w:val="center"/>
            <w:hideMark/>
          </w:tcPr>
          <w:p w14:paraId="74840772" w14:textId="77777777" w:rsidR="00A15990" w:rsidRDefault="00686A62">
            <w:pPr>
              <w:pStyle w:val="P68B1DB1-Normal23"/>
              <w:spacing w:after="0"/>
              <w:jc w:val="center"/>
              <w:rPr>
                <w:noProof/>
              </w:rPr>
            </w:pPr>
            <w:r>
              <w:rPr>
                <w:noProof/>
              </w:rPr>
              <w:t>10.1</w:t>
            </w:r>
          </w:p>
        </w:tc>
        <w:tc>
          <w:tcPr>
            <w:tcW w:w="1760" w:type="dxa"/>
            <w:shd w:val="clear" w:color="auto" w:fill="C4EFCE"/>
            <w:vAlign w:val="center"/>
            <w:hideMark/>
          </w:tcPr>
          <w:p w14:paraId="081EA232" w14:textId="77777777" w:rsidR="00A15990" w:rsidRDefault="00686A62">
            <w:pPr>
              <w:pStyle w:val="P68B1DB1-Normal23"/>
              <w:spacing w:after="0"/>
              <w:jc w:val="center"/>
              <w:rPr>
                <w:noProof/>
              </w:rPr>
            </w:pPr>
            <w:r>
              <w:rPr>
                <w:noProof/>
              </w:rPr>
              <w:t xml:space="preserve">TC-C10-r23 </w:t>
            </w:r>
          </w:p>
        </w:tc>
        <w:tc>
          <w:tcPr>
            <w:tcW w:w="1520" w:type="dxa"/>
            <w:shd w:val="clear" w:color="auto" w:fill="C4EFCE"/>
            <w:vAlign w:val="center"/>
            <w:hideMark/>
          </w:tcPr>
          <w:p w14:paraId="1A40FC5B"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4A1DFEA2" w14:textId="77777777" w:rsidR="00A15990" w:rsidRDefault="00686A62">
            <w:pPr>
              <w:pStyle w:val="P68B1DB1-Normal23"/>
              <w:spacing w:after="0"/>
              <w:jc w:val="both"/>
              <w:rPr>
                <w:rFonts w:eastAsia="Calibri" w:cs="Calibri"/>
                <w:noProof/>
              </w:rPr>
            </w:pPr>
            <w:r>
              <w:rPr>
                <w:noProof/>
              </w:rPr>
              <w:t>Intrarea în vigoare a revizuirii actelor Ministerului Mării referitoare la consolidarea capacității de finanțare a economiei maritime și a inovării prin intermediul Fondului albastru</w:t>
            </w:r>
          </w:p>
        </w:tc>
      </w:tr>
      <w:tr w:rsidR="00A15990" w14:paraId="595FF18B" w14:textId="77777777">
        <w:trPr>
          <w:trHeight w:val="440"/>
        </w:trPr>
        <w:tc>
          <w:tcPr>
            <w:tcW w:w="1200" w:type="dxa"/>
            <w:shd w:val="clear" w:color="auto" w:fill="C4EFCE"/>
            <w:vAlign w:val="center"/>
            <w:hideMark/>
          </w:tcPr>
          <w:p w14:paraId="51E6AC70" w14:textId="77777777" w:rsidR="00A15990" w:rsidRDefault="00686A62">
            <w:pPr>
              <w:pStyle w:val="P68B1DB1-Normal23"/>
              <w:spacing w:after="0"/>
              <w:jc w:val="center"/>
              <w:rPr>
                <w:noProof/>
              </w:rPr>
            </w:pPr>
            <w:r>
              <w:rPr>
                <w:noProof/>
              </w:rPr>
              <w:t>11.1</w:t>
            </w:r>
          </w:p>
        </w:tc>
        <w:tc>
          <w:tcPr>
            <w:tcW w:w="1760" w:type="dxa"/>
            <w:shd w:val="clear" w:color="auto" w:fill="C4EFCE"/>
            <w:vAlign w:val="center"/>
            <w:hideMark/>
          </w:tcPr>
          <w:p w14:paraId="19722C51" w14:textId="77777777" w:rsidR="00A15990" w:rsidRDefault="00686A62">
            <w:pPr>
              <w:pStyle w:val="P68B1DB1-Normal23"/>
              <w:spacing w:after="0"/>
              <w:jc w:val="center"/>
              <w:rPr>
                <w:noProof/>
              </w:rPr>
            </w:pPr>
            <w:r>
              <w:rPr>
                <w:noProof/>
              </w:rPr>
              <w:t xml:space="preserve">TC-C11-I01 </w:t>
            </w:r>
          </w:p>
        </w:tc>
        <w:tc>
          <w:tcPr>
            <w:tcW w:w="1520" w:type="dxa"/>
            <w:shd w:val="clear" w:color="auto" w:fill="C4EFCE"/>
            <w:vAlign w:val="center"/>
            <w:hideMark/>
          </w:tcPr>
          <w:p w14:paraId="4C1ADAEB"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3D4D4BC1" w14:textId="77777777" w:rsidR="00A15990" w:rsidRDefault="00686A62">
            <w:pPr>
              <w:pStyle w:val="P68B1DB1-Normal23"/>
              <w:spacing w:after="0"/>
              <w:jc w:val="both"/>
              <w:rPr>
                <w:rFonts w:eastAsia="Calibri" w:cs="Calibri"/>
                <w:noProof/>
              </w:rPr>
            </w:pPr>
            <w:r>
              <w:rPr>
                <w:noProof/>
              </w:rPr>
              <w:t>Prima cerere de oferte pentru proiecte de decarbonizare industrială</w:t>
            </w:r>
          </w:p>
        </w:tc>
      </w:tr>
      <w:tr w:rsidR="00A15990" w14:paraId="31460A21" w14:textId="77777777">
        <w:trPr>
          <w:trHeight w:val="440"/>
        </w:trPr>
        <w:tc>
          <w:tcPr>
            <w:tcW w:w="1200" w:type="dxa"/>
            <w:shd w:val="clear" w:color="auto" w:fill="C4EFCE"/>
            <w:vAlign w:val="center"/>
            <w:hideMark/>
          </w:tcPr>
          <w:p w14:paraId="50C257CF" w14:textId="77777777" w:rsidR="00A15990" w:rsidRDefault="00686A62">
            <w:pPr>
              <w:pStyle w:val="P68B1DB1-Normal23"/>
              <w:spacing w:after="0"/>
              <w:jc w:val="center"/>
              <w:rPr>
                <w:noProof/>
              </w:rPr>
            </w:pPr>
            <w:r>
              <w:rPr>
                <w:noProof/>
              </w:rPr>
              <w:t>12.1</w:t>
            </w:r>
          </w:p>
        </w:tc>
        <w:tc>
          <w:tcPr>
            <w:tcW w:w="1760" w:type="dxa"/>
            <w:shd w:val="clear" w:color="auto" w:fill="C4EFCE"/>
            <w:vAlign w:val="center"/>
            <w:hideMark/>
          </w:tcPr>
          <w:p w14:paraId="4AAF72C5" w14:textId="77777777" w:rsidR="00A15990" w:rsidRDefault="00686A62">
            <w:pPr>
              <w:pStyle w:val="P68B1DB1-Normal23"/>
              <w:spacing w:after="0"/>
              <w:jc w:val="center"/>
              <w:rPr>
                <w:noProof/>
              </w:rPr>
            </w:pPr>
            <w:r>
              <w:rPr>
                <w:noProof/>
              </w:rPr>
              <w:t xml:space="preserve">TC-C12-I01 </w:t>
            </w:r>
          </w:p>
        </w:tc>
        <w:tc>
          <w:tcPr>
            <w:tcW w:w="1520" w:type="dxa"/>
            <w:shd w:val="clear" w:color="auto" w:fill="C4EFCE"/>
            <w:vAlign w:val="center"/>
            <w:hideMark/>
          </w:tcPr>
          <w:p w14:paraId="47D2CFD9"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7D7CA154" w14:textId="77777777" w:rsidR="00A15990" w:rsidRDefault="00686A62">
            <w:pPr>
              <w:pStyle w:val="P68B1DB1-Normal23"/>
              <w:spacing w:after="0"/>
              <w:jc w:val="both"/>
              <w:rPr>
                <w:rFonts w:eastAsia="Calibri" w:cs="Calibri"/>
                <w:noProof/>
              </w:rPr>
            </w:pPr>
            <w:r>
              <w:rPr>
                <w:noProof/>
              </w:rPr>
              <w:t>Semnarea protocolului din 2021 al programului „Resineiros Vigilantes”</w:t>
            </w:r>
          </w:p>
        </w:tc>
      </w:tr>
      <w:tr w:rsidR="00A15990" w14:paraId="64499990" w14:textId="77777777">
        <w:trPr>
          <w:trHeight w:val="440"/>
        </w:trPr>
        <w:tc>
          <w:tcPr>
            <w:tcW w:w="1200" w:type="dxa"/>
            <w:shd w:val="clear" w:color="auto" w:fill="C4EFCE"/>
            <w:vAlign w:val="center"/>
            <w:hideMark/>
          </w:tcPr>
          <w:p w14:paraId="66FF5C24" w14:textId="77777777" w:rsidR="00A15990" w:rsidRDefault="00686A62">
            <w:pPr>
              <w:pStyle w:val="P68B1DB1-Normal23"/>
              <w:spacing w:after="0"/>
              <w:jc w:val="center"/>
              <w:rPr>
                <w:noProof/>
              </w:rPr>
            </w:pPr>
            <w:r>
              <w:rPr>
                <w:noProof/>
              </w:rPr>
              <w:t>12.5</w:t>
            </w:r>
          </w:p>
        </w:tc>
        <w:tc>
          <w:tcPr>
            <w:tcW w:w="1760" w:type="dxa"/>
            <w:shd w:val="clear" w:color="auto" w:fill="C4EFCE"/>
            <w:vAlign w:val="center"/>
            <w:hideMark/>
          </w:tcPr>
          <w:p w14:paraId="6D7ECE35" w14:textId="77777777" w:rsidR="00A15990" w:rsidRDefault="00686A62">
            <w:pPr>
              <w:pStyle w:val="P68B1DB1-Normal23"/>
              <w:spacing w:after="0"/>
              <w:jc w:val="center"/>
              <w:rPr>
                <w:noProof/>
              </w:rPr>
            </w:pPr>
            <w:r>
              <w:rPr>
                <w:noProof/>
              </w:rPr>
              <w:t xml:space="preserve">TC-C12-r25 </w:t>
            </w:r>
          </w:p>
        </w:tc>
        <w:tc>
          <w:tcPr>
            <w:tcW w:w="1520" w:type="dxa"/>
            <w:shd w:val="clear" w:color="auto" w:fill="C4EFCE"/>
            <w:vAlign w:val="center"/>
            <w:hideMark/>
          </w:tcPr>
          <w:p w14:paraId="34B9AE22"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525A10F6" w14:textId="77777777" w:rsidR="00A15990" w:rsidRDefault="00686A62">
            <w:pPr>
              <w:pStyle w:val="P68B1DB1-Normal23"/>
              <w:spacing w:after="0"/>
              <w:jc w:val="both"/>
              <w:rPr>
                <w:rFonts w:eastAsia="Calibri" w:cs="Calibri"/>
                <w:noProof/>
              </w:rPr>
            </w:pPr>
            <w:r>
              <w:rPr>
                <w:noProof/>
              </w:rPr>
              <w:t>Intrarea în vigoare a noului regim general de gestionare a deșeurilor</w:t>
            </w:r>
          </w:p>
        </w:tc>
      </w:tr>
      <w:tr w:rsidR="00A15990" w14:paraId="3629E8EE" w14:textId="77777777">
        <w:trPr>
          <w:trHeight w:val="440"/>
        </w:trPr>
        <w:tc>
          <w:tcPr>
            <w:tcW w:w="1200" w:type="dxa"/>
            <w:shd w:val="clear" w:color="auto" w:fill="C4EFCE"/>
            <w:vAlign w:val="center"/>
            <w:hideMark/>
          </w:tcPr>
          <w:p w14:paraId="76950E3D" w14:textId="77777777" w:rsidR="00A15990" w:rsidRDefault="00686A62">
            <w:pPr>
              <w:pStyle w:val="P68B1DB1-Normal23"/>
              <w:spacing w:after="0"/>
              <w:jc w:val="center"/>
              <w:rPr>
                <w:noProof/>
              </w:rPr>
            </w:pPr>
            <w:r>
              <w:rPr>
                <w:noProof/>
              </w:rPr>
              <w:t>14.1</w:t>
            </w:r>
          </w:p>
        </w:tc>
        <w:tc>
          <w:tcPr>
            <w:tcW w:w="1760" w:type="dxa"/>
            <w:shd w:val="clear" w:color="auto" w:fill="C4EFCE"/>
            <w:vAlign w:val="center"/>
            <w:hideMark/>
          </w:tcPr>
          <w:p w14:paraId="4F502DB3" w14:textId="77777777" w:rsidR="00A15990" w:rsidRDefault="00686A62">
            <w:pPr>
              <w:pStyle w:val="P68B1DB1-Normal23"/>
              <w:spacing w:after="0"/>
              <w:jc w:val="center"/>
              <w:rPr>
                <w:noProof/>
              </w:rPr>
            </w:pPr>
            <w:r>
              <w:rPr>
                <w:noProof/>
              </w:rPr>
              <w:t xml:space="preserve">TC-C14-r29 </w:t>
            </w:r>
          </w:p>
        </w:tc>
        <w:tc>
          <w:tcPr>
            <w:tcW w:w="1520" w:type="dxa"/>
            <w:shd w:val="clear" w:color="auto" w:fill="C4EFCE"/>
            <w:vAlign w:val="center"/>
            <w:hideMark/>
          </w:tcPr>
          <w:p w14:paraId="51F60976"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66D5E11C" w14:textId="77777777" w:rsidR="00A15990" w:rsidRDefault="00686A62">
            <w:pPr>
              <w:pStyle w:val="P68B1DB1-Normal23"/>
              <w:spacing w:after="0"/>
              <w:jc w:val="both"/>
              <w:rPr>
                <w:rFonts w:eastAsia="Calibri" w:cs="Calibri"/>
                <w:noProof/>
              </w:rPr>
            </w:pPr>
            <w:r>
              <w:rPr>
                <w:noProof/>
              </w:rPr>
              <w:t>Intrarea în vigoare a Regulamentului privind Rețeaua Națională de Transport al Gazelor și a Reglementării Rețelei Naționale de Distribuire a Gazelor</w:t>
            </w:r>
          </w:p>
        </w:tc>
      </w:tr>
      <w:tr w:rsidR="00A15990" w14:paraId="10966324" w14:textId="77777777">
        <w:trPr>
          <w:trHeight w:val="440"/>
        </w:trPr>
        <w:tc>
          <w:tcPr>
            <w:tcW w:w="1200" w:type="dxa"/>
            <w:shd w:val="clear" w:color="auto" w:fill="C4EFCE"/>
            <w:vAlign w:val="center"/>
            <w:hideMark/>
          </w:tcPr>
          <w:p w14:paraId="00D9D2AC" w14:textId="77777777" w:rsidR="00A15990" w:rsidRDefault="00686A62">
            <w:pPr>
              <w:pStyle w:val="P68B1DB1-Normal23"/>
              <w:spacing w:after="0"/>
              <w:jc w:val="center"/>
              <w:rPr>
                <w:noProof/>
              </w:rPr>
            </w:pPr>
            <w:r>
              <w:rPr>
                <w:noProof/>
              </w:rPr>
              <w:t>14.2</w:t>
            </w:r>
          </w:p>
        </w:tc>
        <w:tc>
          <w:tcPr>
            <w:tcW w:w="1760" w:type="dxa"/>
            <w:shd w:val="clear" w:color="auto" w:fill="C4EFCE"/>
            <w:vAlign w:val="center"/>
            <w:hideMark/>
          </w:tcPr>
          <w:p w14:paraId="3F73CCA7" w14:textId="77777777" w:rsidR="00A15990" w:rsidRDefault="00686A62">
            <w:pPr>
              <w:pStyle w:val="P68B1DB1-Normal23"/>
              <w:spacing w:after="0"/>
              <w:jc w:val="center"/>
              <w:rPr>
                <w:noProof/>
              </w:rPr>
            </w:pPr>
            <w:r>
              <w:rPr>
                <w:noProof/>
              </w:rPr>
              <w:t xml:space="preserve">TC-C14-I01 </w:t>
            </w:r>
          </w:p>
        </w:tc>
        <w:tc>
          <w:tcPr>
            <w:tcW w:w="1520" w:type="dxa"/>
            <w:shd w:val="clear" w:color="auto" w:fill="C4EFCE"/>
            <w:vAlign w:val="center"/>
            <w:hideMark/>
          </w:tcPr>
          <w:p w14:paraId="587EF70A"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19D80DCE" w14:textId="77777777" w:rsidR="00A15990" w:rsidRDefault="00686A62">
            <w:pPr>
              <w:pStyle w:val="P68B1DB1-Normal23"/>
              <w:spacing w:after="0"/>
              <w:jc w:val="both"/>
              <w:rPr>
                <w:rFonts w:eastAsia="Calibri" w:cs="Calibri"/>
                <w:noProof/>
              </w:rPr>
            </w:pPr>
            <w:r>
              <w:rPr>
                <w:noProof/>
              </w:rPr>
              <w:t>Prima cerere de oferte pentru proiecte de producere a gazelor din surse regenerabile</w:t>
            </w:r>
          </w:p>
        </w:tc>
      </w:tr>
      <w:tr w:rsidR="00A15990" w14:paraId="757BF45A" w14:textId="77777777">
        <w:trPr>
          <w:trHeight w:val="440"/>
        </w:trPr>
        <w:tc>
          <w:tcPr>
            <w:tcW w:w="1200" w:type="dxa"/>
            <w:shd w:val="clear" w:color="auto" w:fill="C4EFCE"/>
            <w:vAlign w:val="center"/>
            <w:hideMark/>
          </w:tcPr>
          <w:p w14:paraId="7466249B" w14:textId="77777777" w:rsidR="00A15990" w:rsidRDefault="00686A62">
            <w:pPr>
              <w:pStyle w:val="P68B1DB1-Normal23"/>
              <w:spacing w:after="0"/>
              <w:jc w:val="center"/>
              <w:rPr>
                <w:noProof/>
              </w:rPr>
            </w:pPr>
            <w:r>
              <w:rPr>
                <w:noProof/>
              </w:rPr>
              <w:t>16.13</w:t>
            </w:r>
          </w:p>
        </w:tc>
        <w:tc>
          <w:tcPr>
            <w:tcW w:w="1760" w:type="dxa"/>
            <w:shd w:val="clear" w:color="auto" w:fill="C4EFCE"/>
            <w:vAlign w:val="center"/>
            <w:hideMark/>
          </w:tcPr>
          <w:p w14:paraId="0D9747EC" w14:textId="77777777" w:rsidR="00A15990" w:rsidRDefault="00686A62">
            <w:pPr>
              <w:pStyle w:val="P68B1DB1-Normal23"/>
              <w:spacing w:after="0"/>
              <w:jc w:val="center"/>
              <w:rPr>
                <w:noProof/>
              </w:rPr>
            </w:pPr>
            <w:r>
              <w:rPr>
                <w:noProof/>
              </w:rPr>
              <w:t xml:space="preserve">TD-C16-i03 </w:t>
            </w:r>
          </w:p>
        </w:tc>
        <w:tc>
          <w:tcPr>
            <w:tcW w:w="1520" w:type="dxa"/>
            <w:shd w:val="clear" w:color="auto" w:fill="C4EFCE"/>
            <w:vAlign w:val="center"/>
            <w:hideMark/>
          </w:tcPr>
          <w:p w14:paraId="7FAED4B7" w14:textId="77777777" w:rsidR="00A15990" w:rsidRDefault="00686A62">
            <w:pPr>
              <w:pStyle w:val="P68B1DB1-Normal23"/>
              <w:spacing w:after="0"/>
              <w:jc w:val="center"/>
              <w:rPr>
                <w:noProof/>
              </w:rPr>
            </w:pPr>
            <w:r>
              <w:rPr>
                <w:noProof/>
              </w:rPr>
              <w:t>T</w:t>
            </w:r>
          </w:p>
        </w:tc>
        <w:tc>
          <w:tcPr>
            <w:tcW w:w="5060" w:type="dxa"/>
            <w:shd w:val="clear" w:color="auto" w:fill="C4EFCE"/>
            <w:vAlign w:val="center"/>
            <w:hideMark/>
          </w:tcPr>
          <w:p w14:paraId="71236238" w14:textId="77777777" w:rsidR="00A15990" w:rsidRDefault="00686A62">
            <w:pPr>
              <w:pStyle w:val="P68B1DB1-Normal23"/>
              <w:spacing w:after="0"/>
              <w:jc w:val="both"/>
              <w:rPr>
                <w:rFonts w:eastAsia="Calibri" w:cs="Calibri"/>
                <w:noProof/>
              </w:rPr>
            </w:pPr>
            <w:r>
              <w:rPr>
                <w:noProof/>
              </w:rPr>
              <w:t>Centre de inovare digitală (DIH)</w:t>
            </w:r>
          </w:p>
        </w:tc>
      </w:tr>
      <w:tr w:rsidR="00A15990" w14:paraId="52D708E9" w14:textId="77777777">
        <w:trPr>
          <w:trHeight w:val="440"/>
        </w:trPr>
        <w:tc>
          <w:tcPr>
            <w:tcW w:w="1200" w:type="dxa"/>
            <w:shd w:val="clear" w:color="auto" w:fill="C4EFCE"/>
            <w:vAlign w:val="center"/>
            <w:hideMark/>
          </w:tcPr>
          <w:p w14:paraId="2F5A2432" w14:textId="77777777" w:rsidR="00A15990" w:rsidRDefault="00686A62">
            <w:pPr>
              <w:pStyle w:val="P68B1DB1-Normal23"/>
              <w:spacing w:after="0"/>
              <w:jc w:val="center"/>
              <w:rPr>
                <w:noProof/>
              </w:rPr>
            </w:pPr>
            <w:r>
              <w:rPr>
                <w:noProof/>
              </w:rPr>
              <w:t>17.6</w:t>
            </w:r>
          </w:p>
        </w:tc>
        <w:tc>
          <w:tcPr>
            <w:tcW w:w="1760" w:type="dxa"/>
            <w:shd w:val="clear" w:color="auto" w:fill="C4EFCE"/>
            <w:vAlign w:val="center"/>
            <w:hideMark/>
          </w:tcPr>
          <w:p w14:paraId="302B639D" w14:textId="77777777" w:rsidR="00A15990" w:rsidRDefault="00686A62">
            <w:pPr>
              <w:pStyle w:val="P68B1DB1-Normal23"/>
              <w:spacing w:after="0"/>
              <w:jc w:val="center"/>
              <w:rPr>
                <w:noProof/>
              </w:rPr>
            </w:pPr>
            <w:r>
              <w:rPr>
                <w:noProof/>
              </w:rPr>
              <w:t xml:space="preserve">TD-C17-r32 </w:t>
            </w:r>
          </w:p>
        </w:tc>
        <w:tc>
          <w:tcPr>
            <w:tcW w:w="1520" w:type="dxa"/>
            <w:shd w:val="clear" w:color="auto" w:fill="C4EFCE"/>
            <w:vAlign w:val="center"/>
            <w:hideMark/>
          </w:tcPr>
          <w:p w14:paraId="0B994286"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1199C2E8" w14:textId="77777777" w:rsidR="00A15990" w:rsidRDefault="00686A62">
            <w:pPr>
              <w:pStyle w:val="P68B1DB1-Normal23"/>
              <w:spacing w:after="0"/>
              <w:jc w:val="both"/>
              <w:rPr>
                <w:rFonts w:eastAsia="Calibri" w:cs="Calibri"/>
                <w:noProof/>
              </w:rPr>
            </w:pPr>
            <w:r>
              <w:rPr>
                <w:noProof/>
              </w:rPr>
              <w:t>Intrarea în vigoare a noului model de contract de gestionare în cadrul noului sistem de stimulente/sancțiuni pentru conducerea întreprinderilor de stat</w:t>
            </w:r>
          </w:p>
        </w:tc>
      </w:tr>
      <w:tr w:rsidR="00A15990" w14:paraId="5F2EFFB2" w14:textId="77777777">
        <w:trPr>
          <w:trHeight w:val="440"/>
        </w:trPr>
        <w:tc>
          <w:tcPr>
            <w:tcW w:w="1200" w:type="dxa"/>
            <w:shd w:val="clear" w:color="auto" w:fill="C4EFCE"/>
            <w:vAlign w:val="center"/>
            <w:hideMark/>
          </w:tcPr>
          <w:p w14:paraId="1E7DA930" w14:textId="77777777" w:rsidR="00A15990" w:rsidRDefault="00686A62">
            <w:pPr>
              <w:pStyle w:val="P68B1DB1-Normal23"/>
              <w:spacing w:after="0"/>
              <w:jc w:val="center"/>
              <w:rPr>
                <w:noProof/>
              </w:rPr>
            </w:pPr>
            <w:r>
              <w:rPr>
                <w:noProof/>
              </w:rPr>
              <w:t>19.22</w:t>
            </w:r>
          </w:p>
        </w:tc>
        <w:tc>
          <w:tcPr>
            <w:tcW w:w="1760" w:type="dxa"/>
            <w:shd w:val="clear" w:color="auto" w:fill="C4EFCE"/>
            <w:vAlign w:val="center"/>
            <w:hideMark/>
          </w:tcPr>
          <w:p w14:paraId="55D06868" w14:textId="77777777" w:rsidR="00A15990" w:rsidRDefault="00686A62">
            <w:pPr>
              <w:pStyle w:val="P68B1DB1-Normal23"/>
              <w:spacing w:after="0"/>
              <w:jc w:val="center"/>
              <w:rPr>
                <w:noProof/>
              </w:rPr>
            </w:pPr>
            <w:r>
              <w:rPr>
                <w:noProof/>
              </w:rPr>
              <w:t xml:space="preserve">TD-C19-r34 </w:t>
            </w:r>
          </w:p>
        </w:tc>
        <w:tc>
          <w:tcPr>
            <w:tcW w:w="1520" w:type="dxa"/>
            <w:shd w:val="clear" w:color="auto" w:fill="C4EFCE"/>
            <w:vAlign w:val="center"/>
            <w:hideMark/>
          </w:tcPr>
          <w:p w14:paraId="3742530B"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0678B11B" w14:textId="77777777" w:rsidR="00A15990" w:rsidRDefault="00686A62">
            <w:pPr>
              <w:pStyle w:val="P68B1DB1-Normal23"/>
              <w:spacing w:after="0"/>
              <w:jc w:val="both"/>
              <w:rPr>
                <w:rFonts w:eastAsia="Calibri" w:cs="Calibri"/>
                <w:noProof/>
              </w:rPr>
            </w:pPr>
            <w:r>
              <w:rPr>
                <w:noProof/>
              </w:rPr>
              <w:t>Intrarea în vigoare a cadrului juridic pentru transformarea digitală a administrației publice</w:t>
            </w:r>
          </w:p>
        </w:tc>
      </w:tr>
      <w:tr w:rsidR="00A15990" w14:paraId="6872084D" w14:textId="77777777">
        <w:trPr>
          <w:trHeight w:val="440"/>
        </w:trPr>
        <w:tc>
          <w:tcPr>
            <w:tcW w:w="1200" w:type="dxa"/>
            <w:shd w:val="clear" w:color="auto" w:fill="C4EFCE"/>
            <w:vAlign w:val="center"/>
            <w:hideMark/>
          </w:tcPr>
          <w:p w14:paraId="291433EB" w14:textId="77777777" w:rsidR="00A15990" w:rsidRDefault="00686A62">
            <w:pPr>
              <w:pStyle w:val="P68B1DB1-Normal23"/>
              <w:spacing w:after="0"/>
              <w:jc w:val="center"/>
              <w:rPr>
                <w:noProof/>
              </w:rPr>
            </w:pPr>
            <w:r>
              <w:rPr>
                <w:noProof/>
              </w:rPr>
              <w:t>19.24</w:t>
            </w:r>
          </w:p>
        </w:tc>
        <w:tc>
          <w:tcPr>
            <w:tcW w:w="1760" w:type="dxa"/>
            <w:shd w:val="clear" w:color="auto" w:fill="C4EFCE"/>
            <w:vAlign w:val="center"/>
            <w:hideMark/>
          </w:tcPr>
          <w:p w14:paraId="07189990" w14:textId="77777777" w:rsidR="00A15990" w:rsidRDefault="00686A62">
            <w:pPr>
              <w:pStyle w:val="P68B1DB1-Normal23"/>
              <w:spacing w:after="0"/>
              <w:jc w:val="center"/>
              <w:rPr>
                <w:noProof/>
              </w:rPr>
            </w:pPr>
            <w:r>
              <w:rPr>
                <w:noProof/>
              </w:rPr>
              <w:t xml:space="preserve">TD-C19-r36 </w:t>
            </w:r>
          </w:p>
        </w:tc>
        <w:tc>
          <w:tcPr>
            <w:tcW w:w="1520" w:type="dxa"/>
            <w:shd w:val="clear" w:color="auto" w:fill="C4EFCE"/>
            <w:vAlign w:val="center"/>
            <w:hideMark/>
          </w:tcPr>
          <w:p w14:paraId="55C7DEF6"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6FC15F4D" w14:textId="77777777" w:rsidR="00A15990" w:rsidRDefault="00686A62">
            <w:pPr>
              <w:pStyle w:val="P68B1DB1-Normal23"/>
              <w:spacing w:after="0"/>
              <w:jc w:val="both"/>
              <w:rPr>
                <w:rFonts w:eastAsia="Calibri" w:cs="Calibri"/>
                <w:noProof/>
              </w:rPr>
            </w:pPr>
            <w:r>
              <w:rPr>
                <w:noProof/>
              </w:rPr>
              <w:t>Înființarea Institutului Național de Administrație, I.P.</w:t>
            </w:r>
          </w:p>
        </w:tc>
      </w:tr>
      <w:tr w:rsidR="00A15990" w14:paraId="3A0CB96A" w14:textId="77777777">
        <w:trPr>
          <w:trHeight w:val="440"/>
        </w:trPr>
        <w:tc>
          <w:tcPr>
            <w:tcW w:w="1200" w:type="dxa"/>
            <w:shd w:val="clear" w:color="auto" w:fill="C4EFCE"/>
            <w:vAlign w:val="center"/>
            <w:hideMark/>
          </w:tcPr>
          <w:p w14:paraId="79B57193" w14:textId="77777777" w:rsidR="00A15990" w:rsidRDefault="00686A62">
            <w:pPr>
              <w:pStyle w:val="P68B1DB1-Normal23"/>
              <w:spacing w:after="0"/>
              <w:jc w:val="center"/>
              <w:rPr>
                <w:noProof/>
              </w:rPr>
            </w:pPr>
            <w:r>
              <w:rPr>
                <w:noProof/>
              </w:rPr>
              <w:t>20.2</w:t>
            </w:r>
          </w:p>
        </w:tc>
        <w:tc>
          <w:tcPr>
            <w:tcW w:w="1760" w:type="dxa"/>
            <w:shd w:val="clear" w:color="auto" w:fill="C4EFCE"/>
            <w:vAlign w:val="center"/>
            <w:hideMark/>
          </w:tcPr>
          <w:p w14:paraId="40D2FB0E" w14:textId="77777777" w:rsidR="00A15990" w:rsidRDefault="00686A62">
            <w:pPr>
              <w:pStyle w:val="P68B1DB1-Normal23"/>
              <w:spacing w:after="0"/>
              <w:jc w:val="center"/>
              <w:rPr>
                <w:noProof/>
              </w:rPr>
            </w:pPr>
            <w:r>
              <w:rPr>
                <w:noProof/>
              </w:rPr>
              <w:t xml:space="preserve">TD-C20-i01 </w:t>
            </w:r>
          </w:p>
        </w:tc>
        <w:tc>
          <w:tcPr>
            <w:tcW w:w="1520" w:type="dxa"/>
            <w:shd w:val="clear" w:color="auto" w:fill="C4EFCE"/>
            <w:vAlign w:val="center"/>
            <w:hideMark/>
          </w:tcPr>
          <w:p w14:paraId="78F61C3A"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14A5DC9A" w14:textId="77777777" w:rsidR="00A15990" w:rsidRDefault="00686A62">
            <w:pPr>
              <w:pStyle w:val="P68B1DB1-Normal23"/>
              <w:spacing w:after="0"/>
              <w:jc w:val="both"/>
              <w:rPr>
                <w:rFonts w:eastAsia="Calibri" w:cs="Calibri"/>
                <w:noProof/>
              </w:rPr>
            </w:pPr>
            <w:r>
              <w:rPr>
                <w:noProof/>
              </w:rPr>
              <w:t>Semnarea contractelor pentru achiziționarea de calculatoare individuale pentru elevi și profesori</w:t>
            </w:r>
          </w:p>
        </w:tc>
      </w:tr>
      <w:tr w:rsidR="00A15990" w14:paraId="6E3E4880" w14:textId="77777777">
        <w:trPr>
          <w:trHeight w:val="440"/>
        </w:trPr>
        <w:tc>
          <w:tcPr>
            <w:tcW w:w="1200" w:type="dxa"/>
            <w:shd w:val="clear" w:color="auto" w:fill="C4EFCE"/>
            <w:vAlign w:val="center"/>
            <w:hideMark/>
          </w:tcPr>
          <w:p w14:paraId="1531FD90"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9D93FED" w14:textId="77777777" w:rsidR="00A15990" w:rsidRDefault="00686A62">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E762CEE"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76A68B63" w14:textId="6ADCE395" w:rsidR="00A15990" w:rsidRDefault="00686A62">
            <w:pPr>
              <w:pStyle w:val="P68B1DB1-Normal25"/>
              <w:spacing w:after="0" w:line="240" w:lineRule="auto"/>
              <w:jc w:val="center"/>
              <w:rPr>
                <w:rFonts w:cs="Calibri"/>
                <w:noProof/>
              </w:rPr>
            </w:pPr>
            <w:r>
              <w:rPr>
                <w:noProof/>
              </w:rPr>
              <w:t xml:space="preserve">636 139 080 MIL. </w:t>
            </w:r>
          </w:p>
        </w:tc>
      </w:tr>
    </w:tbl>
    <w:p w14:paraId="66705A4C" w14:textId="77777777" w:rsidR="00A15990" w:rsidRDefault="00A15990">
      <w:pPr>
        <w:keepNext/>
        <w:spacing w:after="160" w:line="259" w:lineRule="auto"/>
        <w:ind w:left="1571" w:hanging="360"/>
        <w:contextualSpacing/>
        <w:jc w:val="both"/>
        <w:rPr>
          <w:rFonts w:ascii="Times New Roman" w:eastAsiaTheme="minorEastAsia" w:hAnsi="Times New Roman" w:cs="Times New Roman"/>
          <w:noProof/>
          <w:sz w:val="24"/>
        </w:rPr>
      </w:pPr>
    </w:p>
    <w:p w14:paraId="7F4502ED"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 A doua cerere de plată (sprijin nerambursabil): </w:t>
      </w:r>
    </w:p>
    <w:p w14:paraId="158E3ED4"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pPr w:leftFromText="180" w:rightFromText="180" w:vertAnchor="text" w:tblpX="113"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352FB160" w14:textId="77777777" w:rsidTr="004976DE">
        <w:trPr>
          <w:trHeight w:val="509"/>
          <w:tblHeader/>
        </w:trPr>
        <w:tc>
          <w:tcPr>
            <w:tcW w:w="1200" w:type="dxa"/>
            <w:vMerge w:val="restart"/>
            <w:shd w:val="clear" w:color="auto" w:fill="BDD7EE"/>
            <w:vAlign w:val="center"/>
            <w:hideMark/>
          </w:tcPr>
          <w:p w14:paraId="0D0D00E4" w14:textId="77777777" w:rsidR="00A15990" w:rsidRDefault="00686A62" w:rsidP="004976DE">
            <w:pPr>
              <w:pStyle w:val="P68B1DB1-Normal22"/>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46E7F54F" w14:textId="77777777" w:rsidR="00A15990" w:rsidRDefault="00686A62" w:rsidP="004976DE">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4BBAA04E" w14:textId="109A3B3C" w:rsidR="00A15990" w:rsidRDefault="004976DE" w:rsidP="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51A4AA8D" w14:textId="77777777" w:rsidR="00A15990" w:rsidRDefault="00686A62" w:rsidP="004976DE">
            <w:pPr>
              <w:pStyle w:val="P68B1DB1-Normal22"/>
              <w:spacing w:after="0" w:line="240" w:lineRule="auto"/>
              <w:jc w:val="center"/>
              <w:rPr>
                <w:rFonts w:eastAsia="Times New Roman" w:cs="Times New Roman"/>
                <w:noProof/>
              </w:rPr>
            </w:pPr>
            <w:r>
              <w:rPr>
                <w:noProof/>
              </w:rPr>
              <w:t>Nume</w:t>
            </w:r>
          </w:p>
        </w:tc>
      </w:tr>
      <w:tr w:rsidR="00A15990" w14:paraId="1F6741B5" w14:textId="77777777" w:rsidTr="004976DE">
        <w:trPr>
          <w:trHeight w:val="509"/>
          <w:tblHeader/>
        </w:trPr>
        <w:tc>
          <w:tcPr>
            <w:tcW w:w="1200" w:type="dxa"/>
            <w:vMerge/>
            <w:vAlign w:val="center"/>
            <w:hideMark/>
          </w:tcPr>
          <w:p w14:paraId="01B474AA" w14:textId="77777777" w:rsidR="00A15990" w:rsidRDefault="00A15990" w:rsidP="004976DE">
            <w:pPr>
              <w:spacing w:after="0" w:line="240" w:lineRule="auto"/>
              <w:rPr>
                <w:rFonts w:ascii="Times New Roman" w:eastAsia="Times New Roman" w:hAnsi="Times New Roman" w:cs="Times New Roman"/>
                <w:noProof/>
                <w:sz w:val="20"/>
              </w:rPr>
            </w:pPr>
          </w:p>
        </w:tc>
        <w:tc>
          <w:tcPr>
            <w:tcW w:w="1760" w:type="dxa"/>
            <w:vMerge/>
            <w:vAlign w:val="center"/>
            <w:hideMark/>
          </w:tcPr>
          <w:p w14:paraId="02EC477F" w14:textId="77777777" w:rsidR="00A15990" w:rsidRDefault="00A15990" w:rsidP="004976DE">
            <w:pPr>
              <w:spacing w:after="0" w:line="240" w:lineRule="auto"/>
              <w:rPr>
                <w:rFonts w:ascii="Times New Roman" w:eastAsia="Times New Roman" w:hAnsi="Times New Roman" w:cs="Times New Roman"/>
                <w:noProof/>
                <w:sz w:val="20"/>
              </w:rPr>
            </w:pPr>
          </w:p>
        </w:tc>
        <w:tc>
          <w:tcPr>
            <w:tcW w:w="1520" w:type="dxa"/>
            <w:vMerge/>
            <w:vAlign w:val="center"/>
            <w:hideMark/>
          </w:tcPr>
          <w:p w14:paraId="3D7F8D49" w14:textId="77777777" w:rsidR="00A15990" w:rsidRDefault="00A15990" w:rsidP="004976DE">
            <w:pPr>
              <w:spacing w:after="0" w:line="240" w:lineRule="auto"/>
              <w:rPr>
                <w:rFonts w:ascii="Times New Roman" w:eastAsia="Times New Roman" w:hAnsi="Times New Roman" w:cs="Times New Roman"/>
                <w:noProof/>
                <w:sz w:val="20"/>
              </w:rPr>
            </w:pPr>
          </w:p>
        </w:tc>
        <w:tc>
          <w:tcPr>
            <w:tcW w:w="5060" w:type="dxa"/>
            <w:vMerge/>
            <w:vAlign w:val="center"/>
            <w:hideMark/>
          </w:tcPr>
          <w:p w14:paraId="615BF232" w14:textId="77777777" w:rsidR="00A15990" w:rsidRDefault="00A15990" w:rsidP="004976DE">
            <w:pPr>
              <w:spacing w:after="0" w:line="240" w:lineRule="auto"/>
              <w:rPr>
                <w:rFonts w:ascii="Times New Roman" w:eastAsia="Times New Roman" w:hAnsi="Times New Roman" w:cs="Times New Roman"/>
                <w:noProof/>
                <w:sz w:val="20"/>
              </w:rPr>
            </w:pPr>
          </w:p>
        </w:tc>
      </w:tr>
      <w:tr w:rsidR="00A15990" w14:paraId="4081C04E" w14:textId="77777777" w:rsidTr="004976DE">
        <w:trPr>
          <w:trHeight w:val="440"/>
        </w:trPr>
        <w:tc>
          <w:tcPr>
            <w:tcW w:w="1200" w:type="dxa"/>
            <w:shd w:val="clear" w:color="auto" w:fill="C4EFCE"/>
            <w:vAlign w:val="center"/>
            <w:hideMark/>
          </w:tcPr>
          <w:p w14:paraId="5750728D" w14:textId="77777777" w:rsidR="00A15990" w:rsidRDefault="00686A62" w:rsidP="004976DE">
            <w:pPr>
              <w:pStyle w:val="P68B1DB1-Normal23"/>
              <w:spacing w:after="0"/>
              <w:jc w:val="center"/>
              <w:rPr>
                <w:rFonts w:eastAsia="Calibri" w:cs="Calibri"/>
                <w:noProof/>
              </w:rPr>
            </w:pPr>
            <w:r>
              <w:rPr>
                <w:noProof/>
              </w:rPr>
              <w:t>1.13</w:t>
            </w:r>
          </w:p>
        </w:tc>
        <w:tc>
          <w:tcPr>
            <w:tcW w:w="1760" w:type="dxa"/>
            <w:shd w:val="clear" w:color="auto" w:fill="C4EFCE"/>
            <w:vAlign w:val="center"/>
            <w:hideMark/>
          </w:tcPr>
          <w:p w14:paraId="44477519" w14:textId="77777777" w:rsidR="00A15990" w:rsidRDefault="00686A62" w:rsidP="004976DE">
            <w:pPr>
              <w:pStyle w:val="P68B1DB1-Normal23"/>
              <w:spacing w:after="0"/>
              <w:jc w:val="center"/>
              <w:rPr>
                <w:rFonts w:eastAsia="Calibri" w:cs="Calibri"/>
                <w:noProof/>
              </w:rPr>
            </w:pPr>
            <w:r>
              <w:rPr>
                <w:noProof/>
              </w:rPr>
              <w:t xml:space="preserve">RE-C01-i02 </w:t>
            </w:r>
          </w:p>
        </w:tc>
        <w:tc>
          <w:tcPr>
            <w:tcW w:w="1520" w:type="dxa"/>
            <w:shd w:val="clear" w:color="auto" w:fill="C4EFCE"/>
            <w:vAlign w:val="center"/>
            <w:hideMark/>
          </w:tcPr>
          <w:p w14:paraId="04640CD0"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D4C3B0B" w14:textId="77777777" w:rsidR="00A15990" w:rsidRDefault="00686A62" w:rsidP="004976DE">
            <w:pPr>
              <w:pStyle w:val="P68B1DB1-Normal23"/>
              <w:spacing w:after="0"/>
              <w:jc w:val="both"/>
              <w:rPr>
                <w:rFonts w:eastAsia="Calibri" w:cs="Calibri"/>
                <w:noProof/>
              </w:rPr>
            </w:pPr>
            <w:r>
              <w:rPr>
                <w:noProof/>
              </w:rPr>
              <w:t>Intrarea în vigoare a condițiilor pentru corelarea episoadelor de urgență testate în alb, albastru sau verde în serviciile de urgență spitalicești pentru alte tipuri de servicii de asistență medicală, inclusiv servicii de asistență medicală primară</w:t>
            </w:r>
          </w:p>
        </w:tc>
      </w:tr>
      <w:tr w:rsidR="00A15990" w14:paraId="0C6EEC60" w14:textId="77777777" w:rsidTr="004976DE">
        <w:trPr>
          <w:trHeight w:val="440"/>
        </w:trPr>
        <w:tc>
          <w:tcPr>
            <w:tcW w:w="1200" w:type="dxa"/>
            <w:shd w:val="clear" w:color="auto" w:fill="C4EFCE"/>
            <w:vAlign w:val="center"/>
            <w:hideMark/>
          </w:tcPr>
          <w:p w14:paraId="4CBB49BA" w14:textId="77777777" w:rsidR="00A15990" w:rsidRDefault="00686A62" w:rsidP="004976DE">
            <w:pPr>
              <w:pStyle w:val="P68B1DB1-Normal23"/>
              <w:spacing w:after="0"/>
              <w:jc w:val="center"/>
              <w:rPr>
                <w:rFonts w:eastAsia="Calibri" w:cs="Calibri"/>
                <w:noProof/>
              </w:rPr>
            </w:pPr>
            <w:r>
              <w:rPr>
                <w:noProof/>
              </w:rPr>
              <w:t>1.20</w:t>
            </w:r>
          </w:p>
        </w:tc>
        <w:tc>
          <w:tcPr>
            <w:tcW w:w="1760" w:type="dxa"/>
            <w:shd w:val="clear" w:color="auto" w:fill="C4EFCE"/>
            <w:vAlign w:val="center"/>
            <w:hideMark/>
          </w:tcPr>
          <w:p w14:paraId="480832CC" w14:textId="77777777" w:rsidR="00A15990" w:rsidRDefault="00686A62" w:rsidP="004976DE">
            <w:pPr>
              <w:pStyle w:val="P68B1DB1-Normal23"/>
              <w:spacing w:after="0"/>
              <w:jc w:val="center"/>
              <w:rPr>
                <w:rFonts w:eastAsia="Calibri" w:cs="Calibri"/>
                <w:noProof/>
              </w:rPr>
            </w:pPr>
            <w:r>
              <w:rPr>
                <w:noProof/>
              </w:rPr>
              <w:t xml:space="preserve">RE-C01-r03 </w:t>
            </w:r>
          </w:p>
        </w:tc>
        <w:tc>
          <w:tcPr>
            <w:tcW w:w="1520" w:type="dxa"/>
            <w:shd w:val="clear" w:color="auto" w:fill="C4EFCE"/>
            <w:vAlign w:val="center"/>
            <w:hideMark/>
          </w:tcPr>
          <w:p w14:paraId="7D9187DC"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315F543" w14:textId="77777777" w:rsidR="00A15990" w:rsidRDefault="00686A62" w:rsidP="004976DE">
            <w:pPr>
              <w:pStyle w:val="P68B1DB1-Normal23"/>
              <w:spacing w:after="0"/>
              <w:jc w:val="both"/>
              <w:rPr>
                <w:rFonts w:eastAsia="Calibri" w:cs="Calibri"/>
                <w:noProof/>
              </w:rPr>
            </w:pPr>
            <w:r>
              <w:rPr>
                <w:noProof/>
              </w:rPr>
              <w:t>Intrarea în vigoare a regulamentului privind alocarea sprijinului financiar de către autoritățile regionale din domeniul sănătății</w:t>
            </w:r>
          </w:p>
        </w:tc>
      </w:tr>
      <w:tr w:rsidR="00A15990" w14:paraId="69F0FF9C" w14:textId="77777777" w:rsidTr="004976DE">
        <w:trPr>
          <w:trHeight w:val="440"/>
        </w:trPr>
        <w:tc>
          <w:tcPr>
            <w:tcW w:w="1200" w:type="dxa"/>
            <w:shd w:val="clear" w:color="auto" w:fill="C4EFCE"/>
            <w:vAlign w:val="center"/>
            <w:hideMark/>
          </w:tcPr>
          <w:p w14:paraId="166EDAF8" w14:textId="31004DB1" w:rsidR="00A15990" w:rsidRDefault="00686A62" w:rsidP="004976DE">
            <w:pPr>
              <w:pStyle w:val="P68B1DB1-Normal23"/>
              <w:spacing w:after="0"/>
              <w:jc w:val="center"/>
              <w:rPr>
                <w:rFonts w:eastAsia="Calibri" w:cs="Calibri"/>
                <w:noProof/>
              </w:rPr>
            </w:pPr>
            <w:r>
              <w:rPr>
                <w:noProof/>
              </w:rPr>
              <w:t>1.6</w:t>
            </w:r>
          </w:p>
        </w:tc>
        <w:tc>
          <w:tcPr>
            <w:tcW w:w="1760" w:type="dxa"/>
            <w:shd w:val="clear" w:color="auto" w:fill="C4EFCE"/>
            <w:vAlign w:val="center"/>
            <w:hideMark/>
          </w:tcPr>
          <w:p w14:paraId="35D3297F" w14:textId="77777777" w:rsidR="00A15990" w:rsidRDefault="00686A62" w:rsidP="004976DE">
            <w:pPr>
              <w:pStyle w:val="P68B1DB1-Normal23"/>
              <w:spacing w:after="0"/>
              <w:jc w:val="center"/>
              <w:rPr>
                <w:rFonts w:eastAsia="Calibri" w:cs="Calibri"/>
                <w:noProof/>
              </w:rPr>
            </w:pPr>
            <w:r>
              <w:rPr>
                <w:noProof/>
              </w:rPr>
              <w:t xml:space="preserve">RE-C01-i01 </w:t>
            </w:r>
          </w:p>
        </w:tc>
        <w:tc>
          <w:tcPr>
            <w:tcW w:w="1520" w:type="dxa"/>
            <w:shd w:val="clear" w:color="auto" w:fill="C4EFCE"/>
            <w:vAlign w:val="center"/>
            <w:hideMark/>
          </w:tcPr>
          <w:p w14:paraId="00EBB8F8"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E23AEAC" w14:textId="77777777" w:rsidR="00A15990" w:rsidRDefault="00686A62" w:rsidP="004976DE">
            <w:pPr>
              <w:pStyle w:val="P68B1DB1-Normal23"/>
              <w:spacing w:after="0"/>
              <w:jc w:val="both"/>
              <w:rPr>
                <w:rFonts w:eastAsia="Calibri" w:cs="Calibri"/>
                <w:noProof/>
              </w:rPr>
            </w:pPr>
            <w:r>
              <w:rPr>
                <w:noProof/>
              </w:rPr>
              <w:t>Intrarea în vigoare a noului model de contract de gestionare</w:t>
            </w:r>
          </w:p>
        </w:tc>
      </w:tr>
      <w:tr w:rsidR="00A15990" w14:paraId="5EFCE41E" w14:textId="77777777" w:rsidTr="004976DE">
        <w:trPr>
          <w:trHeight w:val="440"/>
        </w:trPr>
        <w:tc>
          <w:tcPr>
            <w:tcW w:w="1200" w:type="dxa"/>
            <w:shd w:val="clear" w:color="auto" w:fill="C4EFCE"/>
            <w:vAlign w:val="center"/>
            <w:hideMark/>
          </w:tcPr>
          <w:p w14:paraId="5D8AE41A" w14:textId="77777777" w:rsidR="00A15990" w:rsidRDefault="00686A62" w:rsidP="004976DE">
            <w:pPr>
              <w:pStyle w:val="P68B1DB1-Normal23"/>
              <w:spacing w:after="0"/>
              <w:jc w:val="center"/>
              <w:rPr>
                <w:rFonts w:eastAsia="Calibri" w:cs="Calibri"/>
                <w:noProof/>
              </w:rPr>
            </w:pPr>
            <w:r>
              <w:rPr>
                <w:noProof/>
              </w:rPr>
              <w:t>3.24</w:t>
            </w:r>
          </w:p>
        </w:tc>
        <w:tc>
          <w:tcPr>
            <w:tcW w:w="1760" w:type="dxa"/>
            <w:shd w:val="clear" w:color="auto" w:fill="C4EFCE"/>
            <w:vAlign w:val="center"/>
            <w:hideMark/>
          </w:tcPr>
          <w:p w14:paraId="345DB0E2" w14:textId="77777777" w:rsidR="00A15990" w:rsidRDefault="00686A62" w:rsidP="004976DE">
            <w:pPr>
              <w:pStyle w:val="P68B1DB1-Normal23"/>
              <w:spacing w:after="0"/>
              <w:jc w:val="center"/>
              <w:rPr>
                <w:rFonts w:eastAsia="Calibri" w:cs="Calibri"/>
                <w:noProof/>
              </w:rPr>
            </w:pPr>
            <w:r>
              <w:rPr>
                <w:noProof/>
              </w:rPr>
              <w:t xml:space="preserve">RE-C03-i01 </w:t>
            </w:r>
          </w:p>
        </w:tc>
        <w:tc>
          <w:tcPr>
            <w:tcW w:w="1520" w:type="dxa"/>
            <w:shd w:val="clear" w:color="auto" w:fill="C4EFCE"/>
            <w:vAlign w:val="center"/>
            <w:hideMark/>
          </w:tcPr>
          <w:p w14:paraId="0957961C"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0267902" w14:textId="77777777" w:rsidR="00A15990" w:rsidRDefault="00686A62" w:rsidP="004976DE">
            <w:pPr>
              <w:pStyle w:val="P68B1DB1-Normal23"/>
              <w:spacing w:after="0"/>
              <w:jc w:val="both"/>
              <w:rPr>
                <w:rFonts w:eastAsia="Calibri" w:cs="Calibri"/>
                <w:noProof/>
              </w:rPr>
            </w:pPr>
            <w:r>
              <w:rPr>
                <w:noProof/>
              </w:rPr>
              <w:t>Semnarea unor acorduri între municipalitățile Lisabona/Porto și unitățile tehnice locale care definesc domeniul de aplicare al măsurilor care urmează să fie sprijinite.</w:t>
            </w:r>
          </w:p>
        </w:tc>
      </w:tr>
      <w:tr w:rsidR="00A15990" w14:paraId="6D1DB67B" w14:textId="77777777" w:rsidTr="004976DE">
        <w:trPr>
          <w:trHeight w:val="440"/>
        </w:trPr>
        <w:tc>
          <w:tcPr>
            <w:tcW w:w="1200" w:type="dxa"/>
            <w:shd w:val="clear" w:color="auto" w:fill="C4EFCE"/>
            <w:vAlign w:val="center"/>
            <w:hideMark/>
          </w:tcPr>
          <w:p w14:paraId="26C83B0D" w14:textId="77777777" w:rsidR="00A15990" w:rsidRDefault="00686A62" w:rsidP="004976DE">
            <w:pPr>
              <w:pStyle w:val="P68B1DB1-Normal23"/>
              <w:spacing w:after="0"/>
              <w:jc w:val="center"/>
              <w:rPr>
                <w:rFonts w:eastAsia="Calibri" w:cs="Calibri"/>
                <w:noProof/>
              </w:rPr>
            </w:pPr>
            <w:r>
              <w:rPr>
                <w:noProof/>
              </w:rPr>
              <w:t>3.3</w:t>
            </w:r>
          </w:p>
        </w:tc>
        <w:tc>
          <w:tcPr>
            <w:tcW w:w="1760" w:type="dxa"/>
            <w:shd w:val="clear" w:color="auto" w:fill="C4EFCE"/>
            <w:vAlign w:val="center"/>
            <w:hideMark/>
          </w:tcPr>
          <w:p w14:paraId="6A8E3604" w14:textId="77777777" w:rsidR="00A15990" w:rsidRDefault="00686A62" w:rsidP="004976DE">
            <w:pPr>
              <w:pStyle w:val="P68B1DB1-Normal23"/>
              <w:spacing w:after="0"/>
              <w:jc w:val="center"/>
              <w:rPr>
                <w:rFonts w:eastAsia="Calibri" w:cs="Calibri"/>
                <w:noProof/>
              </w:rPr>
            </w:pPr>
            <w:r>
              <w:rPr>
                <w:noProof/>
              </w:rPr>
              <w:t xml:space="preserve">RE-C03-i06 </w:t>
            </w:r>
          </w:p>
        </w:tc>
        <w:tc>
          <w:tcPr>
            <w:tcW w:w="1520" w:type="dxa"/>
            <w:shd w:val="clear" w:color="auto" w:fill="C4EFCE"/>
            <w:vAlign w:val="center"/>
            <w:hideMark/>
          </w:tcPr>
          <w:p w14:paraId="6CBB1E8D"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1900507" w14:textId="77777777" w:rsidR="00A15990" w:rsidRDefault="00686A62" w:rsidP="004976DE">
            <w:pPr>
              <w:pStyle w:val="P68B1DB1-Normal23"/>
              <w:spacing w:after="0"/>
              <w:jc w:val="both"/>
              <w:rPr>
                <w:rFonts w:eastAsia="Calibri" w:cs="Calibri"/>
                <w:noProof/>
              </w:rPr>
            </w:pPr>
            <w:r>
              <w:rPr>
                <w:noProof/>
              </w:rPr>
              <w:t>Atribuirea de contracte de sprijin pentru organismele de promovare pentru crearea și extinderea rețelei de facilități sociale/răspunsuri sociale.</w:t>
            </w:r>
          </w:p>
        </w:tc>
      </w:tr>
      <w:tr w:rsidR="00A15990" w14:paraId="5CF43042" w14:textId="77777777" w:rsidTr="004976DE">
        <w:trPr>
          <w:trHeight w:val="440"/>
        </w:trPr>
        <w:tc>
          <w:tcPr>
            <w:tcW w:w="1200" w:type="dxa"/>
            <w:shd w:val="clear" w:color="auto" w:fill="C4EFCE"/>
            <w:vAlign w:val="center"/>
            <w:hideMark/>
          </w:tcPr>
          <w:p w14:paraId="27EE7DD4" w14:textId="77777777" w:rsidR="00A15990" w:rsidRDefault="00686A62" w:rsidP="004976DE">
            <w:pPr>
              <w:pStyle w:val="P68B1DB1-Normal23"/>
              <w:spacing w:after="0"/>
              <w:jc w:val="center"/>
              <w:rPr>
                <w:rFonts w:eastAsia="Calibri" w:cs="Calibri"/>
                <w:noProof/>
              </w:rPr>
            </w:pPr>
            <w:r>
              <w:rPr>
                <w:noProof/>
              </w:rPr>
              <w:t>4.1</w:t>
            </w:r>
          </w:p>
        </w:tc>
        <w:tc>
          <w:tcPr>
            <w:tcW w:w="1760" w:type="dxa"/>
            <w:shd w:val="clear" w:color="auto" w:fill="C4EFCE"/>
            <w:vAlign w:val="center"/>
            <w:hideMark/>
          </w:tcPr>
          <w:p w14:paraId="035DEC49" w14:textId="625BA17C" w:rsidR="00A15990" w:rsidRDefault="00686A62" w:rsidP="004976DE">
            <w:pPr>
              <w:pStyle w:val="P68B1DB1-Normal23"/>
              <w:spacing w:after="0"/>
              <w:jc w:val="center"/>
              <w:rPr>
                <w:rFonts w:eastAsia="Calibri" w:cs="Calibri"/>
                <w:noProof/>
              </w:rPr>
            </w:pPr>
            <w:r>
              <w:rPr>
                <w:noProof/>
              </w:rPr>
              <w:t xml:space="preserve">RE-C04-i01 </w:t>
            </w:r>
          </w:p>
        </w:tc>
        <w:tc>
          <w:tcPr>
            <w:tcW w:w="1520" w:type="dxa"/>
            <w:shd w:val="clear" w:color="auto" w:fill="C4EFCE"/>
            <w:vAlign w:val="center"/>
            <w:hideMark/>
          </w:tcPr>
          <w:p w14:paraId="453E5DD3"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4A22F10" w14:textId="77777777" w:rsidR="00A15990" w:rsidRDefault="00686A62" w:rsidP="004976DE">
            <w:pPr>
              <w:pStyle w:val="P68B1DB1-Normal23"/>
              <w:spacing w:after="0"/>
              <w:jc w:val="both"/>
              <w:rPr>
                <w:rFonts w:eastAsia="Calibri" w:cs="Calibri"/>
                <w:noProof/>
              </w:rPr>
            </w:pPr>
            <w:r>
              <w:rPr>
                <w:noProof/>
              </w:rPr>
              <w:t>Specificații tehnologice pentru rețeaua de facilități culturale</w:t>
            </w:r>
          </w:p>
        </w:tc>
      </w:tr>
      <w:tr w:rsidR="00A15990" w14:paraId="1D67278E" w14:textId="77777777" w:rsidTr="004976DE">
        <w:trPr>
          <w:trHeight w:val="440"/>
        </w:trPr>
        <w:tc>
          <w:tcPr>
            <w:tcW w:w="1200" w:type="dxa"/>
            <w:shd w:val="clear" w:color="auto" w:fill="C4EFCE"/>
            <w:vAlign w:val="center"/>
            <w:hideMark/>
          </w:tcPr>
          <w:p w14:paraId="1EEC3DB4" w14:textId="77777777" w:rsidR="00A15990" w:rsidRDefault="00686A62" w:rsidP="004976DE">
            <w:pPr>
              <w:pStyle w:val="P68B1DB1-Normal23"/>
              <w:spacing w:after="0"/>
              <w:jc w:val="center"/>
              <w:rPr>
                <w:rFonts w:eastAsia="Calibri" w:cs="Calibri"/>
                <w:noProof/>
              </w:rPr>
            </w:pPr>
            <w:r>
              <w:rPr>
                <w:noProof/>
              </w:rPr>
              <w:t>5.18</w:t>
            </w:r>
          </w:p>
        </w:tc>
        <w:tc>
          <w:tcPr>
            <w:tcW w:w="1760" w:type="dxa"/>
            <w:shd w:val="clear" w:color="auto" w:fill="C4EFCE"/>
            <w:vAlign w:val="center"/>
            <w:hideMark/>
          </w:tcPr>
          <w:p w14:paraId="6807E12E" w14:textId="77777777" w:rsidR="00A15990" w:rsidRDefault="00686A62" w:rsidP="004976DE">
            <w:pPr>
              <w:pStyle w:val="P68B1DB1-Normal23"/>
              <w:spacing w:after="0"/>
              <w:jc w:val="center"/>
              <w:rPr>
                <w:rFonts w:eastAsia="Calibri" w:cs="Calibri"/>
                <w:noProof/>
              </w:rPr>
            </w:pPr>
            <w:r>
              <w:rPr>
                <w:noProof/>
              </w:rPr>
              <w:t xml:space="preserve">RE-C05-i05-RAA </w:t>
            </w:r>
          </w:p>
        </w:tc>
        <w:tc>
          <w:tcPr>
            <w:tcW w:w="1520" w:type="dxa"/>
            <w:shd w:val="clear" w:color="auto" w:fill="C4EFCE"/>
            <w:vAlign w:val="center"/>
            <w:hideMark/>
          </w:tcPr>
          <w:p w14:paraId="115683CC"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F0AD3AB" w14:textId="77777777" w:rsidR="00A15990" w:rsidRDefault="00686A62" w:rsidP="004976DE">
            <w:pPr>
              <w:pStyle w:val="P68B1DB1-Normal23"/>
              <w:spacing w:after="0"/>
              <w:jc w:val="both"/>
              <w:rPr>
                <w:rFonts w:eastAsia="Calibri" w:cs="Calibri"/>
                <w:noProof/>
              </w:rPr>
            </w:pPr>
            <w:r>
              <w:rPr>
                <w:noProof/>
              </w:rPr>
              <w:t>Publicarea Programului de inovare și digitalizare în agricultura din Azore</w:t>
            </w:r>
          </w:p>
        </w:tc>
      </w:tr>
      <w:tr w:rsidR="00A15990" w14:paraId="12652084" w14:textId="77777777" w:rsidTr="004976DE">
        <w:trPr>
          <w:trHeight w:val="440"/>
        </w:trPr>
        <w:tc>
          <w:tcPr>
            <w:tcW w:w="1200" w:type="dxa"/>
            <w:shd w:val="clear" w:color="auto" w:fill="C4EFCE"/>
            <w:vAlign w:val="center"/>
            <w:hideMark/>
          </w:tcPr>
          <w:p w14:paraId="196543A9" w14:textId="77777777" w:rsidR="00A15990" w:rsidRDefault="00686A62" w:rsidP="004976DE">
            <w:pPr>
              <w:pStyle w:val="P68B1DB1-Normal23"/>
              <w:spacing w:after="0"/>
              <w:jc w:val="center"/>
              <w:rPr>
                <w:rFonts w:eastAsia="Calibri" w:cs="Calibri"/>
                <w:noProof/>
              </w:rPr>
            </w:pPr>
            <w:r>
              <w:rPr>
                <w:noProof/>
              </w:rPr>
              <w:t>8.14</w:t>
            </w:r>
          </w:p>
        </w:tc>
        <w:tc>
          <w:tcPr>
            <w:tcW w:w="1760" w:type="dxa"/>
            <w:shd w:val="clear" w:color="auto" w:fill="C4EFCE"/>
            <w:vAlign w:val="center"/>
            <w:hideMark/>
          </w:tcPr>
          <w:p w14:paraId="5CE17266" w14:textId="77777777" w:rsidR="00A15990" w:rsidRDefault="00686A62" w:rsidP="004976DE">
            <w:pPr>
              <w:pStyle w:val="P68B1DB1-Normal23"/>
              <w:spacing w:after="0"/>
              <w:jc w:val="center"/>
              <w:rPr>
                <w:rFonts w:eastAsia="Calibri" w:cs="Calibri"/>
                <w:noProof/>
              </w:rPr>
            </w:pPr>
            <w:r>
              <w:rPr>
                <w:noProof/>
              </w:rPr>
              <w:t xml:space="preserve">RE-C08-i02 </w:t>
            </w:r>
          </w:p>
        </w:tc>
        <w:tc>
          <w:tcPr>
            <w:tcW w:w="1520" w:type="dxa"/>
            <w:shd w:val="clear" w:color="auto" w:fill="C4EFCE"/>
            <w:vAlign w:val="center"/>
            <w:hideMark/>
          </w:tcPr>
          <w:p w14:paraId="4FEEA23F" w14:textId="77777777" w:rsidR="00A15990" w:rsidRDefault="00686A62" w:rsidP="004976DE">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0D33A02" w14:textId="77777777" w:rsidR="00A15990" w:rsidRDefault="00686A62" w:rsidP="004976DE">
            <w:pPr>
              <w:pStyle w:val="P68B1DB1-Normal23"/>
              <w:spacing w:after="0"/>
              <w:jc w:val="both"/>
              <w:rPr>
                <w:rFonts w:eastAsia="Calibri" w:cs="Calibri"/>
                <w:noProof/>
              </w:rPr>
            </w:pPr>
            <w:r>
              <w:rPr>
                <w:noProof/>
              </w:rPr>
              <w:t>Crearea structurilor regionale și subregionale ale Autorității Naționale pentru Urgență și Protecție Civilă (ANEPC)</w:t>
            </w:r>
          </w:p>
        </w:tc>
      </w:tr>
      <w:tr w:rsidR="00A15990" w14:paraId="35EFEA47" w14:textId="77777777" w:rsidTr="004976DE">
        <w:trPr>
          <w:trHeight w:val="440"/>
        </w:trPr>
        <w:tc>
          <w:tcPr>
            <w:tcW w:w="1200" w:type="dxa"/>
            <w:shd w:val="clear" w:color="auto" w:fill="C4EFCE"/>
            <w:vAlign w:val="center"/>
            <w:hideMark/>
          </w:tcPr>
          <w:p w14:paraId="4C9D2DDC" w14:textId="77777777" w:rsidR="00A15990" w:rsidRDefault="00686A62" w:rsidP="004976DE">
            <w:pPr>
              <w:pStyle w:val="P68B1DB1-Normal23"/>
              <w:spacing w:after="0"/>
              <w:jc w:val="center"/>
              <w:rPr>
                <w:rFonts w:eastAsia="Calibri" w:cs="Calibri"/>
                <w:noProof/>
              </w:rPr>
            </w:pPr>
            <w:r>
              <w:rPr>
                <w:noProof/>
              </w:rPr>
              <w:t>8.15</w:t>
            </w:r>
          </w:p>
        </w:tc>
        <w:tc>
          <w:tcPr>
            <w:tcW w:w="1760" w:type="dxa"/>
            <w:shd w:val="clear" w:color="auto" w:fill="C4EFCE"/>
            <w:vAlign w:val="center"/>
            <w:hideMark/>
          </w:tcPr>
          <w:p w14:paraId="44F53CD2" w14:textId="77777777" w:rsidR="00A15990" w:rsidRDefault="00686A62" w:rsidP="004976DE">
            <w:pPr>
              <w:pStyle w:val="P68B1DB1-Normal23"/>
              <w:spacing w:after="0"/>
              <w:jc w:val="center"/>
              <w:rPr>
                <w:rFonts w:eastAsia="Calibri" w:cs="Calibri"/>
                <w:noProof/>
              </w:rPr>
            </w:pPr>
            <w:r>
              <w:rPr>
                <w:noProof/>
              </w:rPr>
              <w:t xml:space="preserve">RE-C08-i03 </w:t>
            </w:r>
          </w:p>
        </w:tc>
        <w:tc>
          <w:tcPr>
            <w:tcW w:w="1520" w:type="dxa"/>
            <w:shd w:val="clear" w:color="auto" w:fill="C4EFCE"/>
            <w:vAlign w:val="center"/>
            <w:hideMark/>
          </w:tcPr>
          <w:p w14:paraId="0F2B0D59"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01ABC6A2" w14:textId="77777777" w:rsidR="00A15990" w:rsidRDefault="00686A62" w:rsidP="004976DE">
            <w:pPr>
              <w:pStyle w:val="P68B1DB1-Normal23"/>
              <w:spacing w:after="0"/>
              <w:jc w:val="both"/>
              <w:rPr>
                <w:rFonts w:eastAsia="Calibri" w:cs="Calibri"/>
                <w:noProof/>
              </w:rPr>
            </w:pPr>
            <w:r>
              <w:rPr>
                <w:noProof/>
              </w:rPr>
              <w:t>Publicarea raportului inițial de către Institutul pentru Conservarea Naturii și Păduri, I.P</w:t>
            </w:r>
          </w:p>
        </w:tc>
      </w:tr>
      <w:tr w:rsidR="00A15990" w14:paraId="07159476" w14:textId="77777777" w:rsidTr="004976DE">
        <w:trPr>
          <w:trHeight w:val="440"/>
        </w:trPr>
        <w:tc>
          <w:tcPr>
            <w:tcW w:w="1200" w:type="dxa"/>
            <w:shd w:val="clear" w:color="auto" w:fill="C4EFCE"/>
            <w:vAlign w:val="center"/>
            <w:hideMark/>
          </w:tcPr>
          <w:p w14:paraId="4FFB6CD4" w14:textId="77777777" w:rsidR="00A15990" w:rsidRDefault="00686A62" w:rsidP="004976DE">
            <w:pPr>
              <w:pStyle w:val="P68B1DB1-Normal23"/>
              <w:spacing w:after="0"/>
              <w:jc w:val="center"/>
              <w:rPr>
                <w:rFonts w:eastAsia="Calibri" w:cs="Calibri"/>
                <w:noProof/>
              </w:rPr>
            </w:pPr>
            <w:r>
              <w:rPr>
                <w:noProof/>
              </w:rPr>
              <w:t>8.4</w:t>
            </w:r>
          </w:p>
        </w:tc>
        <w:tc>
          <w:tcPr>
            <w:tcW w:w="1760" w:type="dxa"/>
            <w:shd w:val="clear" w:color="auto" w:fill="C4EFCE"/>
            <w:vAlign w:val="center"/>
            <w:hideMark/>
          </w:tcPr>
          <w:p w14:paraId="7B8AD2FC" w14:textId="77777777" w:rsidR="00A15990" w:rsidRDefault="00686A62" w:rsidP="004976DE">
            <w:pPr>
              <w:pStyle w:val="P68B1DB1-Normal23"/>
              <w:spacing w:after="0"/>
              <w:jc w:val="center"/>
              <w:rPr>
                <w:rFonts w:eastAsia="Calibri" w:cs="Calibri"/>
                <w:noProof/>
              </w:rPr>
            </w:pPr>
            <w:r>
              <w:rPr>
                <w:noProof/>
              </w:rPr>
              <w:t xml:space="preserve">RE-C08-i05 </w:t>
            </w:r>
          </w:p>
        </w:tc>
        <w:tc>
          <w:tcPr>
            <w:tcW w:w="1520" w:type="dxa"/>
            <w:shd w:val="clear" w:color="auto" w:fill="C4EFCE"/>
            <w:vAlign w:val="center"/>
            <w:hideMark/>
          </w:tcPr>
          <w:p w14:paraId="17CD02D0"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2EF1A361" w14:textId="77777777" w:rsidR="00A15990" w:rsidRDefault="00686A62" w:rsidP="004976DE">
            <w:pPr>
              <w:pStyle w:val="P68B1DB1-Normal23"/>
              <w:spacing w:after="0"/>
              <w:jc w:val="both"/>
              <w:rPr>
                <w:rFonts w:eastAsia="Calibri" w:cs="Calibri"/>
                <w:noProof/>
              </w:rPr>
            </w:pPr>
            <w:r>
              <w:rPr>
                <w:noProof/>
              </w:rPr>
              <w:t>Către o platformă BUPi 2.0</w:t>
            </w:r>
          </w:p>
        </w:tc>
      </w:tr>
      <w:tr w:rsidR="00A15990" w14:paraId="6124AF89" w14:textId="77777777" w:rsidTr="004976DE">
        <w:trPr>
          <w:trHeight w:val="440"/>
        </w:trPr>
        <w:tc>
          <w:tcPr>
            <w:tcW w:w="1200" w:type="dxa"/>
            <w:shd w:val="clear" w:color="auto" w:fill="C4EFCE"/>
            <w:vAlign w:val="center"/>
            <w:hideMark/>
          </w:tcPr>
          <w:p w14:paraId="61ED2CA3" w14:textId="77777777" w:rsidR="00A15990" w:rsidRDefault="00686A62" w:rsidP="004976DE">
            <w:pPr>
              <w:pStyle w:val="P68B1DB1-Normal23"/>
              <w:spacing w:after="0"/>
              <w:jc w:val="center"/>
              <w:rPr>
                <w:rFonts w:eastAsia="Calibri" w:cs="Calibri"/>
                <w:noProof/>
              </w:rPr>
            </w:pPr>
            <w:r>
              <w:rPr>
                <w:noProof/>
              </w:rPr>
              <w:t>8.7</w:t>
            </w:r>
          </w:p>
        </w:tc>
        <w:tc>
          <w:tcPr>
            <w:tcW w:w="1760" w:type="dxa"/>
            <w:shd w:val="clear" w:color="auto" w:fill="C4EFCE"/>
            <w:vAlign w:val="center"/>
            <w:hideMark/>
          </w:tcPr>
          <w:p w14:paraId="62D644C7" w14:textId="77777777" w:rsidR="00A15990" w:rsidRDefault="00686A62" w:rsidP="004976DE">
            <w:pPr>
              <w:pStyle w:val="P68B1DB1-Normal23"/>
              <w:spacing w:after="0"/>
              <w:jc w:val="center"/>
              <w:rPr>
                <w:rFonts w:eastAsia="Calibri" w:cs="Calibri"/>
                <w:noProof/>
              </w:rPr>
            </w:pPr>
            <w:r>
              <w:rPr>
                <w:noProof/>
              </w:rPr>
              <w:t xml:space="preserve">RE-C08-i05 </w:t>
            </w:r>
          </w:p>
        </w:tc>
        <w:tc>
          <w:tcPr>
            <w:tcW w:w="1520" w:type="dxa"/>
            <w:shd w:val="clear" w:color="auto" w:fill="C4EFCE"/>
            <w:vAlign w:val="center"/>
            <w:hideMark/>
          </w:tcPr>
          <w:p w14:paraId="51195EC8"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5560C5A" w14:textId="77777777" w:rsidR="00A15990" w:rsidRDefault="00686A62" w:rsidP="004976DE">
            <w:pPr>
              <w:pStyle w:val="P68B1DB1-Normal23"/>
              <w:spacing w:after="0"/>
              <w:jc w:val="both"/>
              <w:rPr>
                <w:rFonts w:eastAsia="Calibri" w:cs="Calibri"/>
                <w:noProof/>
              </w:rPr>
            </w:pPr>
            <w:r>
              <w:rPr>
                <w:noProof/>
              </w:rPr>
              <w:t>Publicarea contractului privind rețeaua primară de gestionare a combustibilului (Primary Fuel Management Breaks Structuring Network – RPFGC)</w:t>
            </w:r>
          </w:p>
        </w:tc>
      </w:tr>
      <w:tr w:rsidR="00A15990" w14:paraId="119565A8" w14:textId="77777777" w:rsidTr="004976DE">
        <w:trPr>
          <w:trHeight w:val="440"/>
        </w:trPr>
        <w:tc>
          <w:tcPr>
            <w:tcW w:w="1200" w:type="dxa"/>
            <w:shd w:val="clear" w:color="auto" w:fill="C4EFCE"/>
            <w:vAlign w:val="center"/>
            <w:hideMark/>
          </w:tcPr>
          <w:p w14:paraId="576F089D" w14:textId="77777777" w:rsidR="00A15990" w:rsidRDefault="00686A62" w:rsidP="004976DE">
            <w:pPr>
              <w:pStyle w:val="P68B1DB1-Normal23"/>
              <w:spacing w:after="0"/>
              <w:jc w:val="center"/>
              <w:rPr>
                <w:rFonts w:eastAsia="Calibri" w:cs="Calibri"/>
                <w:noProof/>
              </w:rPr>
            </w:pPr>
            <w:r>
              <w:rPr>
                <w:noProof/>
              </w:rPr>
              <w:t>9.9</w:t>
            </w:r>
          </w:p>
        </w:tc>
        <w:tc>
          <w:tcPr>
            <w:tcW w:w="1760" w:type="dxa"/>
            <w:shd w:val="clear" w:color="auto" w:fill="C4EFCE"/>
            <w:vAlign w:val="center"/>
            <w:hideMark/>
          </w:tcPr>
          <w:p w14:paraId="59AA53D0" w14:textId="77777777" w:rsidR="00A15990" w:rsidRDefault="00686A62" w:rsidP="004976DE">
            <w:pPr>
              <w:pStyle w:val="P68B1DB1-Normal23"/>
              <w:spacing w:after="0"/>
              <w:jc w:val="center"/>
              <w:rPr>
                <w:rFonts w:eastAsia="Calibri" w:cs="Calibri"/>
                <w:noProof/>
              </w:rPr>
            </w:pPr>
            <w:r>
              <w:rPr>
                <w:noProof/>
              </w:rPr>
              <w:t xml:space="preserve">RE-C09-i02 </w:t>
            </w:r>
          </w:p>
        </w:tc>
        <w:tc>
          <w:tcPr>
            <w:tcW w:w="1520" w:type="dxa"/>
            <w:shd w:val="clear" w:color="auto" w:fill="C4EFCE"/>
            <w:vAlign w:val="center"/>
            <w:hideMark/>
          </w:tcPr>
          <w:p w14:paraId="765E382A"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179D88CA" w14:textId="77777777" w:rsidR="00A15990" w:rsidRDefault="00686A62" w:rsidP="004976DE">
            <w:pPr>
              <w:pStyle w:val="P68B1DB1-Normal23"/>
              <w:spacing w:after="0"/>
              <w:jc w:val="both"/>
              <w:rPr>
                <w:rFonts w:eastAsia="Calibri" w:cs="Calibri"/>
                <w:noProof/>
              </w:rPr>
            </w:pPr>
            <w:r>
              <w:rPr>
                <w:noProof/>
              </w:rPr>
              <w:t>Publicarea documentației de planificare a măsurii, incluzând pe deplin orice rezultat și condiție din evaluarea impactului asupra mediului</w:t>
            </w:r>
          </w:p>
        </w:tc>
      </w:tr>
      <w:tr w:rsidR="00A15990" w14:paraId="22E0EAB1" w14:textId="77777777" w:rsidTr="004976DE">
        <w:trPr>
          <w:trHeight w:val="440"/>
        </w:trPr>
        <w:tc>
          <w:tcPr>
            <w:tcW w:w="1200" w:type="dxa"/>
            <w:shd w:val="clear" w:color="auto" w:fill="C4EFCE"/>
            <w:vAlign w:val="center"/>
            <w:hideMark/>
          </w:tcPr>
          <w:p w14:paraId="2B69A152" w14:textId="77777777" w:rsidR="00A15990" w:rsidRDefault="00686A62" w:rsidP="004976DE">
            <w:pPr>
              <w:pStyle w:val="P68B1DB1-Normal23"/>
              <w:spacing w:after="0"/>
              <w:jc w:val="center"/>
              <w:rPr>
                <w:rFonts w:eastAsia="Calibri" w:cs="Calibri"/>
                <w:noProof/>
              </w:rPr>
            </w:pPr>
            <w:r>
              <w:rPr>
                <w:noProof/>
              </w:rPr>
              <w:t>12.2</w:t>
            </w:r>
          </w:p>
        </w:tc>
        <w:tc>
          <w:tcPr>
            <w:tcW w:w="1760" w:type="dxa"/>
            <w:shd w:val="clear" w:color="auto" w:fill="C4EFCE"/>
            <w:vAlign w:val="center"/>
            <w:hideMark/>
          </w:tcPr>
          <w:p w14:paraId="0E5E7E9D" w14:textId="77777777" w:rsidR="00A15990" w:rsidRDefault="00686A62" w:rsidP="004976DE">
            <w:pPr>
              <w:pStyle w:val="P68B1DB1-Normal23"/>
              <w:spacing w:after="0"/>
              <w:jc w:val="center"/>
              <w:rPr>
                <w:rFonts w:eastAsia="Calibri" w:cs="Calibri"/>
                <w:noProof/>
              </w:rPr>
            </w:pPr>
            <w:r>
              <w:rPr>
                <w:noProof/>
              </w:rPr>
              <w:t xml:space="preserve">TC-C12-I01 </w:t>
            </w:r>
          </w:p>
        </w:tc>
        <w:tc>
          <w:tcPr>
            <w:tcW w:w="1520" w:type="dxa"/>
            <w:shd w:val="clear" w:color="auto" w:fill="C4EFCE"/>
            <w:vAlign w:val="center"/>
            <w:hideMark/>
          </w:tcPr>
          <w:p w14:paraId="5A2C0CDF"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66F6BDEC" w14:textId="77777777" w:rsidR="00A15990" w:rsidRDefault="00686A62" w:rsidP="004976DE">
            <w:pPr>
              <w:pStyle w:val="P68B1DB1-Normal23"/>
              <w:spacing w:after="0"/>
              <w:jc w:val="both"/>
              <w:rPr>
                <w:rFonts w:eastAsia="Calibri" w:cs="Calibri"/>
                <w:noProof/>
              </w:rPr>
            </w:pPr>
            <w:r>
              <w:rPr>
                <w:noProof/>
              </w:rPr>
              <w:t>Aprobarea proiectelor prezentate de consorțiile pentru dezvoltarea de noi produse, tehnologii și procese bioeconomice în sectoarele textilelor și îmbrăcămintei, încălțămintei și rășinii naturale</w:t>
            </w:r>
          </w:p>
        </w:tc>
      </w:tr>
      <w:tr w:rsidR="00A15990" w14:paraId="714F199C" w14:textId="77777777" w:rsidTr="004976DE">
        <w:trPr>
          <w:trHeight w:val="440"/>
        </w:trPr>
        <w:tc>
          <w:tcPr>
            <w:tcW w:w="1200" w:type="dxa"/>
            <w:shd w:val="clear" w:color="auto" w:fill="C4EFCE"/>
            <w:vAlign w:val="center"/>
            <w:hideMark/>
          </w:tcPr>
          <w:p w14:paraId="2998479E" w14:textId="77777777" w:rsidR="00A15990" w:rsidRDefault="00686A62" w:rsidP="004976DE">
            <w:pPr>
              <w:pStyle w:val="P68B1DB1-Normal23"/>
              <w:spacing w:after="0"/>
              <w:jc w:val="center"/>
              <w:rPr>
                <w:rFonts w:eastAsia="Calibri" w:cs="Calibri"/>
                <w:noProof/>
              </w:rPr>
            </w:pPr>
            <w:r>
              <w:rPr>
                <w:noProof/>
              </w:rPr>
              <w:t>15.10</w:t>
            </w:r>
          </w:p>
        </w:tc>
        <w:tc>
          <w:tcPr>
            <w:tcW w:w="1760" w:type="dxa"/>
            <w:shd w:val="clear" w:color="auto" w:fill="C4EFCE"/>
            <w:vAlign w:val="center"/>
            <w:hideMark/>
          </w:tcPr>
          <w:p w14:paraId="52003E88" w14:textId="77777777" w:rsidR="00A15990" w:rsidRDefault="00686A62" w:rsidP="004976DE">
            <w:pPr>
              <w:pStyle w:val="P68B1DB1-Normal23"/>
              <w:spacing w:after="0"/>
              <w:jc w:val="center"/>
              <w:rPr>
                <w:rFonts w:eastAsia="Calibri" w:cs="Calibri"/>
                <w:noProof/>
              </w:rPr>
            </w:pPr>
            <w:r>
              <w:rPr>
                <w:noProof/>
              </w:rPr>
              <w:t xml:space="preserve">TC-C15-I04 </w:t>
            </w:r>
          </w:p>
        </w:tc>
        <w:tc>
          <w:tcPr>
            <w:tcW w:w="1520" w:type="dxa"/>
            <w:shd w:val="clear" w:color="auto" w:fill="C4EFCE"/>
            <w:vAlign w:val="center"/>
            <w:hideMark/>
          </w:tcPr>
          <w:p w14:paraId="6E6BC1D8"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6F85E86" w14:textId="77777777" w:rsidR="00A15990" w:rsidRDefault="00686A62" w:rsidP="004976DE">
            <w:pPr>
              <w:pStyle w:val="P68B1DB1-Normal23"/>
              <w:spacing w:after="0"/>
              <w:jc w:val="both"/>
              <w:rPr>
                <w:rFonts w:eastAsia="Calibri" w:cs="Calibri"/>
                <w:noProof/>
              </w:rPr>
            </w:pPr>
            <w:r>
              <w:rPr>
                <w:noProof/>
              </w:rPr>
              <w:t>Semnarea contractului pentru construirea unei linii de tranzit rapid cu autobuzul între Praça do Império și Praça Albuquerque Mouzinho la Porto</w:t>
            </w:r>
          </w:p>
        </w:tc>
      </w:tr>
      <w:tr w:rsidR="00A15990" w14:paraId="533E7E79" w14:textId="77777777" w:rsidTr="004976DE">
        <w:trPr>
          <w:trHeight w:val="440"/>
        </w:trPr>
        <w:tc>
          <w:tcPr>
            <w:tcW w:w="1200" w:type="dxa"/>
            <w:shd w:val="clear" w:color="auto" w:fill="C4EFCE"/>
            <w:vAlign w:val="center"/>
            <w:hideMark/>
          </w:tcPr>
          <w:p w14:paraId="02967B33" w14:textId="77777777" w:rsidR="00A15990" w:rsidRDefault="00686A62" w:rsidP="004976DE">
            <w:pPr>
              <w:pStyle w:val="P68B1DB1-Normal23"/>
              <w:spacing w:after="0"/>
              <w:jc w:val="center"/>
              <w:rPr>
                <w:rFonts w:eastAsia="Calibri" w:cs="Calibri"/>
                <w:noProof/>
              </w:rPr>
            </w:pPr>
            <w:r>
              <w:rPr>
                <w:noProof/>
              </w:rPr>
              <w:t>16.1</w:t>
            </w:r>
          </w:p>
        </w:tc>
        <w:tc>
          <w:tcPr>
            <w:tcW w:w="1760" w:type="dxa"/>
            <w:shd w:val="clear" w:color="auto" w:fill="C4EFCE"/>
            <w:vAlign w:val="center"/>
            <w:hideMark/>
          </w:tcPr>
          <w:p w14:paraId="6200FB03" w14:textId="77777777" w:rsidR="00A15990" w:rsidRDefault="00686A62" w:rsidP="004976DE">
            <w:pPr>
              <w:pStyle w:val="P68B1DB1-Normal23"/>
              <w:spacing w:after="0"/>
              <w:jc w:val="center"/>
              <w:rPr>
                <w:rFonts w:eastAsia="Calibri" w:cs="Calibri"/>
                <w:noProof/>
              </w:rPr>
            </w:pPr>
            <w:r>
              <w:rPr>
                <w:noProof/>
              </w:rPr>
              <w:t xml:space="preserve">TD-C16-r31 </w:t>
            </w:r>
          </w:p>
        </w:tc>
        <w:tc>
          <w:tcPr>
            <w:tcW w:w="1520" w:type="dxa"/>
            <w:shd w:val="clear" w:color="auto" w:fill="C4EFCE"/>
            <w:vAlign w:val="center"/>
            <w:hideMark/>
          </w:tcPr>
          <w:p w14:paraId="5AAA97BA"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5D8BB228" w14:textId="77777777" w:rsidR="00A15990" w:rsidRDefault="00686A62" w:rsidP="004976DE">
            <w:pPr>
              <w:pStyle w:val="P68B1DB1-Normal23"/>
              <w:spacing w:after="0"/>
              <w:jc w:val="both"/>
              <w:rPr>
                <w:rFonts w:eastAsia="Calibri" w:cs="Calibri"/>
                <w:noProof/>
              </w:rPr>
            </w:pPr>
            <w:r>
              <w:rPr>
                <w:noProof/>
              </w:rPr>
              <w:t>Intrarea în vigoare a revizuirii conținutului formării inclus în Catalogul național al calificărilor în ceea ce privește modulele din domeniul competențelor digitale și legislația sau regulamentul pentru crearea semnăturilor și sigiliilor digitale</w:t>
            </w:r>
          </w:p>
        </w:tc>
      </w:tr>
      <w:tr w:rsidR="00A15990" w14:paraId="5CC4D3D1" w14:textId="77777777" w:rsidTr="004976DE">
        <w:trPr>
          <w:trHeight w:val="440"/>
        </w:trPr>
        <w:tc>
          <w:tcPr>
            <w:tcW w:w="1200" w:type="dxa"/>
            <w:shd w:val="clear" w:color="auto" w:fill="C4EFCE"/>
            <w:vAlign w:val="center"/>
            <w:hideMark/>
          </w:tcPr>
          <w:p w14:paraId="1F86CEE9" w14:textId="77777777" w:rsidR="00A15990" w:rsidRDefault="00686A62" w:rsidP="004976DE">
            <w:pPr>
              <w:pStyle w:val="P68B1DB1-Normal23"/>
              <w:spacing w:after="0"/>
              <w:jc w:val="center"/>
              <w:rPr>
                <w:rFonts w:eastAsia="Calibri" w:cs="Calibri"/>
                <w:noProof/>
              </w:rPr>
            </w:pPr>
            <w:r>
              <w:rPr>
                <w:noProof/>
              </w:rPr>
              <w:t>16.2</w:t>
            </w:r>
          </w:p>
        </w:tc>
        <w:tc>
          <w:tcPr>
            <w:tcW w:w="1760" w:type="dxa"/>
            <w:shd w:val="clear" w:color="auto" w:fill="C4EFCE"/>
            <w:vAlign w:val="center"/>
            <w:hideMark/>
          </w:tcPr>
          <w:p w14:paraId="11BC8A27" w14:textId="77777777" w:rsidR="00A15990" w:rsidRDefault="00686A62" w:rsidP="004976DE">
            <w:pPr>
              <w:pStyle w:val="P68B1DB1-Normal23"/>
              <w:spacing w:after="0"/>
              <w:jc w:val="center"/>
              <w:rPr>
                <w:rFonts w:eastAsia="Calibri" w:cs="Calibri"/>
                <w:noProof/>
              </w:rPr>
            </w:pPr>
            <w:r>
              <w:rPr>
                <w:noProof/>
              </w:rPr>
              <w:t xml:space="preserve">TD-C16-i01 </w:t>
            </w:r>
          </w:p>
        </w:tc>
        <w:tc>
          <w:tcPr>
            <w:tcW w:w="1520" w:type="dxa"/>
            <w:shd w:val="clear" w:color="auto" w:fill="C4EFCE"/>
            <w:vAlign w:val="center"/>
            <w:hideMark/>
          </w:tcPr>
          <w:p w14:paraId="090CB4EA"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47853812" w14:textId="77777777" w:rsidR="00A15990" w:rsidRDefault="00686A62" w:rsidP="004976DE">
            <w:pPr>
              <w:pStyle w:val="P68B1DB1-Normal23"/>
              <w:spacing w:after="0"/>
              <w:jc w:val="both"/>
              <w:rPr>
                <w:rFonts w:eastAsia="Calibri" w:cs="Calibri"/>
                <w:noProof/>
              </w:rPr>
            </w:pPr>
            <w:r>
              <w:rPr>
                <w:noProof/>
              </w:rPr>
              <w:t>Lansarea programelor „Academia digitală” din Portugalia și „Ocuparea forței de muncă + sectorul digital”</w:t>
            </w:r>
          </w:p>
        </w:tc>
      </w:tr>
      <w:tr w:rsidR="00A15990" w14:paraId="3200DC7C" w14:textId="77777777" w:rsidTr="004976DE">
        <w:trPr>
          <w:trHeight w:val="440"/>
        </w:trPr>
        <w:tc>
          <w:tcPr>
            <w:tcW w:w="1200" w:type="dxa"/>
            <w:shd w:val="clear" w:color="auto" w:fill="C4EFCE"/>
            <w:vAlign w:val="center"/>
            <w:hideMark/>
          </w:tcPr>
          <w:p w14:paraId="05FEEB7F" w14:textId="77777777" w:rsidR="00A15990" w:rsidRDefault="00686A62" w:rsidP="004976DE">
            <w:pPr>
              <w:pStyle w:val="P68B1DB1-Normal23"/>
              <w:spacing w:after="0"/>
              <w:jc w:val="center"/>
              <w:rPr>
                <w:rFonts w:eastAsia="Calibri" w:cs="Calibri"/>
                <w:noProof/>
              </w:rPr>
            </w:pPr>
            <w:r>
              <w:rPr>
                <w:noProof/>
              </w:rPr>
              <w:t>17.15</w:t>
            </w:r>
          </w:p>
        </w:tc>
        <w:tc>
          <w:tcPr>
            <w:tcW w:w="1760" w:type="dxa"/>
            <w:shd w:val="clear" w:color="auto" w:fill="C4EFCE"/>
            <w:vAlign w:val="center"/>
            <w:hideMark/>
          </w:tcPr>
          <w:p w14:paraId="1F9D1033" w14:textId="77777777" w:rsidR="00A15990" w:rsidRDefault="00686A62" w:rsidP="004976DE">
            <w:pPr>
              <w:pStyle w:val="P68B1DB1-Normal23"/>
              <w:spacing w:after="0"/>
              <w:jc w:val="center"/>
              <w:rPr>
                <w:rFonts w:eastAsia="Calibri" w:cs="Calibri"/>
                <w:noProof/>
              </w:rPr>
            </w:pPr>
            <w:r>
              <w:rPr>
                <w:noProof/>
              </w:rPr>
              <w:t xml:space="preserve">TD-C17-i02 </w:t>
            </w:r>
          </w:p>
        </w:tc>
        <w:tc>
          <w:tcPr>
            <w:tcW w:w="1520" w:type="dxa"/>
            <w:shd w:val="clear" w:color="auto" w:fill="C4EFCE"/>
            <w:vAlign w:val="center"/>
            <w:hideMark/>
          </w:tcPr>
          <w:p w14:paraId="67833CAE" w14:textId="77777777" w:rsidR="00A15990" w:rsidRDefault="00686A62" w:rsidP="004976DE">
            <w:pPr>
              <w:pStyle w:val="P68B1DB1-Normal23"/>
              <w:spacing w:after="0"/>
              <w:jc w:val="center"/>
              <w:rPr>
                <w:rFonts w:eastAsia="Calibri" w:cs="Calibri"/>
                <w:noProof/>
              </w:rPr>
            </w:pPr>
            <w:r>
              <w:rPr>
                <w:noProof/>
              </w:rPr>
              <w:t xml:space="preserve">M </w:t>
            </w:r>
          </w:p>
        </w:tc>
        <w:tc>
          <w:tcPr>
            <w:tcW w:w="5060" w:type="dxa"/>
            <w:shd w:val="clear" w:color="auto" w:fill="C4EFCE"/>
            <w:vAlign w:val="center"/>
            <w:hideMark/>
          </w:tcPr>
          <w:p w14:paraId="30BBDC58" w14:textId="77777777" w:rsidR="00A15990" w:rsidRDefault="00686A62" w:rsidP="004976DE">
            <w:pPr>
              <w:pStyle w:val="P68B1DB1-Normal23"/>
              <w:spacing w:after="0"/>
              <w:jc w:val="both"/>
              <w:rPr>
                <w:rFonts w:eastAsia="Calibri" w:cs="Calibri"/>
                <w:noProof/>
              </w:rPr>
            </w:pPr>
            <w:r>
              <w:rPr>
                <w:noProof/>
              </w:rPr>
              <w:t>Finalizarea punerii în aplicare a completării prealabile a modelului 1 de declarație privind impozitul municipal pe bunuri imobile (IMI), pe baza datelor de care dispune autoritatea fiscală și vamală</w:t>
            </w:r>
          </w:p>
        </w:tc>
      </w:tr>
      <w:tr w:rsidR="00A15990" w14:paraId="67713344" w14:textId="77777777" w:rsidTr="004976DE">
        <w:trPr>
          <w:trHeight w:val="440"/>
        </w:trPr>
        <w:tc>
          <w:tcPr>
            <w:tcW w:w="1200" w:type="dxa"/>
            <w:shd w:val="clear" w:color="auto" w:fill="C4EFCE"/>
            <w:vAlign w:val="center"/>
            <w:hideMark/>
          </w:tcPr>
          <w:p w14:paraId="66174395" w14:textId="77777777" w:rsidR="00A15990" w:rsidRDefault="00686A62" w:rsidP="004976DE">
            <w:pPr>
              <w:pStyle w:val="P68B1DB1-Normal23"/>
              <w:spacing w:after="0"/>
              <w:jc w:val="center"/>
              <w:rPr>
                <w:rFonts w:eastAsia="Calibri" w:cs="Calibri"/>
                <w:noProof/>
              </w:rPr>
            </w:pPr>
            <w:r>
              <w:rPr>
                <w:noProof/>
              </w:rPr>
              <w:t>19.11</w:t>
            </w:r>
          </w:p>
        </w:tc>
        <w:tc>
          <w:tcPr>
            <w:tcW w:w="1760" w:type="dxa"/>
            <w:shd w:val="clear" w:color="auto" w:fill="C4EFCE"/>
            <w:vAlign w:val="center"/>
            <w:hideMark/>
          </w:tcPr>
          <w:p w14:paraId="2588905C" w14:textId="77777777" w:rsidR="00A15990" w:rsidRDefault="00686A62" w:rsidP="004976DE">
            <w:pPr>
              <w:pStyle w:val="P68B1DB1-Normal23"/>
              <w:spacing w:after="0"/>
              <w:jc w:val="center"/>
              <w:rPr>
                <w:rFonts w:eastAsia="Calibri" w:cs="Calibri"/>
                <w:noProof/>
              </w:rPr>
            </w:pPr>
            <w:r>
              <w:rPr>
                <w:noProof/>
              </w:rPr>
              <w:t xml:space="preserve">TD-C19-i04 </w:t>
            </w:r>
          </w:p>
        </w:tc>
        <w:tc>
          <w:tcPr>
            <w:tcW w:w="1520" w:type="dxa"/>
            <w:shd w:val="clear" w:color="auto" w:fill="C4EFCE"/>
            <w:vAlign w:val="center"/>
            <w:hideMark/>
          </w:tcPr>
          <w:p w14:paraId="0316DC1D" w14:textId="77777777" w:rsidR="00A15990" w:rsidRDefault="00686A62" w:rsidP="004976DE">
            <w:pPr>
              <w:pStyle w:val="P68B1DB1-Normal23"/>
              <w:spacing w:after="0"/>
              <w:jc w:val="center"/>
              <w:rPr>
                <w:rFonts w:eastAsia="Calibri" w:cs="Calibri"/>
                <w:noProof/>
              </w:rPr>
            </w:pPr>
            <w:r>
              <w:rPr>
                <w:noProof/>
              </w:rPr>
              <w:t xml:space="preserve">T </w:t>
            </w:r>
          </w:p>
        </w:tc>
        <w:tc>
          <w:tcPr>
            <w:tcW w:w="5060" w:type="dxa"/>
            <w:shd w:val="clear" w:color="auto" w:fill="C4EFCE"/>
            <w:vAlign w:val="center"/>
            <w:hideMark/>
          </w:tcPr>
          <w:p w14:paraId="1F06EAFA" w14:textId="77777777" w:rsidR="00A15990" w:rsidRDefault="00686A62" w:rsidP="004976DE">
            <w:pPr>
              <w:pStyle w:val="P68B1DB1-Normal23"/>
              <w:spacing w:after="0"/>
              <w:jc w:val="both"/>
              <w:rPr>
                <w:rFonts w:eastAsia="Calibri" w:cs="Calibri"/>
                <w:noProof/>
              </w:rPr>
            </w:pPr>
            <w:r>
              <w:rPr>
                <w:noProof/>
              </w:rPr>
              <w:t>Sistem securizat de comunicații mobile pentru angajații administrațiilor publice</w:t>
            </w:r>
          </w:p>
        </w:tc>
      </w:tr>
      <w:tr w:rsidR="00A15990" w14:paraId="53A0C5D6" w14:textId="77777777" w:rsidTr="004976DE">
        <w:trPr>
          <w:trHeight w:val="440"/>
        </w:trPr>
        <w:tc>
          <w:tcPr>
            <w:tcW w:w="1200" w:type="dxa"/>
            <w:shd w:val="clear" w:color="auto" w:fill="C4EFCE"/>
            <w:vAlign w:val="center"/>
            <w:hideMark/>
          </w:tcPr>
          <w:p w14:paraId="7CC89C41" w14:textId="77777777" w:rsidR="00A15990" w:rsidRDefault="00686A62" w:rsidP="004976DE">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371F60AD" w14:textId="77777777" w:rsidR="00A15990" w:rsidRDefault="00686A62" w:rsidP="004976DE">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49CC9873" w14:textId="77777777" w:rsidR="00A15990" w:rsidRDefault="00686A62" w:rsidP="004976DE">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4901582E" w14:textId="2E4933F5" w:rsidR="00A15990" w:rsidRDefault="00686A62" w:rsidP="004976DE">
            <w:pPr>
              <w:pStyle w:val="P68B1DB1-Normal25"/>
              <w:spacing w:after="0" w:line="240" w:lineRule="auto"/>
              <w:jc w:val="center"/>
              <w:rPr>
                <w:rFonts w:cs="Calibri"/>
                <w:noProof/>
              </w:rPr>
            </w:pPr>
            <w:r>
              <w:rPr>
                <w:noProof/>
              </w:rPr>
              <w:t xml:space="preserve"> 1 967 365 517 MIL.</w:t>
            </w:r>
          </w:p>
        </w:tc>
      </w:tr>
    </w:tbl>
    <w:p w14:paraId="59D27683" w14:textId="28B3CCCB" w:rsidR="00A15990" w:rsidRDefault="004976DE">
      <w:pPr>
        <w:keepNext/>
        <w:spacing w:before="40" w:after="0" w:line="259" w:lineRule="auto"/>
        <w:jc w:val="both"/>
        <w:rPr>
          <w:rFonts w:ascii="Times New Roman" w:eastAsiaTheme="minorEastAsia" w:hAnsi="Times New Roman" w:cs="Times New Roman"/>
          <w:noProof/>
          <w:sz w:val="24"/>
        </w:rPr>
      </w:pPr>
      <w:r>
        <w:rPr>
          <w:rFonts w:ascii="Times New Roman" w:eastAsiaTheme="minorEastAsia" w:hAnsi="Times New Roman" w:cs="Times New Roman"/>
          <w:noProof/>
          <w:sz w:val="24"/>
        </w:rPr>
        <w:br w:type="textWrapping" w:clear="all"/>
      </w:r>
    </w:p>
    <w:p w14:paraId="7A195C46"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treia cerere de plată (sprijin nerambursabil): </w:t>
      </w:r>
    </w:p>
    <w:p w14:paraId="39F5DDB8"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1430A9DC" w14:textId="77777777">
        <w:trPr>
          <w:trHeight w:val="1018"/>
          <w:tblHeader/>
        </w:trPr>
        <w:tc>
          <w:tcPr>
            <w:tcW w:w="1200" w:type="dxa"/>
            <w:shd w:val="clear" w:color="auto" w:fill="BDD7EE"/>
            <w:vAlign w:val="center"/>
            <w:hideMark/>
          </w:tcPr>
          <w:p w14:paraId="2847B217"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shd w:val="clear" w:color="auto" w:fill="BDD7EE"/>
            <w:vAlign w:val="center"/>
            <w:hideMark/>
          </w:tcPr>
          <w:p w14:paraId="6187D274"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shd w:val="clear" w:color="auto" w:fill="BDD7EE"/>
            <w:vAlign w:val="center"/>
            <w:hideMark/>
          </w:tcPr>
          <w:p w14:paraId="32A18B87" w14:textId="5DCED4B4"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shd w:val="clear" w:color="auto" w:fill="BDD7EE"/>
            <w:vAlign w:val="center"/>
            <w:hideMark/>
          </w:tcPr>
          <w:p w14:paraId="7A727648"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433173AD" w14:textId="77777777">
        <w:trPr>
          <w:trHeight w:val="440"/>
        </w:trPr>
        <w:tc>
          <w:tcPr>
            <w:tcW w:w="1200" w:type="dxa"/>
            <w:shd w:val="clear" w:color="auto" w:fill="C4EFCE"/>
            <w:vAlign w:val="center"/>
            <w:hideMark/>
          </w:tcPr>
          <w:p w14:paraId="29F12095" w14:textId="77777777" w:rsidR="00A15990" w:rsidRDefault="00686A62">
            <w:pPr>
              <w:pStyle w:val="P68B1DB1-Normal23"/>
              <w:spacing w:after="0"/>
              <w:jc w:val="center"/>
              <w:rPr>
                <w:noProof/>
              </w:rPr>
            </w:pPr>
            <w:r>
              <w:rPr>
                <w:noProof/>
              </w:rPr>
              <w:t>1.3</w:t>
            </w:r>
          </w:p>
        </w:tc>
        <w:tc>
          <w:tcPr>
            <w:tcW w:w="1760" w:type="dxa"/>
            <w:shd w:val="clear" w:color="auto" w:fill="C4EFCE"/>
            <w:vAlign w:val="center"/>
            <w:hideMark/>
          </w:tcPr>
          <w:p w14:paraId="227BCECB" w14:textId="77777777" w:rsidR="00A15990" w:rsidRDefault="00686A62">
            <w:pPr>
              <w:pStyle w:val="P68B1DB1-Normal23"/>
              <w:spacing w:after="0"/>
              <w:jc w:val="center"/>
              <w:rPr>
                <w:noProof/>
              </w:rPr>
            </w:pPr>
            <w:r>
              <w:rPr>
                <w:noProof/>
              </w:rPr>
              <w:t xml:space="preserve">RE-C01-r01 </w:t>
            </w:r>
          </w:p>
        </w:tc>
        <w:tc>
          <w:tcPr>
            <w:tcW w:w="1520" w:type="dxa"/>
            <w:shd w:val="clear" w:color="auto" w:fill="C4EFCE"/>
            <w:vAlign w:val="center"/>
            <w:hideMark/>
          </w:tcPr>
          <w:p w14:paraId="02B91359"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127E965" w14:textId="77777777" w:rsidR="00A15990" w:rsidRDefault="00686A62">
            <w:pPr>
              <w:pStyle w:val="P68B1DB1-Normal23"/>
              <w:spacing w:after="0"/>
              <w:jc w:val="both"/>
              <w:rPr>
                <w:rFonts w:eastAsia="Calibri" w:cs="Calibri"/>
                <w:noProof/>
              </w:rPr>
            </w:pPr>
            <w:r>
              <w:rPr>
                <w:noProof/>
              </w:rPr>
              <w:t>Finalizarea procesului de descentralizare a responsabilităților în domeniul sănătății în municipalități</w:t>
            </w:r>
          </w:p>
        </w:tc>
      </w:tr>
      <w:tr w:rsidR="00A15990" w14:paraId="35C8B374" w14:textId="77777777">
        <w:trPr>
          <w:trHeight w:val="440"/>
        </w:trPr>
        <w:tc>
          <w:tcPr>
            <w:tcW w:w="1200" w:type="dxa"/>
            <w:shd w:val="clear" w:color="auto" w:fill="C4EFCE"/>
            <w:vAlign w:val="center"/>
            <w:hideMark/>
          </w:tcPr>
          <w:p w14:paraId="5B2F963A" w14:textId="77777777" w:rsidR="00A15990" w:rsidRDefault="00686A62">
            <w:pPr>
              <w:pStyle w:val="P68B1DB1-Normal23"/>
              <w:spacing w:after="0"/>
              <w:jc w:val="center"/>
              <w:rPr>
                <w:noProof/>
              </w:rPr>
            </w:pPr>
            <w:r>
              <w:rPr>
                <w:noProof/>
              </w:rPr>
              <w:t>1.8</w:t>
            </w:r>
          </w:p>
        </w:tc>
        <w:tc>
          <w:tcPr>
            <w:tcW w:w="1760" w:type="dxa"/>
            <w:shd w:val="clear" w:color="auto" w:fill="C4EFCE"/>
            <w:vAlign w:val="center"/>
            <w:hideMark/>
          </w:tcPr>
          <w:p w14:paraId="4BA31BDE" w14:textId="77777777" w:rsidR="00A15990" w:rsidRDefault="00686A62">
            <w:pPr>
              <w:pStyle w:val="P68B1DB1-Normal23"/>
              <w:spacing w:after="0"/>
              <w:jc w:val="center"/>
              <w:rPr>
                <w:noProof/>
              </w:rPr>
            </w:pPr>
            <w:r>
              <w:rPr>
                <w:noProof/>
              </w:rPr>
              <w:t xml:space="preserve">RE-C01-r03 </w:t>
            </w:r>
          </w:p>
        </w:tc>
        <w:tc>
          <w:tcPr>
            <w:tcW w:w="1520" w:type="dxa"/>
            <w:shd w:val="clear" w:color="auto" w:fill="C4EFCE"/>
            <w:vAlign w:val="center"/>
            <w:hideMark/>
          </w:tcPr>
          <w:p w14:paraId="4B70E399"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D83727" w14:textId="77777777" w:rsidR="00A15990" w:rsidRDefault="00686A62">
            <w:pPr>
              <w:pStyle w:val="P68B1DB1-Normal23"/>
              <w:spacing w:after="0"/>
              <w:jc w:val="both"/>
              <w:rPr>
                <w:rFonts w:eastAsia="Calibri" w:cs="Calibri"/>
                <w:noProof/>
              </w:rPr>
            </w:pPr>
            <w:r>
              <w:rPr>
                <w:noProof/>
              </w:rPr>
              <w:t>Înființarea de noi centre integrate de responsabilitate în spitalele Serviciului Național de Sănătate</w:t>
            </w:r>
          </w:p>
        </w:tc>
      </w:tr>
      <w:tr w:rsidR="00A15990" w14:paraId="612E7BD9" w14:textId="77777777">
        <w:trPr>
          <w:trHeight w:val="440"/>
        </w:trPr>
        <w:tc>
          <w:tcPr>
            <w:tcW w:w="1200" w:type="dxa"/>
            <w:shd w:val="clear" w:color="auto" w:fill="C4EFCE"/>
            <w:vAlign w:val="center"/>
            <w:hideMark/>
          </w:tcPr>
          <w:p w14:paraId="6F992C46" w14:textId="77777777" w:rsidR="00A15990" w:rsidRDefault="00686A62">
            <w:pPr>
              <w:pStyle w:val="P68B1DB1-Normal23"/>
              <w:spacing w:after="0"/>
              <w:jc w:val="center"/>
              <w:rPr>
                <w:noProof/>
              </w:rPr>
            </w:pPr>
            <w:r>
              <w:rPr>
                <w:noProof/>
              </w:rPr>
              <w:t>1.24</w:t>
            </w:r>
          </w:p>
        </w:tc>
        <w:tc>
          <w:tcPr>
            <w:tcW w:w="1760" w:type="dxa"/>
            <w:shd w:val="clear" w:color="auto" w:fill="C4EFCE"/>
            <w:vAlign w:val="center"/>
            <w:hideMark/>
          </w:tcPr>
          <w:p w14:paraId="6244700A" w14:textId="77777777" w:rsidR="00A15990" w:rsidRDefault="00686A62">
            <w:pPr>
              <w:pStyle w:val="P68B1DB1-Normal23"/>
              <w:spacing w:after="0"/>
              <w:jc w:val="center"/>
              <w:rPr>
                <w:noProof/>
              </w:rPr>
            </w:pPr>
            <w:r>
              <w:rPr>
                <w:noProof/>
              </w:rPr>
              <w:t xml:space="preserve">RE-C01-i03 </w:t>
            </w:r>
          </w:p>
        </w:tc>
        <w:tc>
          <w:tcPr>
            <w:tcW w:w="1520" w:type="dxa"/>
            <w:shd w:val="clear" w:color="auto" w:fill="C4EFCE"/>
            <w:vAlign w:val="center"/>
            <w:hideMark/>
          </w:tcPr>
          <w:p w14:paraId="768B1E26"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21094EF" w14:textId="77777777" w:rsidR="00A15990" w:rsidRDefault="00686A62">
            <w:pPr>
              <w:pStyle w:val="P68B1DB1-Normal23"/>
              <w:spacing w:after="0"/>
              <w:jc w:val="both"/>
              <w:rPr>
                <w:rFonts w:eastAsia="Calibri" w:cs="Calibri"/>
                <w:noProof/>
              </w:rPr>
            </w:pPr>
            <w:r>
              <w:rPr>
                <w:noProof/>
              </w:rPr>
              <w:t>Dezvoltarea unor acțiuni de sensibilizare și de formare pentru „construirea parcursurilor pacienților” în contextul demențelor</w:t>
            </w:r>
          </w:p>
        </w:tc>
      </w:tr>
      <w:tr w:rsidR="00A15990" w14:paraId="16774000" w14:textId="77777777">
        <w:trPr>
          <w:trHeight w:val="440"/>
        </w:trPr>
        <w:tc>
          <w:tcPr>
            <w:tcW w:w="1200" w:type="dxa"/>
            <w:shd w:val="clear" w:color="auto" w:fill="C4EFCE"/>
            <w:vAlign w:val="center"/>
            <w:hideMark/>
          </w:tcPr>
          <w:p w14:paraId="4F522AAB" w14:textId="77777777" w:rsidR="00A15990" w:rsidRDefault="00686A62">
            <w:pPr>
              <w:pStyle w:val="P68B1DB1-Normal23"/>
              <w:spacing w:after="0"/>
              <w:jc w:val="center"/>
              <w:rPr>
                <w:noProof/>
              </w:rPr>
            </w:pPr>
            <w:r>
              <w:rPr>
                <w:noProof/>
              </w:rPr>
              <w:t>1.32</w:t>
            </w:r>
          </w:p>
        </w:tc>
        <w:tc>
          <w:tcPr>
            <w:tcW w:w="1760" w:type="dxa"/>
            <w:shd w:val="clear" w:color="auto" w:fill="C4EFCE"/>
            <w:vAlign w:val="center"/>
            <w:hideMark/>
          </w:tcPr>
          <w:p w14:paraId="1E3BBF1C" w14:textId="77777777" w:rsidR="00A15990" w:rsidRDefault="00686A62">
            <w:pPr>
              <w:pStyle w:val="P68B1DB1-Normal23"/>
              <w:spacing w:after="0"/>
              <w:jc w:val="center"/>
              <w:rPr>
                <w:noProof/>
              </w:rPr>
            </w:pPr>
            <w:r>
              <w:rPr>
                <w:noProof/>
              </w:rPr>
              <w:t xml:space="preserve">RE-C01-i06 </w:t>
            </w:r>
          </w:p>
        </w:tc>
        <w:tc>
          <w:tcPr>
            <w:tcW w:w="1520" w:type="dxa"/>
            <w:shd w:val="clear" w:color="auto" w:fill="C4EFCE"/>
            <w:vAlign w:val="center"/>
            <w:hideMark/>
          </w:tcPr>
          <w:p w14:paraId="751F589B"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E971E6E" w14:textId="77777777" w:rsidR="00A15990" w:rsidRDefault="00686A62">
            <w:pPr>
              <w:pStyle w:val="P68B1DB1-Normal23"/>
              <w:spacing w:after="0"/>
              <w:jc w:val="both"/>
              <w:rPr>
                <w:rFonts w:eastAsia="Calibri" w:cs="Calibri"/>
                <w:noProof/>
              </w:rPr>
            </w:pPr>
            <w:r>
              <w:rPr>
                <w:noProof/>
              </w:rPr>
              <w:t>Modernizarea rețelelor locale de tehnologie a informației</w:t>
            </w:r>
          </w:p>
        </w:tc>
      </w:tr>
      <w:tr w:rsidR="00A15990" w14:paraId="30A3EA71" w14:textId="77777777">
        <w:trPr>
          <w:trHeight w:val="440"/>
        </w:trPr>
        <w:tc>
          <w:tcPr>
            <w:tcW w:w="1200" w:type="dxa"/>
            <w:shd w:val="clear" w:color="auto" w:fill="C4EFCE"/>
            <w:vAlign w:val="center"/>
            <w:hideMark/>
          </w:tcPr>
          <w:p w14:paraId="77DEF1E6" w14:textId="77777777" w:rsidR="00A15990" w:rsidRDefault="00686A62">
            <w:pPr>
              <w:pStyle w:val="P68B1DB1-Normal23"/>
              <w:spacing w:after="0"/>
              <w:jc w:val="center"/>
              <w:rPr>
                <w:noProof/>
              </w:rPr>
            </w:pPr>
            <w:r>
              <w:rPr>
                <w:noProof/>
              </w:rPr>
              <w:t>1.33</w:t>
            </w:r>
          </w:p>
        </w:tc>
        <w:tc>
          <w:tcPr>
            <w:tcW w:w="1760" w:type="dxa"/>
            <w:shd w:val="clear" w:color="auto" w:fill="C4EFCE"/>
            <w:vAlign w:val="center"/>
            <w:hideMark/>
          </w:tcPr>
          <w:p w14:paraId="3EF303B5" w14:textId="77777777" w:rsidR="00A15990" w:rsidRDefault="00686A62">
            <w:pPr>
              <w:pStyle w:val="P68B1DB1-Normal23"/>
              <w:spacing w:after="0"/>
              <w:jc w:val="center"/>
              <w:rPr>
                <w:noProof/>
              </w:rPr>
            </w:pPr>
            <w:r>
              <w:rPr>
                <w:noProof/>
              </w:rPr>
              <w:t xml:space="preserve">RE-C01-i06 </w:t>
            </w:r>
          </w:p>
        </w:tc>
        <w:tc>
          <w:tcPr>
            <w:tcW w:w="1520" w:type="dxa"/>
            <w:shd w:val="clear" w:color="auto" w:fill="C4EFCE"/>
            <w:vAlign w:val="center"/>
            <w:hideMark/>
          </w:tcPr>
          <w:p w14:paraId="0BE21A0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0D9898" w14:textId="77777777" w:rsidR="00A15990" w:rsidRDefault="00686A62">
            <w:pPr>
              <w:pStyle w:val="P68B1DB1-Normal23"/>
              <w:spacing w:after="0"/>
              <w:jc w:val="both"/>
              <w:rPr>
                <w:rFonts w:eastAsia="Calibri" w:cs="Calibri"/>
                <w:noProof/>
              </w:rPr>
            </w:pPr>
            <w:r>
              <w:rPr>
                <w:noProof/>
              </w:rPr>
              <w:t>Implementarea funcționalităților pentru telesănătate și telemonitorizare</w:t>
            </w:r>
          </w:p>
        </w:tc>
      </w:tr>
      <w:tr w:rsidR="00A15990" w14:paraId="32F2658E" w14:textId="77777777">
        <w:trPr>
          <w:trHeight w:val="440"/>
        </w:trPr>
        <w:tc>
          <w:tcPr>
            <w:tcW w:w="1200" w:type="dxa"/>
            <w:shd w:val="clear" w:color="auto" w:fill="C4EFCE"/>
            <w:vAlign w:val="center"/>
            <w:hideMark/>
          </w:tcPr>
          <w:p w14:paraId="1B65C832" w14:textId="77777777" w:rsidR="00A15990" w:rsidRDefault="00686A62">
            <w:pPr>
              <w:pStyle w:val="P68B1DB1-Normal23"/>
              <w:spacing w:after="0"/>
              <w:jc w:val="center"/>
              <w:rPr>
                <w:noProof/>
              </w:rPr>
            </w:pPr>
            <w:r>
              <w:rPr>
                <w:noProof/>
              </w:rPr>
              <w:t>2.1</w:t>
            </w:r>
          </w:p>
        </w:tc>
        <w:tc>
          <w:tcPr>
            <w:tcW w:w="1760" w:type="dxa"/>
            <w:shd w:val="clear" w:color="auto" w:fill="C4EFCE"/>
            <w:vAlign w:val="center"/>
            <w:hideMark/>
          </w:tcPr>
          <w:p w14:paraId="2ABDE328" w14:textId="77777777" w:rsidR="00A15990" w:rsidRDefault="00686A62">
            <w:pPr>
              <w:pStyle w:val="P68B1DB1-Normal23"/>
              <w:spacing w:after="0"/>
              <w:jc w:val="center"/>
              <w:rPr>
                <w:noProof/>
              </w:rPr>
            </w:pPr>
            <w:r>
              <w:rPr>
                <w:noProof/>
              </w:rPr>
              <w:t xml:space="preserve">RE-C02-i01 </w:t>
            </w:r>
          </w:p>
        </w:tc>
        <w:tc>
          <w:tcPr>
            <w:tcW w:w="1520" w:type="dxa"/>
            <w:shd w:val="clear" w:color="auto" w:fill="C4EFCE"/>
            <w:vAlign w:val="center"/>
            <w:hideMark/>
          </w:tcPr>
          <w:p w14:paraId="51C049D3"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8DD0AC1" w14:textId="77777777" w:rsidR="00A15990" w:rsidRDefault="00686A62">
            <w:pPr>
              <w:pStyle w:val="P68B1DB1-Normal23"/>
              <w:spacing w:after="0"/>
              <w:jc w:val="both"/>
              <w:rPr>
                <w:rFonts w:eastAsia="Calibri" w:cs="Calibri"/>
                <w:noProof/>
              </w:rPr>
            </w:pPr>
            <w:r>
              <w:rPr>
                <w:noProof/>
              </w:rPr>
              <w:t>Program de sprijin pentru accesul la locuințe – semnarea unor acorduri de colaborare sau de finanțare</w:t>
            </w:r>
          </w:p>
        </w:tc>
      </w:tr>
      <w:tr w:rsidR="00A15990" w14:paraId="1B2D04E4" w14:textId="77777777">
        <w:trPr>
          <w:trHeight w:val="440"/>
        </w:trPr>
        <w:tc>
          <w:tcPr>
            <w:tcW w:w="1200" w:type="dxa"/>
            <w:shd w:val="clear" w:color="auto" w:fill="C4EFCE"/>
            <w:vAlign w:val="center"/>
            <w:hideMark/>
          </w:tcPr>
          <w:p w14:paraId="182ED174" w14:textId="77777777" w:rsidR="00A15990" w:rsidRDefault="00686A62">
            <w:pPr>
              <w:pStyle w:val="P68B1DB1-Normal23"/>
              <w:spacing w:after="0"/>
              <w:jc w:val="center"/>
              <w:rPr>
                <w:noProof/>
              </w:rPr>
            </w:pPr>
            <w:r>
              <w:rPr>
                <w:noProof/>
              </w:rPr>
              <w:t>2.4</w:t>
            </w:r>
          </w:p>
        </w:tc>
        <w:tc>
          <w:tcPr>
            <w:tcW w:w="1760" w:type="dxa"/>
            <w:shd w:val="clear" w:color="auto" w:fill="C4EFCE"/>
            <w:vAlign w:val="center"/>
            <w:hideMark/>
          </w:tcPr>
          <w:p w14:paraId="572612F3" w14:textId="77777777" w:rsidR="00A15990" w:rsidRDefault="00686A62">
            <w:pPr>
              <w:pStyle w:val="P68B1DB1-Normal23"/>
              <w:spacing w:after="0"/>
              <w:jc w:val="center"/>
              <w:rPr>
                <w:noProof/>
              </w:rPr>
            </w:pPr>
            <w:r>
              <w:rPr>
                <w:noProof/>
              </w:rPr>
              <w:t xml:space="preserve">RE-C02-i02 </w:t>
            </w:r>
          </w:p>
        </w:tc>
        <w:tc>
          <w:tcPr>
            <w:tcW w:w="1520" w:type="dxa"/>
            <w:shd w:val="clear" w:color="auto" w:fill="C4EFCE"/>
            <w:vAlign w:val="center"/>
            <w:hideMark/>
          </w:tcPr>
          <w:p w14:paraId="6AB1DCE0"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4736D18" w14:textId="77777777" w:rsidR="00A15990" w:rsidRDefault="00686A62">
            <w:pPr>
              <w:pStyle w:val="P68B1DB1-Normal23"/>
              <w:spacing w:after="0"/>
              <w:jc w:val="both"/>
              <w:rPr>
                <w:rFonts w:eastAsia="Calibri" w:cs="Calibri"/>
                <w:noProof/>
              </w:rPr>
            </w:pPr>
            <w:r>
              <w:rPr>
                <w:noProof/>
              </w:rPr>
              <w:t>Ajutor național de urgență și temporar pentru cazare – Semnarea acordurilor de finanțare pentru cazarea de urgență și de tranziție</w:t>
            </w:r>
          </w:p>
        </w:tc>
      </w:tr>
      <w:tr w:rsidR="00A15990" w14:paraId="193180B9" w14:textId="77777777">
        <w:trPr>
          <w:trHeight w:val="440"/>
        </w:trPr>
        <w:tc>
          <w:tcPr>
            <w:tcW w:w="1200" w:type="dxa"/>
            <w:shd w:val="clear" w:color="auto" w:fill="C4EFCE"/>
            <w:vAlign w:val="center"/>
            <w:hideMark/>
          </w:tcPr>
          <w:p w14:paraId="29216A22" w14:textId="77777777" w:rsidR="00A15990" w:rsidRDefault="00686A62">
            <w:pPr>
              <w:pStyle w:val="P68B1DB1-Normal23"/>
              <w:spacing w:after="0"/>
              <w:jc w:val="center"/>
              <w:rPr>
                <w:noProof/>
              </w:rPr>
            </w:pPr>
            <w:r>
              <w:rPr>
                <w:noProof/>
              </w:rPr>
              <w:t>3.11</w:t>
            </w:r>
          </w:p>
        </w:tc>
        <w:tc>
          <w:tcPr>
            <w:tcW w:w="1760" w:type="dxa"/>
            <w:shd w:val="clear" w:color="auto" w:fill="C4EFCE"/>
            <w:vAlign w:val="center"/>
            <w:hideMark/>
          </w:tcPr>
          <w:p w14:paraId="01F162E3" w14:textId="77777777" w:rsidR="00A15990" w:rsidRDefault="00686A62">
            <w:pPr>
              <w:pStyle w:val="P68B1DB1-Normal23"/>
              <w:spacing w:after="0"/>
              <w:jc w:val="center"/>
              <w:rPr>
                <w:noProof/>
              </w:rPr>
            </w:pPr>
            <w:r>
              <w:rPr>
                <w:noProof/>
              </w:rPr>
              <w:t xml:space="preserve">RE-C03-i03-RAM </w:t>
            </w:r>
          </w:p>
        </w:tc>
        <w:tc>
          <w:tcPr>
            <w:tcW w:w="1520" w:type="dxa"/>
            <w:shd w:val="clear" w:color="auto" w:fill="C4EFCE"/>
            <w:vAlign w:val="center"/>
            <w:hideMark/>
          </w:tcPr>
          <w:p w14:paraId="246B4B59"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336679B" w14:textId="77777777" w:rsidR="00A15990" w:rsidRDefault="00686A62">
            <w:pPr>
              <w:pStyle w:val="P68B1DB1-Normal23"/>
              <w:spacing w:after="0"/>
              <w:jc w:val="both"/>
              <w:rPr>
                <w:rFonts w:eastAsia="Calibri" w:cs="Calibri"/>
                <w:noProof/>
              </w:rPr>
            </w:pPr>
            <w:r>
              <w:rPr>
                <w:noProof/>
              </w:rPr>
              <w:t>Planurile LIFE pentru integrarea persoanelor fără adăpost.</w:t>
            </w:r>
          </w:p>
        </w:tc>
      </w:tr>
      <w:tr w:rsidR="00A15990" w14:paraId="0BC61039" w14:textId="77777777">
        <w:trPr>
          <w:trHeight w:val="440"/>
        </w:trPr>
        <w:tc>
          <w:tcPr>
            <w:tcW w:w="1200" w:type="dxa"/>
            <w:shd w:val="clear" w:color="auto" w:fill="C4EFCE"/>
            <w:vAlign w:val="center"/>
            <w:hideMark/>
          </w:tcPr>
          <w:p w14:paraId="1B2403C3" w14:textId="77777777" w:rsidR="00A15990" w:rsidRDefault="00686A62">
            <w:pPr>
              <w:pStyle w:val="P68B1DB1-Normal23"/>
              <w:spacing w:after="0"/>
              <w:jc w:val="center"/>
              <w:rPr>
                <w:noProof/>
              </w:rPr>
            </w:pPr>
            <w:r>
              <w:rPr>
                <w:noProof/>
              </w:rPr>
              <w:t>4.6</w:t>
            </w:r>
          </w:p>
        </w:tc>
        <w:tc>
          <w:tcPr>
            <w:tcW w:w="1760" w:type="dxa"/>
            <w:shd w:val="clear" w:color="auto" w:fill="C4EFCE"/>
            <w:vAlign w:val="center"/>
            <w:hideMark/>
          </w:tcPr>
          <w:p w14:paraId="4FB11F6A" w14:textId="292D12E2" w:rsidR="00A15990" w:rsidRDefault="00686A62">
            <w:pPr>
              <w:pStyle w:val="P68B1DB1-Normal23"/>
              <w:spacing w:after="0"/>
              <w:jc w:val="center"/>
              <w:rPr>
                <w:noProof/>
              </w:rPr>
            </w:pPr>
            <w:r>
              <w:rPr>
                <w:noProof/>
              </w:rPr>
              <w:t xml:space="preserve">RE-C04-i02 </w:t>
            </w:r>
          </w:p>
        </w:tc>
        <w:tc>
          <w:tcPr>
            <w:tcW w:w="1520" w:type="dxa"/>
            <w:shd w:val="clear" w:color="auto" w:fill="C4EFCE"/>
            <w:vAlign w:val="center"/>
            <w:hideMark/>
          </w:tcPr>
          <w:p w14:paraId="590EFB99"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ED71179" w14:textId="77777777" w:rsidR="00A15990" w:rsidRDefault="00686A62">
            <w:pPr>
              <w:pStyle w:val="P68B1DB1-Normal23"/>
              <w:spacing w:after="0"/>
              <w:jc w:val="both"/>
              <w:rPr>
                <w:rFonts w:eastAsia="Calibri" w:cs="Calibri"/>
                <w:noProof/>
              </w:rPr>
            </w:pPr>
            <w:r>
              <w:rPr>
                <w:noProof/>
              </w:rPr>
              <w:t>Crearea rețelei „Saber Fazer”</w:t>
            </w:r>
          </w:p>
        </w:tc>
      </w:tr>
      <w:tr w:rsidR="00A15990" w14:paraId="0D67E78F" w14:textId="77777777">
        <w:trPr>
          <w:trHeight w:val="440"/>
        </w:trPr>
        <w:tc>
          <w:tcPr>
            <w:tcW w:w="1200" w:type="dxa"/>
            <w:shd w:val="clear" w:color="auto" w:fill="C4EFCE"/>
            <w:vAlign w:val="center"/>
            <w:hideMark/>
          </w:tcPr>
          <w:p w14:paraId="48691633" w14:textId="77777777" w:rsidR="00A15990" w:rsidRDefault="00686A62">
            <w:pPr>
              <w:pStyle w:val="P68B1DB1-Normal23"/>
              <w:spacing w:after="0"/>
              <w:jc w:val="center"/>
              <w:rPr>
                <w:noProof/>
              </w:rPr>
            </w:pPr>
            <w:r>
              <w:rPr>
                <w:noProof/>
              </w:rPr>
              <w:t>5.5</w:t>
            </w:r>
          </w:p>
        </w:tc>
        <w:tc>
          <w:tcPr>
            <w:tcW w:w="1760" w:type="dxa"/>
            <w:shd w:val="clear" w:color="auto" w:fill="C4EFCE"/>
            <w:vAlign w:val="center"/>
            <w:hideMark/>
          </w:tcPr>
          <w:p w14:paraId="028584EA" w14:textId="77777777" w:rsidR="00A15990" w:rsidRDefault="00686A62">
            <w:pPr>
              <w:pStyle w:val="P68B1DB1-Normal23"/>
              <w:spacing w:after="0"/>
              <w:jc w:val="center"/>
              <w:rPr>
                <w:noProof/>
              </w:rPr>
            </w:pPr>
            <w:r>
              <w:rPr>
                <w:noProof/>
              </w:rPr>
              <w:t xml:space="preserve">RE-C05-i01.01 </w:t>
            </w:r>
          </w:p>
        </w:tc>
        <w:tc>
          <w:tcPr>
            <w:tcW w:w="1520" w:type="dxa"/>
            <w:shd w:val="clear" w:color="auto" w:fill="C4EFCE"/>
            <w:vAlign w:val="center"/>
            <w:hideMark/>
          </w:tcPr>
          <w:p w14:paraId="5748A513"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8F1C038" w14:textId="413A3F05" w:rsidR="00A15990" w:rsidRDefault="00686A62">
            <w:pPr>
              <w:pStyle w:val="P68B1DB1-Normal23"/>
              <w:spacing w:after="0"/>
              <w:jc w:val="both"/>
              <w:rPr>
                <w:rFonts w:eastAsia="Calibri" w:cs="Calibri"/>
                <w:noProof/>
              </w:rPr>
            </w:pPr>
            <w:r>
              <w:rPr>
                <w:noProof/>
              </w:rPr>
              <w:t>Încheierea de contracte pentru dezvoltarea de noi produse, procese sau servicii în domenii strategice relevante (agende de inovare).</w:t>
            </w:r>
          </w:p>
        </w:tc>
      </w:tr>
      <w:tr w:rsidR="00A15990" w14:paraId="6F9BDCC5" w14:textId="77777777">
        <w:trPr>
          <w:trHeight w:val="440"/>
        </w:trPr>
        <w:tc>
          <w:tcPr>
            <w:tcW w:w="1200" w:type="dxa"/>
            <w:shd w:val="clear" w:color="auto" w:fill="C4EFCE"/>
            <w:vAlign w:val="center"/>
            <w:hideMark/>
          </w:tcPr>
          <w:p w14:paraId="662B09CD" w14:textId="77777777" w:rsidR="00A15990" w:rsidRDefault="00686A62">
            <w:pPr>
              <w:pStyle w:val="P68B1DB1-Normal23"/>
              <w:spacing w:after="0"/>
              <w:jc w:val="center"/>
              <w:rPr>
                <w:noProof/>
              </w:rPr>
            </w:pPr>
            <w:r>
              <w:rPr>
                <w:noProof/>
              </w:rPr>
              <w:t>5.7</w:t>
            </w:r>
          </w:p>
        </w:tc>
        <w:tc>
          <w:tcPr>
            <w:tcW w:w="1760" w:type="dxa"/>
            <w:shd w:val="clear" w:color="auto" w:fill="C4EFCE"/>
            <w:vAlign w:val="center"/>
            <w:hideMark/>
          </w:tcPr>
          <w:p w14:paraId="1C23E7CC" w14:textId="77777777" w:rsidR="00A15990" w:rsidRDefault="00686A62">
            <w:pPr>
              <w:pStyle w:val="P68B1DB1-Normal23"/>
              <w:spacing w:after="0"/>
              <w:jc w:val="center"/>
              <w:rPr>
                <w:noProof/>
              </w:rPr>
            </w:pPr>
            <w:r>
              <w:rPr>
                <w:noProof/>
              </w:rPr>
              <w:t xml:space="preserve">RE-C05-i01.02 </w:t>
            </w:r>
          </w:p>
        </w:tc>
        <w:tc>
          <w:tcPr>
            <w:tcW w:w="1520" w:type="dxa"/>
            <w:shd w:val="clear" w:color="auto" w:fill="C4EFCE"/>
            <w:vAlign w:val="center"/>
            <w:hideMark/>
          </w:tcPr>
          <w:p w14:paraId="28804D49"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D21AAA1" w14:textId="598F18A7" w:rsidR="00A15990" w:rsidRDefault="00686A62">
            <w:pPr>
              <w:pStyle w:val="P68B1DB1-Normal23"/>
              <w:spacing w:after="0"/>
              <w:jc w:val="both"/>
              <w:rPr>
                <w:rFonts w:eastAsia="Calibri" w:cs="Calibri"/>
                <w:noProof/>
              </w:rPr>
            </w:pPr>
            <w:r>
              <w:rPr>
                <w:noProof/>
              </w:rPr>
              <w:t>Încheierea de contracte pentru dezvoltarea de noi produse, procese sau servicii în domenii strategice relevante pentru economia cu emisii scăzute de dioxid de carbon, reziliența și adaptarea la schimbările climatice</w:t>
            </w:r>
          </w:p>
        </w:tc>
      </w:tr>
      <w:tr w:rsidR="00A15990" w14:paraId="5C327989" w14:textId="77777777">
        <w:trPr>
          <w:trHeight w:val="440"/>
        </w:trPr>
        <w:tc>
          <w:tcPr>
            <w:tcW w:w="1200" w:type="dxa"/>
            <w:shd w:val="clear" w:color="auto" w:fill="C4EFCE"/>
            <w:vAlign w:val="center"/>
            <w:hideMark/>
          </w:tcPr>
          <w:p w14:paraId="49715C30" w14:textId="77777777" w:rsidR="00A15990" w:rsidRDefault="00686A62">
            <w:pPr>
              <w:pStyle w:val="P68B1DB1-Normal23"/>
              <w:spacing w:after="0"/>
              <w:jc w:val="center"/>
              <w:rPr>
                <w:noProof/>
              </w:rPr>
            </w:pPr>
            <w:r>
              <w:rPr>
                <w:noProof/>
              </w:rPr>
              <w:t>5.9</w:t>
            </w:r>
          </w:p>
        </w:tc>
        <w:tc>
          <w:tcPr>
            <w:tcW w:w="1760" w:type="dxa"/>
            <w:shd w:val="clear" w:color="auto" w:fill="C4EFCE"/>
            <w:vAlign w:val="center"/>
            <w:hideMark/>
          </w:tcPr>
          <w:p w14:paraId="1CEA8990" w14:textId="77777777" w:rsidR="00A15990" w:rsidRDefault="00686A62">
            <w:pPr>
              <w:pStyle w:val="P68B1DB1-Normal23"/>
              <w:spacing w:after="0"/>
              <w:jc w:val="center"/>
              <w:rPr>
                <w:noProof/>
              </w:rPr>
            </w:pPr>
            <w:r>
              <w:rPr>
                <w:noProof/>
              </w:rPr>
              <w:t xml:space="preserve">RE-C05-i02 </w:t>
            </w:r>
          </w:p>
        </w:tc>
        <w:tc>
          <w:tcPr>
            <w:tcW w:w="1520" w:type="dxa"/>
            <w:shd w:val="clear" w:color="auto" w:fill="C4EFCE"/>
            <w:vAlign w:val="center"/>
            <w:hideMark/>
          </w:tcPr>
          <w:p w14:paraId="6CAC10E8"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0118BF2" w14:textId="77777777" w:rsidR="00A15990" w:rsidRDefault="00686A62">
            <w:pPr>
              <w:pStyle w:val="P68B1DB1-Normal23"/>
              <w:spacing w:after="0"/>
              <w:jc w:val="both"/>
              <w:rPr>
                <w:rFonts w:eastAsia="Calibri" w:cs="Calibri"/>
                <w:noProof/>
              </w:rPr>
            </w:pPr>
            <w:r>
              <w:rPr>
                <w:noProof/>
              </w:rPr>
              <w:t>Contracte cu entitățile de interfață, inclusiv laboratoarele de colaborare – Colaburi, încheiate</w:t>
            </w:r>
          </w:p>
        </w:tc>
      </w:tr>
      <w:tr w:rsidR="00A15990" w14:paraId="03C3F9A8" w14:textId="77777777">
        <w:trPr>
          <w:trHeight w:val="440"/>
        </w:trPr>
        <w:tc>
          <w:tcPr>
            <w:tcW w:w="1200" w:type="dxa"/>
            <w:shd w:val="clear" w:color="auto" w:fill="C4EFCE"/>
            <w:vAlign w:val="center"/>
            <w:hideMark/>
          </w:tcPr>
          <w:p w14:paraId="176D6692" w14:textId="77777777" w:rsidR="00A15990" w:rsidRDefault="00686A62">
            <w:pPr>
              <w:pStyle w:val="P68B1DB1-Normal23"/>
              <w:spacing w:after="0"/>
              <w:jc w:val="center"/>
              <w:rPr>
                <w:noProof/>
              </w:rPr>
            </w:pPr>
            <w:r>
              <w:rPr>
                <w:noProof/>
              </w:rPr>
              <w:t>6.15</w:t>
            </w:r>
          </w:p>
        </w:tc>
        <w:tc>
          <w:tcPr>
            <w:tcW w:w="1760" w:type="dxa"/>
            <w:shd w:val="clear" w:color="auto" w:fill="C4EFCE"/>
            <w:vAlign w:val="center"/>
            <w:hideMark/>
          </w:tcPr>
          <w:p w14:paraId="5B04B4CC" w14:textId="77777777" w:rsidR="00A15990" w:rsidRDefault="00686A62">
            <w:pPr>
              <w:pStyle w:val="P68B1DB1-Normal23"/>
              <w:spacing w:after="0"/>
              <w:jc w:val="center"/>
              <w:rPr>
                <w:noProof/>
              </w:rPr>
            </w:pPr>
            <w:r>
              <w:rPr>
                <w:noProof/>
              </w:rPr>
              <w:t xml:space="preserve">RE-C06-r16 </w:t>
            </w:r>
          </w:p>
        </w:tc>
        <w:tc>
          <w:tcPr>
            <w:tcW w:w="1520" w:type="dxa"/>
            <w:shd w:val="clear" w:color="auto" w:fill="C4EFCE"/>
            <w:vAlign w:val="center"/>
            <w:hideMark/>
          </w:tcPr>
          <w:p w14:paraId="5E98D411"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280C87D7" w14:textId="77777777" w:rsidR="00A15990" w:rsidRDefault="00686A62">
            <w:pPr>
              <w:pStyle w:val="P68B1DB1-Normal23"/>
              <w:spacing w:after="0"/>
              <w:jc w:val="both"/>
              <w:rPr>
                <w:rFonts w:eastAsia="Calibri" w:cs="Calibri"/>
                <w:noProof/>
              </w:rPr>
            </w:pPr>
            <w:r>
              <w:rPr>
                <w:noProof/>
              </w:rPr>
              <w:t>Intrarea în vigoare a legii privind profesiile reglementate</w:t>
            </w:r>
          </w:p>
        </w:tc>
      </w:tr>
      <w:tr w:rsidR="00A15990" w14:paraId="4983771D" w14:textId="77777777">
        <w:trPr>
          <w:trHeight w:val="440"/>
        </w:trPr>
        <w:tc>
          <w:tcPr>
            <w:tcW w:w="1200" w:type="dxa"/>
            <w:shd w:val="clear" w:color="auto" w:fill="C4EFCE"/>
            <w:vAlign w:val="center"/>
            <w:hideMark/>
          </w:tcPr>
          <w:p w14:paraId="104D5E80" w14:textId="77777777" w:rsidR="00A15990" w:rsidRDefault="00686A62">
            <w:pPr>
              <w:pStyle w:val="P68B1DB1-Normal23"/>
              <w:spacing w:after="0"/>
              <w:jc w:val="center"/>
              <w:rPr>
                <w:noProof/>
              </w:rPr>
            </w:pPr>
            <w:r>
              <w:rPr>
                <w:noProof/>
              </w:rPr>
              <w:t>7.1</w:t>
            </w:r>
          </w:p>
        </w:tc>
        <w:tc>
          <w:tcPr>
            <w:tcW w:w="1760" w:type="dxa"/>
            <w:shd w:val="clear" w:color="auto" w:fill="C4EFCE"/>
            <w:vAlign w:val="center"/>
            <w:hideMark/>
          </w:tcPr>
          <w:p w14:paraId="032F1E62" w14:textId="77777777" w:rsidR="00A15990" w:rsidRDefault="00686A62">
            <w:pPr>
              <w:pStyle w:val="P68B1DB1-Normal23"/>
              <w:spacing w:after="0"/>
              <w:jc w:val="center"/>
              <w:rPr>
                <w:noProof/>
              </w:rPr>
            </w:pPr>
            <w:r>
              <w:rPr>
                <w:noProof/>
              </w:rPr>
              <w:t xml:space="preserve">RE-C07-i00 </w:t>
            </w:r>
          </w:p>
        </w:tc>
        <w:tc>
          <w:tcPr>
            <w:tcW w:w="1520" w:type="dxa"/>
            <w:shd w:val="clear" w:color="auto" w:fill="C4EFCE"/>
            <w:vAlign w:val="center"/>
            <w:hideMark/>
          </w:tcPr>
          <w:p w14:paraId="41AD4CD3"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0690F7A" w14:textId="7B4FDF4A" w:rsidR="00A15990" w:rsidRDefault="00686A62">
            <w:pPr>
              <w:pStyle w:val="P68B1DB1-Normal23"/>
              <w:spacing w:after="0"/>
              <w:jc w:val="both"/>
              <w:rPr>
                <w:rFonts w:eastAsia="Calibri" w:cs="Calibri"/>
                <w:noProof/>
              </w:rPr>
            </w:pPr>
            <w:r>
              <w:rPr>
                <w:noProof/>
              </w:rPr>
              <w:t>Puncte de reîncărcare a vehiculelor electrice accesibile publicului</w:t>
            </w:r>
          </w:p>
        </w:tc>
      </w:tr>
      <w:tr w:rsidR="00A15990" w14:paraId="70665A7A" w14:textId="77777777">
        <w:trPr>
          <w:trHeight w:val="440"/>
        </w:trPr>
        <w:tc>
          <w:tcPr>
            <w:tcW w:w="1200" w:type="dxa"/>
            <w:shd w:val="clear" w:color="auto" w:fill="C4EFCE"/>
            <w:vAlign w:val="center"/>
            <w:hideMark/>
          </w:tcPr>
          <w:p w14:paraId="537D6B6D" w14:textId="77777777" w:rsidR="00A15990" w:rsidRDefault="00686A62">
            <w:pPr>
              <w:pStyle w:val="P68B1DB1-Normal23"/>
              <w:spacing w:after="0"/>
              <w:jc w:val="center"/>
              <w:rPr>
                <w:noProof/>
              </w:rPr>
            </w:pPr>
            <w:r>
              <w:rPr>
                <w:noProof/>
              </w:rPr>
              <w:t>7.7</w:t>
            </w:r>
          </w:p>
        </w:tc>
        <w:tc>
          <w:tcPr>
            <w:tcW w:w="1760" w:type="dxa"/>
            <w:shd w:val="clear" w:color="auto" w:fill="C4EFCE"/>
            <w:vAlign w:val="center"/>
            <w:hideMark/>
          </w:tcPr>
          <w:p w14:paraId="0D8F10EA" w14:textId="77777777" w:rsidR="00A15990" w:rsidRDefault="00686A62">
            <w:pPr>
              <w:pStyle w:val="P68B1DB1-Normal23"/>
              <w:spacing w:after="0"/>
              <w:jc w:val="center"/>
              <w:rPr>
                <w:noProof/>
              </w:rPr>
            </w:pPr>
            <w:r>
              <w:rPr>
                <w:noProof/>
              </w:rPr>
              <w:t xml:space="preserve">RE-C07-i02 </w:t>
            </w:r>
          </w:p>
        </w:tc>
        <w:tc>
          <w:tcPr>
            <w:tcW w:w="1520" w:type="dxa"/>
            <w:shd w:val="clear" w:color="auto" w:fill="C4EFCE"/>
            <w:vAlign w:val="center"/>
            <w:hideMark/>
          </w:tcPr>
          <w:p w14:paraId="44888C17"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733934" w14:textId="77777777" w:rsidR="00A15990" w:rsidRDefault="00686A62">
            <w:pPr>
              <w:pStyle w:val="P68B1DB1-Normal23"/>
              <w:spacing w:after="0"/>
              <w:jc w:val="both"/>
              <w:rPr>
                <w:rFonts w:eastAsia="Calibri" w:cs="Calibri"/>
                <w:noProof/>
              </w:rPr>
            </w:pPr>
            <w:r>
              <w:rPr>
                <w:noProof/>
              </w:rPr>
              <w:t>Contract semnat pentru 2 proiecte rutiere</w:t>
            </w:r>
          </w:p>
        </w:tc>
      </w:tr>
      <w:tr w:rsidR="00A15990" w14:paraId="621AF830" w14:textId="77777777">
        <w:trPr>
          <w:trHeight w:val="440"/>
        </w:trPr>
        <w:tc>
          <w:tcPr>
            <w:tcW w:w="1200" w:type="dxa"/>
            <w:shd w:val="clear" w:color="auto" w:fill="C4EFCE"/>
            <w:vAlign w:val="center"/>
            <w:hideMark/>
          </w:tcPr>
          <w:p w14:paraId="21A9EB50" w14:textId="77777777" w:rsidR="00A15990" w:rsidRDefault="00686A62">
            <w:pPr>
              <w:pStyle w:val="P68B1DB1-Normal23"/>
              <w:spacing w:after="0"/>
              <w:jc w:val="center"/>
              <w:rPr>
                <w:noProof/>
              </w:rPr>
            </w:pPr>
            <w:r>
              <w:rPr>
                <w:noProof/>
              </w:rPr>
              <w:t>8.18</w:t>
            </w:r>
          </w:p>
        </w:tc>
        <w:tc>
          <w:tcPr>
            <w:tcW w:w="1760" w:type="dxa"/>
            <w:shd w:val="clear" w:color="auto" w:fill="C4EFCE"/>
            <w:vAlign w:val="center"/>
            <w:hideMark/>
          </w:tcPr>
          <w:p w14:paraId="0EB5329C" w14:textId="77777777" w:rsidR="00A15990" w:rsidRDefault="00686A62">
            <w:pPr>
              <w:pStyle w:val="P68B1DB1-Normal23"/>
              <w:spacing w:after="0"/>
              <w:jc w:val="center"/>
              <w:rPr>
                <w:noProof/>
              </w:rPr>
            </w:pPr>
            <w:r>
              <w:rPr>
                <w:noProof/>
              </w:rPr>
              <w:t xml:space="preserve">RE-C08-r20 </w:t>
            </w:r>
          </w:p>
        </w:tc>
        <w:tc>
          <w:tcPr>
            <w:tcW w:w="1520" w:type="dxa"/>
            <w:shd w:val="clear" w:color="auto" w:fill="C4EFCE"/>
            <w:vAlign w:val="center"/>
            <w:hideMark/>
          </w:tcPr>
          <w:p w14:paraId="58633647"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126370E" w14:textId="77777777" w:rsidR="00A15990" w:rsidRDefault="00686A62">
            <w:pPr>
              <w:pStyle w:val="P68B1DB1-Normal23"/>
              <w:spacing w:after="0"/>
              <w:jc w:val="both"/>
              <w:rPr>
                <w:rFonts w:eastAsia="Calibri" w:cs="Calibri"/>
                <w:noProof/>
              </w:rPr>
            </w:pPr>
            <w:r>
              <w:rPr>
                <w:noProof/>
              </w:rPr>
              <w:t>Sistemul de monitorizare a acoperirii terenurilor (Land Cover Monitoring System – SMOS)</w:t>
            </w:r>
          </w:p>
        </w:tc>
      </w:tr>
      <w:tr w:rsidR="00A15990" w14:paraId="19D4139A" w14:textId="77777777">
        <w:trPr>
          <w:trHeight w:val="440"/>
        </w:trPr>
        <w:tc>
          <w:tcPr>
            <w:tcW w:w="1200" w:type="dxa"/>
            <w:shd w:val="clear" w:color="auto" w:fill="C4EFCE"/>
            <w:vAlign w:val="center"/>
            <w:hideMark/>
          </w:tcPr>
          <w:p w14:paraId="3FB03D0D" w14:textId="77777777" w:rsidR="00A15990" w:rsidRDefault="00686A62">
            <w:pPr>
              <w:pStyle w:val="P68B1DB1-Normal23"/>
              <w:spacing w:after="0"/>
              <w:jc w:val="center"/>
              <w:rPr>
                <w:noProof/>
              </w:rPr>
            </w:pPr>
            <w:r>
              <w:rPr>
                <w:noProof/>
              </w:rPr>
              <w:t>12.6</w:t>
            </w:r>
          </w:p>
        </w:tc>
        <w:tc>
          <w:tcPr>
            <w:tcW w:w="1760" w:type="dxa"/>
            <w:shd w:val="clear" w:color="auto" w:fill="C4EFCE"/>
            <w:vAlign w:val="center"/>
            <w:hideMark/>
          </w:tcPr>
          <w:p w14:paraId="6722FFFA" w14:textId="77777777" w:rsidR="00A15990" w:rsidRDefault="00686A62">
            <w:pPr>
              <w:pStyle w:val="P68B1DB1-Normal23"/>
              <w:spacing w:after="0"/>
              <w:jc w:val="center"/>
              <w:rPr>
                <w:noProof/>
              </w:rPr>
            </w:pPr>
            <w:r>
              <w:rPr>
                <w:noProof/>
              </w:rPr>
              <w:t xml:space="preserve">TC-C12-r25 </w:t>
            </w:r>
          </w:p>
        </w:tc>
        <w:tc>
          <w:tcPr>
            <w:tcW w:w="1520" w:type="dxa"/>
            <w:shd w:val="clear" w:color="auto" w:fill="C4EFCE"/>
            <w:vAlign w:val="center"/>
            <w:hideMark/>
          </w:tcPr>
          <w:p w14:paraId="44C2F502"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63E29BE" w14:textId="77777777" w:rsidR="00A15990" w:rsidRDefault="00686A62">
            <w:pPr>
              <w:pStyle w:val="P68B1DB1-Normal23"/>
              <w:spacing w:after="0"/>
              <w:jc w:val="both"/>
              <w:rPr>
                <w:rFonts w:eastAsia="Calibri" w:cs="Calibri"/>
                <w:noProof/>
              </w:rPr>
            </w:pPr>
            <w:r>
              <w:rPr>
                <w:noProof/>
              </w:rPr>
              <w:t>Intrarea în vigoare a Strategiei naționale revizuite privind achizițiile publice ecologice</w:t>
            </w:r>
          </w:p>
        </w:tc>
      </w:tr>
      <w:tr w:rsidR="00A15990" w14:paraId="41FFE3C7" w14:textId="77777777">
        <w:trPr>
          <w:trHeight w:val="440"/>
        </w:trPr>
        <w:tc>
          <w:tcPr>
            <w:tcW w:w="1200" w:type="dxa"/>
            <w:shd w:val="clear" w:color="auto" w:fill="C4EFCE"/>
            <w:vAlign w:val="center"/>
            <w:hideMark/>
          </w:tcPr>
          <w:p w14:paraId="7800A98C" w14:textId="77777777" w:rsidR="00A15990" w:rsidRDefault="00686A62">
            <w:pPr>
              <w:pStyle w:val="P68B1DB1-Normal23"/>
              <w:spacing w:after="0"/>
              <w:jc w:val="center"/>
              <w:rPr>
                <w:noProof/>
              </w:rPr>
            </w:pPr>
            <w:r>
              <w:rPr>
                <w:noProof/>
              </w:rPr>
              <w:t>15.12</w:t>
            </w:r>
          </w:p>
        </w:tc>
        <w:tc>
          <w:tcPr>
            <w:tcW w:w="1760" w:type="dxa"/>
            <w:shd w:val="clear" w:color="auto" w:fill="C4EFCE"/>
            <w:vAlign w:val="center"/>
            <w:hideMark/>
          </w:tcPr>
          <w:p w14:paraId="4C755F50" w14:textId="77777777" w:rsidR="00A15990" w:rsidRDefault="00686A62">
            <w:pPr>
              <w:pStyle w:val="P68B1DB1-Normal23"/>
              <w:spacing w:after="0"/>
              <w:jc w:val="center"/>
              <w:rPr>
                <w:noProof/>
              </w:rPr>
            </w:pPr>
            <w:r>
              <w:rPr>
                <w:noProof/>
              </w:rPr>
              <w:t xml:space="preserve">TC-C15-I05 </w:t>
            </w:r>
          </w:p>
        </w:tc>
        <w:tc>
          <w:tcPr>
            <w:tcW w:w="1520" w:type="dxa"/>
            <w:shd w:val="clear" w:color="auto" w:fill="C4EFCE"/>
            <w:vAlign w:val="center"/>
            <w:hideMark/>
          </w:tcPr>
          <w:p w14:paraId="4DD658DA"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31B8667" w14:textId="77777777" w:rsidR="00A15990" w:rsidRDefault="00686A62">
            <w:pPr>
              <w:pStyle w:val="P68B1DB1-Normal23"/>
              <w:spacing w:after="0"/>
              <w:jc w:val="both"/>
              <w:rPr>
                <w:rFonts w:eastAsia="Calibri" w:cs="Calibri"/>
                <w:noProof/>
              </w:rPr>
            </w:pPr>
            <w:r>
              <w:rPr>
                <w:noProof/>
              </w:rPr>
              <w:t>Contract semnat pentru achiziționarea de autobuze nepoluante în cadrul Programului de decarbonizare a transportului public</w:t>
            </w:r>
          </w:p>
        </w:tc>
      </w:tr>
      <w:tr w:rsidR="00A15990" w14:paraId="39E8616F" w14:textId="77777777">
        <w:trPr>
          <w:trHeight w:val="440"/>
        </w:trPr>
        <w:tc>
          <w:tcPr>
            <w:tcW w:w="1200" w:type="dxa"/>
            <w:shd w:val="clear" w:color="auto" w:fill="C4EFCE"/>
            <w:vAlign w:val="center"/>
            <w:hideMark/>
          </w:tcPr>
          <w:p w14:paraId="10D21247" w14:textId="77777777" w:rsidR="00A15990" w:rsidRDefault="00686A62">
            <w:pPr>
              <w:pStyle w:val="P68B1DB1-Normal23"/>
              <w:spacing w:after="0"/>
              <w:jc w:val="center"/>
              <w:rPr>
                <w:noProof/>
              </w:rPr>
            </w:pPr>
            <w:r>
              <w:rPr>
                <w:noProof/>
              </w:rPr>
              <w:t>16.7</w:t>
            </w:r>
          </w:p>
        </w:tc>
        <w:tc>
          <w:tcPr>
            <w:tcW w:w="1760" w:type="dxa"/>
            <w:shd w:val="clear" w:color="auto" w:fill="C4EFCE"/>
            <w:vAlign w:val="center"/>
            <w:hideMark/>
          </w:tcPr>
          <w:p w14:paraId="6613DE1F" w14:textId="77777777" w:rsidR="00A15990" w:rsidRDefault="00686A62">
            <w:pPr>
              <w:pStyle w:val="P68B1DB1-Normal23"/>
              <w:spacing w:after="0"/>
              <w:jc w:val="center"/>
              <w:rPr>
                <w:noProof/>
              </w:rPr>
            </w:pPr>
            <w:r>
              <w:rPr>
                <w:noProof/>
              </w:rPr>
              <w:t xml:space="preserve">TD-C16-i02 </w:t>
            </w:r>
          </w:p>
        </w:tc>
        <w:tc>
          <w:tcPr>
            <w:tcW w:w="1520" w:type="dxa"/>
            <w:shd w:val="clear" w:color="auto" w:fill="C4EFCE"/>
            <w:vAlign w:val="center"/>
            <w:hideMark/>
          </w:tcPr>
          <w:p w14:paraId="233D2B2C"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CADFDA3" w14:textId="77777777" w:rsidR="00A15990" w:rsidRDefault="00686A62">
            <w:pPr>
              <w:pStyle w:val="P68B1DB1-Normal23"/>
              <w:spacing w:after="0"/>
              <w:jc w:val="both"/>
              <w:rPr>
                <w:rFonts w:eastAsia="Calibri" w:cs="Calibri"/>
                <w:noProof/>
              </w:rPr>
            </w:pPr>
            <w:r>
              <w:rPr>
                <w:noProof/>
              </w:rPr>
              <w:t>Bancuri de testare selectate pentru rețeaua națională de bănci de testare</w:t>
            </w:r>
          </w:p>
        </w:tc>
      </w:tr>
      <w:tr w:rsidR="00A15990" w14:paraId="209EA40D" w14:textId="77777777">
        <w:trPr>
          <w:trHeight w:val="440"/>
        </w:trPr>
        <w:tc>
          <w:tcPr>
            <w:tcW w:w="1200" w:type="dxa"/>
            <w:shd w:val="clear" w:color="auto" w:fill="C4EFCE"/>
            <w:vAlign w:val="center"/>
            <w:hideMark/>
          </w:tcPr>
          <w:p w14:paraId="22EEA5AF" w14:textId="77777777" w:rsidR="00A15990" w:rsidRDefault="00686A62">
            <w:pPr>
              <w:pStyle w:val="P68B1DB1-Normal23"/>
              <w:spacing w:after="0"/>
              <w:jc w:val="center"/>
              <w:rPr>
                <w:noProof/>
              </w:rPr>
            </w:pPr>
            <w:r>
              <w:rPr>
                <w:noProof/>
              </w:rPr>
              <w:t>17.1</w:t>
            </w:r>
          </w:p>
        </w:tc>
        <w:tc>
          <w:tcPr>
            <w:tcW w:w="1760" w:type="dxa"/>
            <w:shd w:val="clear" w:color="auto" w:fill="C4EFCE"/>
            <w:vAlign w:val="center"/>
            <w:hideMark/>
          </w:tcPr>
          <w:p w14:paraId="3856F38E" w14:textId="77777777" w:rsidR="00A15990" w:rsidRDefault="00686A62">
            <w:pPr>
              <w:pStyle w:val="P68B1DB1-Normal23"/>
              <w:spacing w:after="0"/>
              <w:jc w:val="center"/>
              <w:rPr>
                <w:noProof/>
              </w:rPr>
            </w:pPr>
            <w:r>
              <w:rPr>
                <w:noProof/>
              </w:rPr>
              <w:t xml:space="preserve">TD-C17-r32 </w:t>
            </w:r>
          </w:p>
        </w:tc>
        <w:tc>
          <w:tcPr>
            <w:tcW w:w="1520" w:type="dxa"/>
            <w:shd w:val="clear" w:color="auto" w:fill="C4EFCE"/>
            <w:vAlign w:val="center"/>
            <w:hideMark/>
          </w:tcPr>
          <w:p w14:paraId="7ACA6546"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19C34B4" w14:textId="77777777" w:rsidR="00A15990" w:rsidRDefault="00686A62">
            <w:pPr>
              <w:pStyle w:val="P68B1DB1-Normal23"/>
              <w:spacing w:after="0"/>
              <w:jc w:val="both"/>
              <w:rPr>
                <w:rFonts w:eastAsia="Calibri" w:cs="Calibri"/>
                <w:noProof/>
              </w:rPr>
            </w:pPr>
            <w:r>
              <w:rPr>
                <w:noProof/>
              </w:rPr>
              <w:t>Finalizarea elaborării și punerii în aplicare a unor noi modele de achiziții publice pentru sistemul central național de achiziții publice, astfel cum se prevede în planul strategic pentru perioada 2020-2023 al entității de servicii partajate a administrației publice</w:t>
            </w:r>
          </w:p>
        </w:tc>
      </w:tr>
      <w:tr w:rsidR="00A15990" w14:paraId="3F6B3ED7" w14:textId="77777777">
        <w:trPr>
          <w:trHeight w:val="440"/>
        </w:trPr>
        <w:tc>
          <w:tcPr>
            <w:tcW w:w="1200" w:type="dxa"/>
            <w:shd w:val="clear" w:color="auto" w:fill="C4EFCE"/>
            <w:vAlign w:val="center"/>
            <w:hideMark/>
          </w:tcPr>
          <w:p w14:paraId="01084538" w14:textId="77777777" w:rsidR="00A15990" w:rsidRDefault="00686A62">
            <w:pPr>
              <w:pStyle w:val="P68B1DB1-Normal23"/>
              <w:spacing w:after="0"/>
              <w:jc w:val="center"/>
              <w:rPr>
                <w:noProof/>
              </w:rPr>
            </w:pPr>
            <w:r>
              <w:rPr>
                <w:noProof/>
              </w:rPr>
              <w:t>17.2</w:t>
            </w:r>
          </w:p>
        </w:tc>
        <w:tc>
          <w:tcPr>
            <w:tcW w:w="1760" w:type="dxa"/>
            <w:shd w:val="clear" w:color="auto" w:fill="C4EFCE"/>
            <w:vAlign w:val="center"/>
            <w:hideMark/>
          </w:tcPr>
          <w:p w14:paraId="35541530" w14:textId="77777777" w:rsidR="00A15990" w:rsidRDefault="00686A62">
            <w:pPr>
              <w:pStyle w:val="P68B1DB1-Normal23"/>
              <w:spacing w:after="0"/>
              <w:jc w:val="center"/>
              <w:rPr>
                <w:noProof/>
              </w:rPr>
            </w:pPr>
            <w:r>
              <w:rPr>
                <w:noProof/>
              </w:rPr>
              <w:t xml:space="preserve">TD-C17-r32 </w:t>
            </w:r>
          </w:p>
        </w:tc>
        <w:tc>
          <w:tcPr>
            <w:tcW w:w="1520" w:type="dxa"/>
            <w:shd w:val="clear" w:color="auto" w:fill="C4EFCE"/>
            <w:vAlign w:val="center"/>
            <w:hideMark/>
          </w:tcPr>
          <w:p w14:paraId="75BDB3D8"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9A94FE8" w14:textId="77777777" w:rsidR="00A15990" w:rsidRDefault="00686A62">
            <w:pPr>
              <w:pStyle w:val="P68B1DB1-Normal23"/>
              <w:spacing w:after="0"/>
              <w:jc w:val="both"/>
              <w:rPr>
                <w:rFonts w:eastAsia="Calibri" w:cs="Calibri"/>
                <w:noProof/>
              </w:rPr>
            </w:pPr>
            <w:r>
              <w:rPr>
                <w:noProof/>
              </w:rPr>
              <w:t>Intrarea în vigoare a legislației care stă la baza entității contabile de stat</w:t>
            </w:r>
          </w:p>
        </w:tc>
      </w:tr>
      <w:tr w:rsidR="00A15990" w14:paraId="63E30D88" w14:textId="77777777">
        <w:trPr>
          <w:trHeight w:val="440"/>
        </w:trPr>
        <w:tc>
          <w:tcPr>
            <w:tcW w:w="1200" w:type="dxa"/>
            <w:shd w:val="clear" w:color="auto" w:fill="C4EFCE"/>
            <w:vAlign w:val="center"/>
            <w:hideMark/>
          </w:tcPr>
          <w:p w14:paraId="1056837E" w14:textId="77777777" w:rsidR="00A15990" w:rsidRDefault="00686A62">
            <w:pPr>
              <w:pStyle w:val="P68B1DB1-Normal23"/>
              <w:spacing w:after="0"/>
              <w:jc w:val="center"/>
              <w:rPr>
                <w:noProof/>
              </w:rPr>
            </w:pPr>
            <w:r>
              <w:rPr>
                <w:noProof/>
              </w:rPr>
              <w:t>17.3</w:t>
            </w:r>
          </w:p>
        </w:tc>
        <w:tc>
          <w:tcPr>
            <w:tcW w:w="1760" w:type="dxa"/>
            <w:shd w:val="clear" w:color="auto" w:fill="C4EFCE"/>
            <w:vAlign w:val="center"/>
            <w:hideMark/>
          </w:tcPr>
          <w:p w14:paraId="61FF33E4" w14:textId="77777777" w:rsidR="00A15990" w:rsidRDefault="00686A62">
            <w:pPr>
              <w:pStyle w:val="P68B1DB1-Normal23"/>
              <w:spacing w:after="0"/>
              <w:jc w:val="center"/>
              <w:rPr>
                <w:noProof/>
              </w:rPr>
            </w:pPr>
            <w:r>
              <w:rPr>
                <w:noProof/>
              </w:rPr>
              <w:t xml:space="preserve">TD-C17-r32 </w:t>
            </w:r>
          </w:p>
        </w:tc>
        <w:tc>
          <w:tcPr>
            <w:tcW w:w="1520" w:type="dxa"/>
            <w:shd w:val="clear" w:color="auto" w:fill="C4EFCE"/>
            <w:vAlign w:val="center"/>
            <w:hideMark/>
          </w:tcPr>
          <w:p w14:paraId="167697BC"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EA7BBF8" w14:textId="77777777" w:rsidR="00A15990" w:rsidRDefault="00686A62">
            <w:pPr>
              <w:pStyle w:val="P68B1DB1-Normal23"/>
              <w:spacing w:after="0"/>
              <w:jc w:val="both"/>
              <w:rPr>
                <w:rFonts w:eastAsia="Calibri" w:cs="Calibri"/>
                <w:noProof/>
              </w:rPr>
            </w:pPr>
            <w:r>
              <w:rPr>
                <w:noProof/>
              </w:rPr>
              <w:t>Finalizarea și aprobarea modelului de monitorizare a execuției bugetare și financiare a administrației publice</w:t>
            </w:r>
          </w:p>
        </w:tc>
      </w:tr>
      <w:tr w:rsidR="00A15990" w14:paraId="341F280E" w14:textId="77777777">
        <w:trPr>
          <w:trHeight w:val="440"/>
        </w:trPr>
        <w:tc>
          <w:tcPr>
            <w:tcW w:w="1200" w:type="dxa"/>
            <w:shd w:val="clear" w:color="auto" w:fill="C4EFCE"/>
            <w:vAlign w:val="center"/>
            <w:hideMark/>
          </w:tcPr>
          <w:p w14:paraId="188AFE97" w14:textId="77777777" w:rsidR="00A15990" w:rsidRDefault="00686A62">
            <w:pPr>
              <w:pStyle w:val="P68B1DB1-Normal23"/>
              <w:spacing w:after="0"/>
              <w:jc w:val="center"/>
              <w:rPr>
                <w:noProof/>
              </w:rPr>
            </w:pPr>
            <w:r>
              <w:rPr>
                <w:noProof/>
              </w:rPr>
              <w:t>17.7</w:t>
            </w:r>
          </w:p>
        </w:tc>
        <w:tc>
          <w:tcPr>
            <w:tcW w:w="1760" w:type="dxa"/>
            <w:shd w:val="clear" w:color="auto" w:fill="C4EFCE"/>
            <w:vAlign w:val="center"/>
            <w:hideMark/>
          </w:tcPr>
          <w:p w14:paraId="275594B7" w14:textId="77777777" w:rsidR="00A15990" w:rsidRDefault="00686A62">
            <w:pPr>
              <w:pStyle w:val="P68B1DB1-Normal23"/>
              <w:spacing w:after="0"/>
              <w:jc w:val="center"/>
              <w:rPr>
                <w:noProof/>
              </w:rPr>
            </w:pPr>
            <w:r>
              <w:rPr>
                <w:noProof/>
              </w:rPr>
              <w:t xml:space="preserve">TD-C17-r32 </w:t>
            </w:r>
          </w:p>
        </w:tc>
        <w:tc>
          <w:tcPr>
            <w:tcW w:w="1520" w:type="dxa"/>
            <w:shd w:val="clear" w:color="auto" w:fill="C4EFCE"/>
            <w:vAlign w:val="center"/>
            <w:hideMark/>
          </w:tcPr>
          <w:p w14:paraId="1936EA41"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AC574CF" w14:textId="77777777" w:rsidR="00A15990" w:rsidRDefault="00686A62">
            <w:pPr>
              <w:pStyle w:val="P68B1DB1-Normal23"/>
              <w:spacing w:after="0"/>
              <w:jc w:val="both"/>
              <w:rPr>
                <w:rFonts w:eastAsia="Calibri" w:cs="Calibri"/>
                <w:noProof/>
              </w:rPr>
            </w:pPr>
            <w:r>
              <w:rPr>
                <w:noProof/>
              </w:rPr>
              <w:t>Intrarea în vigoare a noului model de analiză și publicare a situației financiare și a performanței întreprinderilor de stat</w:t>
            </w:r>
          </w:p>
        </w:tc>
      </w:tr>
      <w:tr w:rsidR="00A15990" w14:paraId="3B0F106A" w14:textId="77777777">
        <w:trPr>
          <w:trHeight w:val="440"/>
        </w:trPr>
        <w:tc>
          <w:tcPr>
            <w:tcW w:w="1200" w:type="dxa"/>
            <w:shd w:val="clear" w:color="auto" w:fill="C4EFCE"/>
            <w:vAlign w:val="center"/>
            <w:hideMark/>
          </w:tcPr>
          <w:p w14:paraId="2A50687F" w14:textId="77777777" w:rsidR="00A15990" w:rsidRDefault="00686A62">
            <w:pPr>
              <w:pStyle w:val="P68B1DB1-Normal23"/>
              <w:spacing w:after="0"/>
              <w:jc w:val="center"/>
              <w:rPr>
                <w:noProof/>
              </w:rPr>
            </w:pPr>
            <w:r>
              <w:rPr>
                <w:noProof/>
              </w:rPr>
              <w:t>19.1</w:t>
            </w:r>
          </w:p>
        </w:tc>
        <w:tc>
          <w:tcPr>
            <w:tcW w:w="1760" w:type="dxa"/>
            <w:shd w:val="clear" w:color="auto" w:fill="C4EFCE"/>
            <w:vAlign w:val="center"/>
            <w:hideMark/>
          </w:tcPr>
          <w:p w14:paraId="69C58795" w14:textId="77777777" w:rsidR="00A15990" w:rsidRDefault="00686A62">
            <w:pPr>
              <w:pStyle w:val="P68B1DB1-Normal23"/>
              <w:spacing w:after="0"/>
              <w:jc w:val="center"/>
              <w:rPr>
                <w:noProof/>
              </w:rPr>
            </w:pPr>
            <w:r>
              <w:rPr>
                <w:noProof/>
              </w:rPr>
              <w:t xml:space="preserve">TD-C19-i01 </w:t>
            </w:r>
          </w:p>
        </w:tc>
        <w:tc>
          <w:tcPr>
            <w:tcW w:w="1520" w:type="dxa"/>
            <w:shd w:val="clear" w:color="auto" w:fill="C4EFCE"/>
            <w:vAlign w:val="center"/>
            <w:hideMark/>
          </w:tcPr>
          <w:p w14:paraId="59EF48D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BCAB859" w14:textId="77777777" w:rsidR="00A15990" w:rsidRDefault="00686A62">
            <w:pPr>
              <w:pStyle w:val="P68B1DB1-Normal23"/>
              <w:spacing w:after="0"/>
              <w:jc w:val="both"/>
              <w:rPr>
                <w:rFonts w:eastAsia="Calibri" w:cs="Calibri"/>
                <w:noProof/>
              </w:rPr>
            </w:pPr>
            <w:r>
              <w:rPr>
                <w:noProof/>
              </w:rPr>
              <w:t>Servicii publice disponibile în mod simplificat și coerent prin diferite canale</w:t>
            </w:r>
          </w:p>
        </w:tc>
      </w:tr>
      <w:tr w:rsidR="00A15990" w14:paraId="6A1F9585" w14:textId="77777777">
        <w:trPr>
          <w:trHeight w:val="440"/>
        </w:trPr>
        <w:tc>
          <w:tcPr>
            <w:tcW w:w="1200" w:type="dxa"/>
            <w:shd w:val="clear" w:color="auto" w:fill="C4EFCE"/>
            <w:vAlign w:val="center"/>
            <w:hideMark/>
          </w:tcPr>
          <w:p w14:paraId="4BF5836E" w14:textId="77777777" w:rsidR="00A15990" w:rsidRDefault="00686A62">
            <w:pPr>
              <w:pStyle w:val="P68B1DB1-Normal23"/>
              <w:spacing w:after="0"/>
              <w:jc w:val="center"/>
              <w:rPr>
                <w:noProof/>
              </w:rPr>
            </w:pPr>
            <w:r>
              <w:rPr>
                <w:noProof/>
              </w:rPr>
              <w:t>19.4</w:t>
            </w:r>
          </w:p>
        </w:tc>
        <w:tc>
          <w:tcPr>
            <w:tcW w:w="1760" w:type="dxa"/>
            <w:shd w:val="clear" w:color="auto" w:fill="C4EFCE"/>
            <w:vAlign w:val="center"/>
            <w:hideMark/>
          </w:tcPr>
          <w:p w14:paraId="24BFF365" w14:textId="77777777" w:rsidR="00A15990" w:rsidRDefault="00686A62">
            <w:pPr>
              <w:pStyle w:val="P68B1DB1-Normal23"/>
              <w:spacing w:after="0"/>
              <w:jc w:val="center"/>
              <w:rPr>
                <w:noProof/>
              </w:rPr>
            </w:pPr>
            <w:r>
              <w:rPr>
                <w:noProof/>
              </w:rPr>
              <w:t xml:space="preserve">TD-C19-i02 </w:t>
            </w:r>
          </w:p>
        </w:tc>
        <w:tc>
          <w:tcPr>
            <w:tcW w:w="1520" w:type="dxa"/>
            <w:shd w:val="clear" w:color="auto" w:fill="C4EFCE"/>
            <w:vAlign w:val="center"/>
            <w:hideMark/>
          </w:tcPr>
          <w:p w14:paraId="72E93AC3"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8803935" w14:textId="77777777" w:rsidR="00A15990" w:rsidRDefault="00686A62">
            <w:pPr>
              <w:pStyle w:val="P68B1DB1-Normal23"/>
              <w:spacing w:after="0"/>
              <w:jc w:val="both"/>
              <w:rPr>
                <w:rFonts w:eastAsia="Calibri" w:cs="Calibri"/>
                <w:noProof/>
              </w:rPr>
            </w:pPr>
            <w:r>
              <w:rPr>
                <w:noProof/>
              </w:rPr>
              <w:t>Servicii publice accesibile în condiții de siguranță prin intermediul identității electronice și cu respectarea principiului „o singură dată”</w:t>
            </w:r>
          </w:p>
        </w:tc>
      </w:tr>
      <w:tr w:rsidR="00A15990" w14:paraId="4FC6C1D5" w14:textId="77777777">
        <w:trPr>
          <w:trHeight w:val="440"/>
        </w:trPr>
        <w:tc>
          <w:tcPr>
            <w:tcW w:w="1200" w:type="dxa"/>
            <w:shd w:val="clear" w:color="auto" w:fill="C4EFCE"/>
            <w:vAlign w:val="center"/>
            <w:hideMark/>
          </w:tcPr>
          <w:p w14:paraId="58B8057A" w14:textId="77777777" w:rsidR="00A15990" w:rsidRDefault="00686A62">
            <w:pPr>
              <w:pStyle w:val="P68B1DB1-Normal23"/>
              <w:spacing w:after="0"/>
              <w:jc w:val="center"/>
              <w:rPr>
                <w:noProof/>
              </w:rPr>
            </w:pPr>
            <w:r>
              <w:rPr>
                <w:noProof/>
              </w:rPr>
              <w:t>20.3</w:t>
            </w:r>
          </w:p>
        </w:tc>
        <w:tc>
          <w:tcPr>
            <w:tcW w:w="1760" w:type="dxa"/>
            <w:shd w:val="clear" w:color="auto" w:fill="C4EFCE"/>
            <w:vAlign w:val="center"/>
            <w:hideMark/>
          </w:tcPr>
          <w:p w14:paraId="26B70452" w14:textId="77777777" w:rsidR="00A15990" w:rsidRDefault="00686A62">
            <w:pPr>
              <w:pStyle w:val="P68B1DB1-Normal23"/>
              <w:spacing w:after="0"/>
              <w:jc w:val="center"/>
              <w:rPr>
                <w:noProof/>
              </w:rPr>
            </w:pPr>
            <w:r>
              <w:rPr>
                <w:noProof/>
              </w:rPr>
              <w:t xml:space="preserve">TD-C20-i01 </w:t>
            </w:r>
          </w:p>
        </w:tc>
        <w:tc>
          <w:tcPr>
            <w:tcW w:w="1520" w:type="dxa"/>
            <w:shd w:val="clear" w:color="auto" w:fill="C4EFCE"/>
            <w:vAlign w:val="center"/>
            <w:hideMark/>
          </w:tcPr>
          <w:p w14:paraId="562D7FF3"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A927607" w14:textId="77777777" w:rsidR="00A15990" w:rsidRDefault="00686A62">
            <w:pPr>
              <w:pStyle w:val="P68B1DB1-Normal23"/>
              <w:spacing w:after="0"/>
              <w:jc w:val="both"/>
              <w:rPr>
                <w:rFonts w:eastAsia="Calibri" w:cs="Calibri"/>
                <w:noProof/>
              </w:rPr>
            </w:pPr>
            <w:r>
              <w:rPr>
                <w:noProof/>
              </w:rPr>
              <w:t>Calculatoare pentru uzul individual al elevilor și profesorilor</w:t>
            </w:r>
          </w:p>
        </w:tc>
      </w:tr>
      <w:tr w:rsidR="00A15990" w14:paraId="6F9EE469" w14:textId="77777777">
        <w:trPr>
          <w:trHeight w:val="440"/>
        </w:trPr>
        <w:tc>
          <w:tcPr>
            <w:tcW w:w="1200" w:type="dxa"/>
            <w:shd w:val="clear" w:color="auto" w:fill="C4EFCE"/>
            <w:vAlign w:val="center"/>
            <w:hideMark/>
          </w:tcPr>
          <w:p w14:paraId="1706F9AC" w14:textId="77777777" w:rsidR="00A15990" w:rsidRDefault="00686A62">
            <w:pPr>
              <w:pStyle w:val="P68B1DB1-Normal23"/>
              <w:spacing w:after="0"/>
              <w:jc w:val="center"/>
              <w:rPr>
                <w:noProof/>
              </w:rPr>
            </w:pPr>
            <w:r>
              <w:rPr>
                <w:noProof/>
              </w:rPr>
              <w:t>20.10</w:t>
            </w:r>
          </w:p>
        </w:tc>
        <w:tc>
          <w:tcPr>
            <w:tcW w:w="1760" w:type="dxa"/>
            <w:shd w:val="clear" w:color="auto" w:fill="C4EFCE"/>
            <w:vAlign w:val="center"/>
            <w:hideMark/>
          </w:tcPr>
          <w:p w14:paraId="01A5078A" w14:textId="77777777" w:rsidR="00A15990" w:rsidRDefault="00686A62">
            <w:pPr>
              <w:pStyle w:val="P68B1DB1-Normal23"/>
              <w:spacing w:after="0"/>
              <w:jc w:val="center"/>
              <w:rPr>
                <w:noProof/>
              </w:rPr>
            </w:pPr>
            <w:r>
              <w:rPr>
                <w:noProof/>
              </w:rPr>
              <w:t xml:space="preserve">TD-C20-i02-RAA </w:t>
            </w:r>
          </w:p>
        </w:tc>
        <w:tc>
          <w:tcPr>
            <w:tcW w:w="1520" w:type="dxa"/>
            <w:shd w:val="clear" w:color="auto" w:fill="C4EFCE"/>
            <w:vAlign w:val="center"/>
            <w:hideMark/>
          </w:tcPr>
          <w:p w14:paraId="331EFA9F"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6817629" w14:textId="77777777" w:rsidR="00A15990" w:rsidRDefault="00686A62">
            <w:pPr>
              <w:pStyle w:val="P68B1DB1-Normal23"/>
              <w:spacing w:after="0"/>
              <w:jc w:val="both"/>
              <w:rPr>
                <w:rFonts w:eastAsia="Calibri" w:cs="Calibri"/>
                <w:noProof/>
              </w:rPr>
            </w:pPr>
            <w:r>
              <w:rPr>
                <w:noProof/>
              </w:rPr>
              <w:t>Cursuri online deschise și în masă pentru profesori și părinți în ARA</w:t>
            </w:r>
          </w:p>
        </w:tc>
      </w:tr>
      <w:tr w:rsidR="00A15990" w14:paraId="218A5DAF" w14:textId="77777777">
        <w:trPr>
          <w:trHeight w:val="440"/>
        </w:trPr>
        <w:tc>
          <w:tcPr>
            <w:tcW w:w="1200" w:type="dxa"/>
            <w:shd w:val="clear" w:color="auto" w:fill="C4EFCE"/>
            <w:vAlign w:val="center"/>
            <w:hideMark/>
          </w:tcPr>
          <w:p w14:paraId="3DAD8CAD" w14:textId="77777777" w:rsidR="00A15990" w:rsidRDefault="00686A62">
            <w:pPr>
              <w:pStyle w:val="P68B1DB1-Normal23"/>
              <w:spacing w:after="0"/>
              <w:jc w:val="center"/>
              <w:rPr>
                <w:noProof/>
              </w:rPr>
            </w:pPr>
            <w:r>
              <w:rPr>
                <w:noProof/>
              </w:rPr>
              <w:t>20.14</w:t>
            </w:r>
          </w:p>
        </w:tc>
        <w:tc>
          <w:tcPr>
            <w:tcW w:w="1760" w:type="dxa"/>
            <w:shd w:val="clear" w:color="auto" w:fill="C4EFCE"/>
            <w:vAlign w:val="center"/>
            <w:hideMark/>
          </w:tcPr>
          <w:p w14:paraId="45FA9E7E" w14:textId="77777777" w:rsidR="00A15990" w:rsidRDefault="00686A62">
            <w:pPr>
              <w:pStyle w:val="P68B1DB1-Normal23"/>
              <w:spacing w:after="0"/>
              <w:jc w:val="center"/>
              <w:rPr>
                <w:noProof/>
              </w:rPr>
            </w:pPr>
            <w:r>
              <w:rPr>
                <w:noProof/>
              </w:rPr>
              <w:t xml:space="preserve">TD-C20-i03-RAM </w:t>
            </w:r>
          </w:p>
        </w:tc>
        <w:tc>
          <w:tcPr>
            <w:tcW w:w="1520" w:type="dxa"/>
            <w:shd w:val="clear" w:color="auto" w:fill="C4EFCE"/>
            <w:vAlign w:val="center"/>
            <w:hideMark/>
          </w:tcPr>
          <w:p w14:paraId="3A9F12D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3A30F30" w14:textId="77777777" w:rsidR="00A15990" w:rsidRDefault="00686A62">
            <w:pPr>
              <w:pStyle w:val="P68B1DB1-Normal23"/>
              <w:spacing w:after="0"/>
              <w:jc w:val="both"/>
              <w:rPr>
                <w:rFonts w:eastAsia="Calibri" w:cs="Calibri"/>
                <w:noProof/>
              </w:rPr>
            </w:pPr>
            <w:r>
              <w:rPr>
                <w:noProof/>
              </w:rPr>
              <w:t>Manuale digitale pentru elevii din ciclul 2 și 3 și pentru elevii din învățământul secundar</w:t>
            </w:r>
          </w:p>
        </w:tc>
      </w:tr>
      <w:tr w:rsidR="00A15990" w14:paraId="13FE7E31" w14:textId="77777777">
        <w:trPr>
          <w:trHeight w:val="440"/>
        </w:trPr>
        <w:tc>
          <w:tcPr>
            <w:tcW w:w="1200" w:type="dxa"/>
            <w:shd w:val="clear" w:color="auto" w:fill="C4EFCE"/>
            <w:vAlign w:val="center"/>
          </w:tcPr>
          <w:p w14:paraId="0B18E216" w14:textId="6C76CE3F" w:rsidR="00A15990" w:rsidRDefault="00686A62">
            <w:pPr>
              <w:pStyle w:val="P68B1DB1-Normal23"/>
              <w:spacing w:after="0"/>
              <w:jc w:val="center"/>
              <w:rPr>
                <w:rFonts w:eastAsia="Calibri" w:cs="Calibri"/>
                <w:noProof/>
              </w:rPr>
            </w:pPr>
            <w:r>
              <w:rPr>
                <w:noProof/>
              </w:rPr>
              <w:t>22.1</w:t>
            </w:r>
          </w:p>
        </w:tc>
        <w:tc>
          <w:tcPr>
            <w:tcW w:w="1760" w:type="dxa"/>
            <w:shd w:val="clear" w:color="auto" w:fill="C4EFCE"/>
            <w:vAlign w:val="center"/>
          </w:tcPr>
          <w:p w14:paraId="54A61AAA" w14:textId="7F5F0C12" w:rsidR="00A15990" w:rsidRDefault="00686A62">
            <w:pPr>
              <w:pStyle w:val="P68B1DB1-Normal23"/>
              <w:spacing w:after="0"/>
              <w:jc w:val="center"/>
              <w:rPr>
                <w:rFonts w:eastAsia="Calibri" w:cs="Calibri"/>
                <w:noProof/>
              </w:rPr>
            </w:pPr>
            <w:r>
              <w:rPr>
                <w:noProof/>
              </w:rPr>
              <w:t>RE-C22-r49</w:t>
            </w:r>
          </w:p>
        </w:tc>
        <w:tc>
          <w:tcPr>
            <w:tcW w:w="1520" w:type="dxa"/>
            <w:shd w:val="clear" w:color="auto" w:fill="C4EFCE"/>
            <w:vAlign w:val="center"/>
          </w:tcPr>
          <w:p w14:paraId="0359E033" w14:textId="53239CA4"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tcPr>
          <w:p w14:paraId="29FAC258" w14:textId="2F0164F0" w:rsidR="00A15990" w:rsidRDefault="00686A62">
            <w:pPr>
              <w:pStyle w:val="P68B1DB1-Normal23"/>
              <w:spacing w:after="0"/>
              <w:jc w:val="both"/>
              <w:rPr>
                <w:rFonts w:eastAsia="Calibri" w:cs="Calibri"/>
                <w:noProof/>
              </w:rPr>
            </w:pPr>
            <w:r>
              <w:rPr>
                <w:noProof/>
              </w:rPr>
              <w:t>Modificarea contractelor de finanțare dintre EMRP și Organismele de implementare pentru a include obligația de a efectua o evaluare a riscului de fraudă</w:t>
            </w:r>
          </w:p>
        </w:tc>
      </w:tr>
      <w:tr w:rsidR="00A15990" w14:paraId="1692F67E" w14:textId="77777777">
        <w:trPr>
          <w:trHeight w:val="440"/>
        </w:trPr>
        <w:tc>
          <w:tcPr>
            <w:tcW w:w="1200" w:type="dxa"/>
            <w:shd w:val="clear" w:color="auto" w:fill="C4EFCE"/>
            <w:vAlign w:val="center"/>
          </w:tcPr>
          <w:p w14:paraId="1B2C4316" w14:textId="01C57EEC" w:rsidR="00A15990" w:rsidRDefault="00686A62">
            <w:pPr>
              <w:pStyle w:val="P68B1DB1-Normal23"/>
              <w:spacing w:after="0"/>
              <w:jc w:val="center"/>
              <w:rPr>
                <w:rFonts w:eastAsia="Calibri" w:cs="Calibri"/>
                <w:noProof/>
              </w:rPr>
            </w:pPr>
            <w:r>
              <w:rPr>
                <w:noProof/>
              </w:rPr>
              <w:t>22.2</w:t>
            </w:r>
          </w:p>
        </w:tc>
        <w:tc>
          <w:tcPr>
            <w:tcW w:w="1760" w:type="dxa"/>
            <w:shd w:val="clear" w:color="auto" w:fill="C4EFCE"/>
            <w:vAlign w:val="center"/>
          </w:tcPr>
          <w:p w14:paraId="0C165A5E" w14:textId="0D1FBC0D" w:rsidR="00A15990" w:rsidRDefault="00686A62">
            <w:pPr>
              <w:pStyle w:val="P68B1DB1-Normal23"/>
              <w:spacing w:after="0"/>
              <w:jc w:val="center"/>
              <w:rPr>
                <w:rFonts w:eastAsia="Calibri" w:cs="Calibri"/>
                <w:noProof/>
              </w:rPr>
            </w:pPr>
            <w:r>
              <w:rPr>
                <w:noProof/>
              </w:rPr>
              <w:t>RE-C22-r49</w:t>
            </w:r>
          </w:p>
        </w:tc>
        <w:tc>
          <w:tcPr>
            <w:tcW w:w="1520" w:type="dxa"/>
            <w:shd w:val="clear" w:color="auto" w:fill="C4EFCE"/>
            <w:vAlign w:val="center"/>
          </w:tcPr>
          <w:p w14:paraId="5095848A" w14:textId="060F218F"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tcPr>
          <w:p w14:paraId="130A8B69" w14:textId="638A0661" w:rsidR="00A15990" w:rsidRDefault="00686A62">
            <w:pPr>
              <w:pStyle w:val="P68B1DB1-Normal23"/>
              <w:spacing w:after="0"/>
              <w:jc w:val="both"/>
              <w:rPr>
                <w:rFonts w:eastAsia="Calibri" w:cs="Calibri"/>
                <w:noProof/>
              </w:rPr>
            </w:pPr>
            <w:r>
              <w:rPr>
                <w:noProof/>
              </w:rPr>
              <w:t>Introducerea controalelor încrucișate pentru dubla finanțare</w:t>
            </w:r>
          </w:p>
        </w:tc>
      </w:tr>
      <w:tr w:rsidR="00A15990" w14:paraId="74CD506E" w14:textId="77777777">
        <w:trPr>
          <w:trHeight w:val="440"/>
        </w:trPr>
        <w:tc>
          <w:tcPr>
            <w:tcW w:w="1200" w:type="dxa"/>
            <w:shd w:val="clear" w:color="auto" w:fill="C4EFCE"/>
            <w:vAlign w:val="center"/>
            <w:hideMark/>
          </w:tcPr>
          <w:p w14:paraId="5438D3B8" w14:textId="77777777" w:rsidR="00A15990" w:rsidRDefault="00686A62">
            <w:pPr>
              <w:pStyle w:val="P68B1DB1-Normal8"/>
              <w:spacing w:after="0"/>
              <w:jc w:val="center"/>
              <w:rPr>
                <w:noProof/>
              </w:rPr>
            </w:pPr>
            <w:r>
              <w:rPr>
                <w:noProof/>
              </w:rPr>
              <w:t xml:space="preserve"> </w:t>
            </w:r>
          </w:p>
        </w:tc>
        <w:tc>
          <w:tcPr>
            <w:tcW w:w="1760" w:type="dxa"/>
            <w:shd w:val="clear" w:color="auto" w:fill="C4EFCE"/>
            <w:vAlign w:val="center"/>
            <w:hideMark/>
          </w:tcPr>
          <w:p w14:paraId="231F2F2F" w14:textId="77777777" w:rsidR="00A15990" w:rsidRDefault="00686A62">
            <w:pPr>
              <w:pStyle w:val="P68B1DB1-Normal8"/>
              <w:spacing w:after="0"/>
              <w:rPr>
                <w:noProof/>
              </w:rPr>
            </w:pPr>
            <w:r>
              <w:rPr>
                <w:noProof/>
              </w:rPr>
              <w:t xml:space="preserve"> </w:t>
            </w:r>
          </w:p>
        </w:tc>
        <w:tc>
          <w:tcPr>
            <w:tcW w:w="1520" w:type="dxa"/>
            <w:shd w:val="clear" w:color="auto" w:fill="C4EFCE"/>
            <w:vAlign w:val="center"/>
            <w:hideMark/>
          </w:tcPr>
          <w:p w14:paraId="7E61E2C8" w14:textId="77777777" w:rsidR="00A15990" w:rsidRDefault="00686A62">
            <w:pPr>
              <w:pStyle w:val="P68B1DB1-Normal24"/>
              <w:spacing w:after="0"/>
              <w:jc w:val="center"/>
              <w:rPr>
                <w:noProof/>
              </w:rPr>
            </w:pPr>
            <w:r>
              <w:rPr>
                <w:noProof/>
              </w:rPr>
              <w:t xml:space="preserve">Valoarea tranșelor </w:t>
            </w:r>
          </w:p>
        </w:tc>
        <w:tc>
          <w:tcPr>
            <w:tcW w:w="5060" w:type="dxa"/>
            <w:shd w:val="clear" w:color="auto" w:fill="C4EFCE"/>
            <w:vAlign w:val="center"/>
            <w:hideMark/>
          </w:tcPr>
          <w:p w14:paraId="0C460227" w14:textId="75B7960E" w:rsidR="00A15990" w:rsidRDefault="00686A62">
            <w:pPr>
              <w:pStyle w:val="P68B1DB1-Normal25"/>
              <w:spacing w:after="0"/>
              <w:jc w:val="center"/>
              <w:rPr>
                <w:noProof/>
              </w:rPr>
            </w:pPr>
            <w:r>
              <w:rPr>
                <w:noProof/>
              </w:rPr>
              <w:t>2 010 220 573 MIL.</w:t>
            </w:r>
          </w:p>
        </w:tc>
      </w:tr>
    </w:tbl>
    <w:p w14:paraId="039389FF" w14:textId="77777777" w:rsidR="00A15990" w:rsidRDefault="00A15990">
      <w:pPr>
        <w:rPr>
          <w:noProof/>
        </w:rPr>
      </w:pPr>
    </w:p>
    <w:p w14:paraId="4E219CD4"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7A8A5CC2" w14:textId="77777777" w:rsidR="00A15990" w:rsidRDefault="00686A62">
      <w:pPr>
        <w:pStyle w:val="P68B1DB1-Normal4"/>
        <w:keepNext/>
        <w:keepLines/>
        <w:numPr>
          <w:ilvl w:val="1"/>
          <w:numId w:val="19"/>
        </w:numPr>
        <w:spacing w:before="40" w:after="160" w:line="259" w:lineRule="auto"/>
        <w:contextualSpacing/>
        <w:jc w:val="both"/>
        <w:rPr>
          <w:rFonts w:eastAsiaTheme="minorEastAsia" w:cs="Times New Roman"/>
          <w:noProof/>
        </w:rPr>
      </w:pPr>
      <w:r>
        <w:rPr>
          <w:noProof/>
        </w:rPr>
        <w:t xml:space="preserve">A patra cerere de plată (sprijin nerambursabil): </w:t>
      </w:r>
    </w:p>
    <w:p w14:paraId="29158653" w14:textId="77777777" w:rsidR="00A15990" w:rsidRDefault="00A15990">
      <w:pPr>
        <w:keepNext/>
        <w:keepLines/>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A15990" w14:paraId="56ED83EA"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CEDDC4" w14:textId="77777777" w:rsidR="00A15990" w:rsidRDefault="00686A62">
            <w:pPr>
              <w:pStyle w:val="P68B1DB1-Normal22"/>
              <w:keepNext/>
              <w:keepLines/>
              <w:spacing w:after="0" w:line="240" w:lineRule="auto"/>
              <w:jc w:val="center"/>
              <w:rPr>
                <w:rFonts w:eastAsia="Times New Roman" w:cs="Times New Roman"/>
                <w:noProof/>
              </w:rPr>
            </w:pPr>
            <w:r>
              <w:rPr>
                <w:noProof/>
              </w:rPr>
              <w:t>Număr secvențial</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01E8A35" w14:textId="77777777" w:rsidR="00A15990" w:rsidRDefault="00686A62">
            <w:pPr>
              <w:pStyle w:val="P68B1DB1-Normal22"/>
              <w:keepNext/>
              <w:keepLines/>
              <w:spacing w:after="0" w:line="240" w:lineRule="auto"/>
              <w:jc w:val="center"/>
              <w:rPr>
                <w:rFonts w:eastAsia="Times New Roman" w:cs="Times New Roman"/>
                <w:noProof/>
              </w:rPr>
            </w:pPr>
            <w:r>
              <w:rPr>
                <w:noProof/>
              </w:rPr>
              <w:t>Măsură conexă (reformă sau investiție)</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A90392" w14:textId="76D451FE" w:rsidR="00A15990" w:rsidRDefault="004976DE">
            <w:pPr>
              <w:pStyle w:val="P68B1DB1-Normal22"/>
              <w:keepNext/>
              <w:keepLines/>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4FADC97" w14:textId="77777777" w:rsidR="00A15990" w:rsidRDefault="00686A62">
            <w:pPr>
              <w:pStyle w:val="P68B1DB1-Normal22"/>
              <w:keepNext/>
              <w:keepLines/>
              <w:spacing w:after="0" w:line="240" w:lineRule="auto"/>
              <w:jc w:val="center"/>
              <w:rPr>
                <w:rFonts w:eastAsia="Times New Roman" w:cs="Times New Roman"/>
                <w:noProof/>
              </w:rPr>
            </w:pPr>
            <w:r>
              <w:rPr>
                <w:noProof/>
              </w:rPr>
              <w:t>Nume</w:t>
            </w:r>
          </w:p>
        </w:tc>
      </w:tr>
      <w:tr w:rsidR="00A15990" w14:paraId="7FF864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0EA99F9" w14:textId="77777777" w:rsidR="00A15990" w:rsidRDefault="00686A62">
            <w:pPr>
              <w:pStyle w:val="P68B1DB1-Normal23"/>
              <w:spacing w:after="0"/>
              <w:jc w:val="center"/>
              <w:rPr>
                <w:rFonts w:eastAsia="Calibri" w:cs="Calibri"/>
                <w:noProof/>
              </w:rPr>
            </w:pPr>
            <w:r>
              <w:rPr>
                <w:noProof/>
              </w:rPr>
              <w:t>1.1</w:t>
            </w:r>
          </w:p>
        </w:tc>
        <w:tc>
          <w:tcPr>
            <w:tcW w:w="1760" w:type="dxa"/>
            <w:tcBorders>
              <w:top w:val="nil"/>
              <w:left w:val="nil"/>
              <w:bottom w:val="single" w:sz="4" w:space="0" w:color="auto"/>
              <w:right w:val="single" w:sz="4" w:space="0" w:color="auto"/>
            </w:tcBorders>
            <w:shd w:val="clear" w:color="auto" w:fill="C4EFCE"/>
            <w:vAlign w:val="center"/>
            <w:hideMark/>
          </w:tcPr>
          <w:p w14:paraId="7321C9DC" w14:textId="77777777" w:rsidR="00A15990" w:rsidRDefault="00686A62">
            <w:pPr>
              <w:pStyle w:val="P68B1DB1-Normal23"/>
              <w:spacing w:after="0"/>
              <w:jc w:val="center"/>
              <w:rPr>
                <w:rFonts w:eastAsia="Calibri" w:cs="Calibri"/>
                <w:noProof/>
              </w:rPr>
            </w:pPr>
            <w:r>
              <w:rPr>
                <w:noProof/>
              </w:rPr>
              <w:t xml:space="preserve">RE-C01-r01  </w:t>
            </w:r>
          </w:p>
        </w:tc>
        <w:tc>
          <w:tcPr>
            <w:tcW w:w="1520" w:type="dxa"/>
            <w:tcBorders>
              <w:top w:val="nil"/>
              <w:left w:val="nil"/>
              <w:bottom w:val="single" w:sz="4" w:space="0" w:color="auto"/>
              <w:right w:val="single" w:sz="4" w:space="0" w:color="auto"/>
            </w:tcBorders>
            <w:shd w:val="clear" w:color="auto" w:fill="C4EFCE"/>
            <w:vAlign w:val="center"/>
            <w:hideMark/>
          </w:tcPr>
          <w:p w14:paraId="7249E60B"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80B2E35" w14:textId="77777777" w:rsidR="00A15990" w:rsidRDefault="00686A62">
            <w:pPr>
              <w:pStyle w:val="P68B1DB1-Normal23"/>
              <w:spacing w:after="0"/>
              <w:jc w:val="both"/>
              <w:rPr>
                <w:rFonts w:eastAsia="Calibri" w:cs="Calibri"/>
                <w:noProof/>
              </w:rPr>
            </w:pPr>
            <w:r>
              <w:rPr>
                <w:noProof/>
              </w:rPr>
              <w:t>Intrarea în vigoare a actelor juridice în domeniul asistenței medicale primare</w:t>
            </w:r>
          </w:p>
        </w:tc>
      </w:tr>
      <w:tr w:rsidR="00A15990" w14:paraId="289CD2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38F888" w14:textId="77777777" w:rsidR="00A15990" w:rsidRDefault="00686A62">
            <w:pPr>
              <w:pStyle w:val="P68B1DB1-Normal23"/>
              <w:spacing w:after="0"/>
              <w:jc w:val="center"/>
              <w:rPr>
                <w:rFonts w:eastAsia="Calibri" w:cs="Calibri"/>
                <w:noProof/>
              </w:rPr>
            </w:pPr>
            <w:r>
              <w:rPr>
                <w:noProof/>
              </w:rPr>
              <w:t>1.5</w:t>
            </w:r>
          </w:p>
        </w:tc>
        <w:tc>
          <w:tcPr>
            <w:tcW w:w="1760" w:type="dxa"/>
            <w:tcBorders>
              <w:top w:val="nil"/>
              <w:left w:val="nil"/>
              <w:bottom w:val="single" w:sz="4" w:space="0" w:color="auto"/>
              <w:right w:val="single" w:sz="4" w:space="0" w:color="auto"/>
            </w:tcBorders>
            <w:shd w:val="clear" w:color="auto" w:fill="C4EFCE"/>
            <w:vAlign w:val="center"/>
            <w:hideMark/>
          </w:tcPr>
          <w:p w14:paraId="5FA3726A" w14:textId="77777777" w:rsidR="00A15990" w:rsidRDefault="00686A62">
            <w:pPr>
              <w:pStyle w:val="P68B1DB1-Normal23"/>
              <w:spacing w:after="0"/>
              <w:jc w:val="center"/>
              <w:rPr>
                <w:rFonts w:eastAsia="Calibri" w:cs="Calibri"/>
                <w:noProof/>
              </w:rPr>
            </w:pPr>
            <w:r>
              <w:rPr>
                <w:noProof/>
              </w:rPr>
              <w:t xml:space="preserve">RE-C01-r02  </w:t>
            </w:r>
          </w:p>
        </w:tc>
        <w:tc>
          <w:tcPr>
            <w:tcW w:w="1520" w:type="dxa"/>
            <w:tcBorders>
              <w:top w:val="nil"/>
              <w:left w:val="nil"/>
              <w:bottom w:val="single" w:sz="4" w:space="0" w:color="auto"/>
              <w:right w:val="single" w:sz="4" w:space="0" w:color="auto"/>
            </w:tcBorders>
            <w:shd w:val="clear" w:color="auto" w:fill="C4EFCE"/>
            <w:vAlign w:val="center"/>
            <w:hideMark/>
          </w:tcPr>
          <w:p w14:paraId="1C6933D6"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AF65EBB" w14:textId="77777777" w:rsidR="00A15990" w:rsidRDefault="00686A62">
            <w:pPr>
              <w:pStyle w:val="P68B1DB1-Normal23"/>
              <w:spacing w:after="0"/>
              <w:jc w:val="both"/>
              <w:rPr>
                <w:rFonts w:eastAsia="Calibri" w:cs="Calibri"/>
                <w:noProof/>
              </w:rPr>
            </w:pPr>
            <w:r>
              <w:rPr>
                <w:noProof/>
              </w:rPr>
              <w:t>Intrarea în vigoare a noii Legi privind sănătatea mintală, care stabilește principiile referitoare la drepturile persoanelor cu boli mintale și reglementează spitalizarea sau tratamentul obligatoriu</w:t>
            </w:r>
          </w:p>
        </w:tc>
      </w:tr>
      <w:tr w:rsidR="00A15990" w14:paraId="55EB5FF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33E7D7" w14:textId="77777777" w:rsidR="00A15990" w:rsidRDefault="00686A62">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951DAC8" w14:textId="77777777" w:rsidR="00A15990" w:rsidRDefault="00686A62">
            <w:pPr>
              <w:pStyle w:val="P68B1DB1-Normal23"/>
              <w:spacing w:after="0"/>
              <w:jc w:val="center"/>
              <w:rPr>
                <w:rFonts w:eastAsia="Calibri" w:cs="Calibri"/>
                <w:noProof/>
              </w:rPr>
            </w:pPr>
            <w:r>
              <w:rPr>
                <w:noProof/>
              </w:rPr>
              <w:t xml:space="preserve">RE-C01-r03  </w:t>
            </w:r>
          </w:p>
        </w:tc>
        <w:tc>
          <w:tcPr>
            <w:tcW w:w="1520" w:type="dxa"/>
            <w:tcBorders>
              <w:top w:val="nil"/>
              <w:left w:val="nil"/>
              <w:bottom w:val="single" w:sz="4" w:space="0" w:color="auto"/>
              <w:right w:val="single" w:sz="4" w:space="0" w:color="auto"/>
            </w:tcBorders>
            <w:shd w:val="clear" w:color="auto" w:fill="C4EFCE"/>
            <w:vAlign w:val="center"/>
            <w:hideMark/>
          </w:tcPr>
          <w:p w14:paraId="7442DC8E"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41432BD" w14:textId="0F743D6C" w:rsidR="00A15990" w:rsidRDefault="00686A62">
            <w:pPr>
              <w:pStyle w:val="P68B1DB1-Normal23"/>
              <w:spacing w:after="0"/>
              <w:jc w:val="both"/>
              <w:rPr>
                <w:rFonts w:eastAsia="Calibri" w:cs="Calibri"/>
                <w:noProof/>
              </w:rPr>
            </w:pPr>
            <w:r>
              <w:rPr>
                <w:noProof/>
              </w:rPr>
              <w:t>Intrarea în vigoare a noului regim de angajare deplină în cadrul Serviciului Național de Sănătate</w:t>
            </w:r>
          </w:p>
        </w:tc>
      </w:tr>
      <w:tr w:rsidR="00A15990" w14:paraId="2915F7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CC6DE1" w14:textId="77777777" w:rsidR="00A15990" w:rsidRDefault="00686A62">
            <w:pPr>
              <w:pStyle w:val="P68B1DB1-Normal23"/>
              <w:spacing w:after="0"/>
              <w:jc w:val="center"/>
              <w:rPr>
                <w:rFonts w:eastAsia="Calibri" w:cs="Calibri"/>
                <w:noProof/>
              </w:rPr>
            </w:pPr>
            <w:r>
              <w:rPr>
                <w:noProof/>
              </w:rPr>
              <w:t>5.39</w:t>
            </w:r>
          </w:p>
        </w:tc>
        <w:tc>
          <w:tcPr>
            <w:tcW w:w="1760" w:type="dxa"/>
            <w:tcBorders>
              <w:top w:val="nil"/>
              <w:left w:val="nil"/>
              <w:bottom w:val="single" w:sz="4" w:space="0" w:color="auto"/>
              <w:right w:val="single" w:sz="4" w:space="0" w:color="auto"/>
            </w:tcBorders>
            <w:shd w:val="clear" w:color="auto" w:fill="C4EFCE"/>
            <w:vAlign w:val="center"/>
            <w:hideMark/>
          </w:tcPr>
          <w:p w14:paraId="5AA01599" w14:textId="77777777" w:rsidR="00A15990" w:rsidRDefault="00686A62">
            <w:pPr>
              <w:pStyle w:val="P68B1DB1-Normal23"/>
              <w:spacing w:after="0"/>
              <w:jc w:val="center"/>
              <w:rPr>
                <w:rFonts w:eastAsia="Calibri" w:cs="Calibri"/>
                <w:noProof/>
              </w:rPr>
            </w:pPr>
            <w:r>
              <w:rPr>
                <w:noProof/>
              </w:rPr>
              <w:t xml:space="preserve">RE-C05-i09  </w:t>
            </w:r>
          </w:p>
        </w:tc>
        <w:tc>
          <w:tcPr>
            <w:tcW w:w="1520" w:type="dxa"/>
            <w:tcBorders>
              <w:top w:val="nil"/>
              <w:left w:val="nil"/>
              <w:bottom w:val="single" w:sz="4" w:space="0" w:color="auto"/>
              <w:right w:val="single" w:sz="4" w:space="0" w:color="auto"/>
            </w:tcBorders>
            <w:shd w:val="clear" w:color="auto" w:fill="C4EFCE"/>
            <w:vAlign w:val="center"/>
            <w:hideMark/>
          </w:tcPr>
          <w:p w14:paraId="4A6965A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86D6DB1" w14:textId="77777777" w:rsidR="00A15990" w:rsidRDefault="00686A62">
            <w:pPr>
              <w:pStyle w:val="P68B1DB1-Normal23"/>
              <w:spacing w:after="0"/>
              <w:jc w:val="both"/>
              <w:rPr>
                <w:rFonts w:eastAsia="Calibri" w:cs="Calibri"/>
                <w:noProof/>
              </w:rPr>
            </w:pPr>
            <w:r>
              <w:rPr>
                <w:noProof/>
              </w:rPr>
              <w:t>Încheierea de contracte pentru dezvoltarea de noi produse, procese sau servicii în domenii strategice relevante (agende de inovare).</w:t>
            </w:r>
          </w:p>
        </w:tc>
      </w:tr>
      <w:tr w:rsidR="00A15990" w14:paraId="248B14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CD0E35" w14:textId="77777777" w:rsidR="00A15990" w:rsidRDefault="00686A62">
            <w:pPr>
              <w:pStyle w:val="P68B1DB1-Normal23"/>
              <w:spacing w:after="0"/>
              <w:jc w:val="center"/>
              <w:rPr>
                <w:rFonts w:eastAsia="Calibri" w:cs="Calibri"/>
                <w:noProof/>
              </w:rPr>
            </w:pPr>
            <w:r>
              <w:rPr>
                <w:noProof/>
              </w:rPr>
              <w:t>5.41</w:t>
            </w:r>
          </w:p>
        </w:tc>
        <w:tc>
          <w:tcPr>
            <w:tcW w:w="1760" w:type="dxa"/>
            <w:tcBorders>
              <w:top w:val="nil"/>
              <w:left w:val="nil"/>
              <w:bottom w:val="single" w:sz="4" w:space="0" w:color="auto"/>
              <w:right w:val="single" w:sz="4" w:space="0" w:color="auto"/>
            </w:tcBorders>
            <w:shd w:val="clear" w:color="auto" w:fill="C4EFCE"/>
            <w:vAlign w:val="center"/>
            <w:hideMark/>
          </w:tcPr>
          <w:p w14:paraId="37A6E238" w14:textId="77777777" w:rsidR="00A15990" w:rsidRDefault="00686A62">
            <w:pPr>
              <w:pStyle w:val="P68B1DB1-Normal23"/>
              <w:spacing w:after="0"/>
              <w:jc w:val="center"/>
              <w:rPr>
                <w:rFonts w:eastAsia="Calibri" w:cs="Calibri"/>
                <w:noProof/>
              </w:rPr>
            </w:pPr>
            <w:r>
              <w:rPr>
                <w:noProof/>
              </w:rPr>
              <w:t xml:space="preserve">RE-C05-i10 </w:t>
            </w:r>
          </w:p>
        </w:tc>
        <w:tc>
          <w:tcPr>
            <w:tcW w:w="1520" w:type="dxa"/>
            <w:tcBorders>
              <w:top w:val="nil"/>
              <w:left w:val="nil"/>
              <w:bottom w:val="single" w:sz="4" w:space="0" w:color="auto"/>
              <w:right w:val="single" w:sz="4" w:space="0" w:color="auto"/>
            </w:tcBorders>
            <w:shd w:val="clear" w:color="auto" w:fill="C4EFCE"/>
            <w:vAlign w:val="center"/>
            <w:hideMark/>
          </w:tcPr>
          <w:p w14:paraId="1841457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B123515" w14:textId="77777777" w:rsidR="00A15990" w:rsidRDefault="00686A62">
            <w:pPr>
              <w:pStyle w:val="P68B1DB1-Normal23"/>
              <w:spacing w:after="0"/>
              <w:jc w:val="both"/>
              <w:rPr>
                <w:rFonts w:eastAsia="Calibri" w:cs="Calibri"/>
                <w:noProof/>
              </w:rPr>
            </w:pPr>
            <w:r>
              <w:rPr>
                <w:noProof/>
              </w:rPr>
              <w:t>Încheierea de contracte pentru dezvoltarea de noi produse, procese sau servicii în domenii strategice relevante pentru economia cu emisii scăzute de dioxid de carbon, reziliența și adaptarea la schimbările climatice.</w:t>
            </w:r>
          </w:p>
        </w:tc>
      </w:tr>
      <w:tr w:rsidR="00A15990" w14:paraId="52B40B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8F59D5" w14:textId="77777777" w:rsidR="00A15990" w:rsidRDefault="00686A62">
            <w:pPr>
              <w:pStyle w:val="P68B1DB1-Normal23"/>
              <w:spacing w:after="0"/>
              <w:jc w:val="center"/>
              <w:rPr>
                <w:rFonts w:eastAsia="Calibri" w:cs="Calibri"/>
                <w:noProof/>
              </w:rPr>
            </w:pPr>
            <w:r>
              <w:rPr>
                <w:noProof/>
              </w:rPr>
              <w:t>6.16</w:t>
            </w:r>
          </w:p>
        </w:tc>
        <w:tc>
          <w:tcPr>
            <w:tcW w:w="1760" w:type="dxa"/>
            <w:tcBorders>
              <w:top w:val="nil"/>
              <w:left w:val="nil"/>
              <w:bottom w:val="single" w:sz="4" w:space="0" w:color="auto"/>
              <w:right w:val="single" w:sz="4" w:space="0" w:color="auto"/>
            </w:tcBorders>
            <w:shd w:val="clear" w:color="auto" w:fill="C4EFCE"/>
            <w:vAlign w:val="center"/>
            <w:hideMark/>
          </w:tcPr>
          <w:p w14:paraId="4475E3D2" w14:textId="77777777" w:rsidR="00A15990" w:rsidRDefault="00686A62">
            <w:pPr>
              <w:pStyle w:val="P68B1DB1-Normal23"/>
              <w:spacing w:after="0"/>
              <w:jc w:val="center"/>
              <w:rPr>
                <w:rFonts w:eastAsia="Calibri" w:cs="Calibri"/>
                <w:noProof/>
              </w:rPr>
            </w:pPr>
            <w:r>
              <w:rPr>
                <w:noProof/>
              </w:rPr>
              <w:t xml:space="preserve">RE-C06-r17  </w:t>
            </w:r>
          </w:p>
        </w:tc>
        <w:tc>
          <w:tcPr>
            <w:tcW w:w="1520" w:type="dxa"/>
            <w:tcBorders>
              <w:top w:val="nil"/>
              <w:left w:val="nil"/>
              <w:bottom w:val="single" w:sz="4" w:space="0" w:color="auto"/>
              <w:right w:val="single" w:sz="4" w:space="0" w:color="auto"/>
            </w:tcBorders>
            <w:shd w:val="clear" w:color="auto" w:fill="C4EFCE"/>
            <w:vAlign w:val="center"/>
            <w:hideMark/>
          </w:tcPr>
          <w:p w14:paraId="79B1C5E7"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4022E39" w14:textId="77777777" w:rsidR="00A15990" w:rsidRDefault="00686A62">
            <w:pPr>
              <w:pStyle w:val="P68B1DB1-Normal23"/>
              <w:spacing w:after="0"/>
              <w:jc w:val="both"/>
              <w:rPr>
                <w:rFonts w:eastAsia="Calibri" w:cs="Calibri"/>
                <w:noProof/>
              </w:rPr>
            </w:pPr>
            <w:r>
              <w:rPr>
                <w:noProof/>
              </w:rPr>
              <w:t>Intrarea în vigoare a legii care reglementează lucrul pe platforme</w:t>
            </w:r>
          </w:p>
        </w:tc>
      </w:tr>
      <w:tr w:rsidR="00A15990" w14:paraId="38DB135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C5865" w14:textId="77777777" w:rsidR="00A15990" w:rsidRDefault="00686A62">
            <w:pPr>
              <w:pStyle w:val="P68B1DB1-Normal23"/>
              <w:spacing w:after="0"/>
              <w:jc w:val="center"/>
              <w:rPr>
                <w:rFonts w:eastAsia="Calibri" w:cs="Calibri"/>
                <w:noProof/>
              </w:rPr>
            </w:pPr>
            <w:r>
              <w:rPr>
                <w:noProof/>
              </w:rPr>
              <w:t>8.10</w:t>
            </w:r>
          </w:p>
        </w:tc>
        <w:tc>
          <w:tcPr>
            <w:tcW w:w="1760" w:type="dxa"/>
            <w:tcBorders>
              <w:top w:val="nil"/>
              <w:left w:val="nil"/>
              <w:bottom w:val="single" w:sz="4" w:space="0" w:color="auto"/>
              <w:right w:val="single" w:sz="4" w:space="0" w:color="auto"/>
            </w:tcBorders>
            <w:shd w:val="clear" w:color="auto" w:fill="C4EFCE"/>
            <w:vAlign w:val="center"/>
            <w:hideMark/>
          </w:tcPr>
          <w:p w14:paraId="204806AA" w14:textId="77777777" w:rsidR="00A15990" w:rsidRDefault="00686A62">
            <w:pPr>
              <w:pStyle w:val="P68B1DB1-Normal23"/>
              <w:spacing w:after="0"/>
              <w:jc w:val="center"/>
              <w:rPr>
                <w:rFonts w:eastAsia="Calibri" w:cs="Calibri"/>
                <w:noProof/>
              </w:rPr>
            </w:pPr>
            <w:r>
              <w:rPr>
                <w:noProof/>
              </w:rPr>
              <w:t xml:space="preserve">RE-C08-i04  </w:t>
            </w:r>
          </w:p>
        </w:tc>
        <w:tc>
          <w:tcPr>
            <w:tcW w:w="1520" w:type="dxa"/>
            <w:tcBorders>
              <w:top w:val="nil"/>
              <w:left w:val="nil"/>
              <w:bottom w:val="single" w:sz="4" w:space="0" w:color="auto"/>
              <w:right w:val="single" w:sz="4" w:space="0" w:color="auto"/>
            </w:tcBorders>
            <w:shd w:val="clear" w:color="auto" w:fill="C4EFCE"/>
            <w:vAlign w:val="center"/>
            <w:hideMark/>
          </w:tcPr>
          <w:p w14:paraId="063477C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E40D33" w14:textId="77777777" w:rsidR="00A15990" w:rsidRDefault="00686A62">
            <w:pPr>
              <w:pStyle w:val="P68B1DB1-Normal23"/>
              <w:spacing w:after="0"/>
              <w:jc w:val="both"/>
              <w:rPr>
                <w:rFonts w:eastAsia="Calibri" w:cs="Calibri"/>
                <w:noProof/>
              </w:rPr>
            </w:pPr>
            <w:r>
              <w:rPr>
                <w:noProof/>
              </w:rPr>
              <w:t>Livrarea de vehicule, mașini și echipamente</w:t>
            </w:r>
          </w:p>
        </w:tc>
      </w:tr>
      <w:tr w:rsidR="00A15990" w14:paraId="74B789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814107" w14:textId="77777777" w:rsidR="00A15990" w:rsidRDefault="00686A62">
            <w:pPr>
              <w:pStyle w:val="P68B1DB1-Normal23"/>
              <w:spacing w:after="0"/>
              <w:jc w:val="center"/>
              <w:rPr>
                <w:rFonts w:eastAsia="Calibri" w:cs="Calibri"/>
                <w:noProof/>
              </w:rPr>
            </w:pPr>
            <w:r>
              <w:rPr>
                <w:noProof/>
              </w:rPr>
              <w:t>17.22</w:t>
            </w:r>
          </w:p>
        </w:tc>
        <w:tc>
          <w:tcPr>
            <w:tcW w:w="1760" w:type="dxa"/>
            <w:tcBorders>
              <w:top w:val="nil"/>
              <w:left w:val="nil"/>
              <w:bottom w:val="single" w:sz="4" w:space="0" w:color="auto"/>
              <w:right w:val="single" w:sz="4" w:space="0" w:color="auto"/>
            </w:tcBorders>
            <w:shd w:val="clear" w:color="auto" w:fill="C4EFCE"/>
            <w:vAlign w:val="center"/>
            <w:hideMark/>
          </w:tcPr>
          <w:p w14:paraId="44A87645" w14:textId="1EE980F9" w:rsidR="00A15990" w:rsidRDefault="00686A62">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0DCE0EE9"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1EABF4" w14:textId="77777777" w:rsidR="00A15990" w:rsidRDefault="00686A62">
            <w:pPr>
              <w:pStyle w:val="P68B1DB1-Normal23"/>
              <w:spacing w:after="0"/>
              <w:jc w:val="both"/>
              <w:rPr>
                <w:rFonts w:eastAsia="Calibri" w:cs="Calibri"/>
                <w:noProof/>
              </w:rPr>
            </w:pPr>
            <w:r>
              <w:rPr>
                <w:noProof/>
              </w:rPr>
              <w:t>Intrarea în vigoare a unui act juridic de modificare a cadrului juridic al anumitor avantaje fiscale</w:t>
            </w:r>
          </w:p>
        </w:tc>
      </w:tr>
      <w:tr w:rsidR="00A15990" w14:paraId="2E70FE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10C622" w14:textId="77777777" w:rsidR="00A15990" w:rsidRDefault="00686A62">
            <w:pPr>
              <w:pStyle w:val="P68B1DB1-Normal23"/>
              <w:spacing w:after="0"/>
              <w:jc w:val="center"/>
              <w:rPr>
                <w:rFonts w:eastAsia="Calibri" w:cs="Calibri"/>
                <w:noProof/>
              </w:rPr>
            </w:pPr>
            <w:r>
              <w:rPr>
                <w:noProof/>
              </w:rPr>
              <w:t>18.1</w:t>
            </w:r>
          </w:p>
        </w:tc>
        <w:tc>
          <w:tcPr>
            <w:tcW w:w="1760" w:type="dxa"/>
            <w:tcBorders>
              <w:top w:val="nil"/>
              <w:left w:val="nil"/>
              <w:bottom w:val="single" w:sz="4" w:space="0" w:color="auto"/>
              <w:right w:val="single" w:sz="4" w:space="0" w:color="auto"/>
            </w:tcBorders>
            <w:shd w:val="clear" w:color="auto" w:fill="C4EFCE"/>
            <w:vAlign w:val="center"/>
            <w:hideMark/>
          </w:tcPr>
          <w:p w14:paraId="5E8DD21A" w14:textId="77777777" w:rsidR="00A15990" w:rsidRDefault="00686A62">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1C221CA"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F96FCE8" w14:textId="77777777" w:rsidR="00A15990" w:rsidRDefault="00686A62">
            <w:pPr>
              <w:pStyle w:val="P68B1DB1-Normal23"/>
              <w:spacing w:after="0"/>
              <w:jc w:val="both"/>
              <w:rPr>
                <w:rFonts w:eastAsia="Calibri" w:cs="Calibri"/>
                <w:noProof/>
              </w:rPr>
            </w:pPr>
            <w:r>
              <w:rPr>
                <w:noProof/>
              </w:rPr>
              <w:t>Crearea unor camere specializate în instanțele administrative și fiscale superioare</w:t>
            </w:r>
          </w:p>
        </w:tc>
      </w:tr>
      <w:tr w:rsidR="00A15990" w14:paraId="09209F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DDFB55" w14:textId="77777777" w:rsidR="00A15990" w:rsidRDefault="00686A62">
            <w:pPr>
              <w:pStyle w:val="P68B1DB1-Normal23"/>
              <w:spacing w:after="0"/>
              <w:jc w:val="center"/>
              <w:rPr>
                <w:rFonts w:eastAsia="Calibri" w:cs="Calibri"/>
                <w:noProof/>
              </w:rPr>
            </w:pPr>
            <w:r>
              <w:rPr>
                <w:noProof/>
              </w:rPr>
              <w:t>18.2</w:t>
            </w:r>
          </w:p>
        </w:tc>
        <w:tc>
          <w:tcPr>
            <w:tcW w:w="1760" w:type="dxa"/>
            <w:tcBorders>
              <w:top w:val="nil"/>
              <w:left w:val="nil"/>
              <w:bottom w:val="single" w:sz="4" w:space="0" w:color="auto"/>
              <w:right w:val="single" w:sz="4" w:space="0" w:color="auto"/>
            </w:tcBorders>
            <w:shd w:val="clear" w:color="auto" w:fill="C4EFCE"/>
            <w:vAlign w:val="center"/>
            <w:hideMark/>
          </w:tcPr>
          <w:p w14:paraId="41FFD441" w14:textId="77777777" w:rsidR="00A15990" w:rsidRDefault="00686A62">
            <w:pPr>
              <w:pStyle w:val="P68B1DB1-Normal23"/>
              <w:spacing w:after="0"/>
              <w:jc w:val="center"/>
              <w:rPr>
                <w:rFonts w:eastAsia="Calibri" w:cs="Calibri"/>
                <w:noProof/>
              </w:rPr>
            </w:pPr>
            <w:r>
              <w:rPr>
                <w:noProof/>
              </w:rPr>
              <w:t xml:space="preserve">TD-C18-r33  </w:t>
            </w:r>
          </w:p>
        </w:tc>
        <w:tc>
          <w:tcPr>
            <w:tcW w:w="1520" w:type="dxa"/>
            <w:tcBorders>
              <w:top w:val="nil"/>
              <w:left w:val="nil"/>
              <w:bottom w:val="single" w:sz="4" w:space="0" w:color="auto"/>
              <w:right w:val="single" w:sz="4" w:space="0" w:color="auto"/>
            </w:tcBorders>
            <w:shd w:val="clear" w:color="auto" w:fill="C4EFCE"/>
            <w:vAlign w:val="center"/>
            <w:hideMark/>
          </w:tcPr>
          <w:p w14:paraId="0E7E9C6E"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A43E122" w14:textId="77777777" w:rsidR="00A15990" w:rsidRDefault="00686A62">
            <w:pPr>
              <w:pStyle w:val="P68B1DB1-Normal23"/>
              <w:spacing w:after="0"/>
              <w:jc w:val="both"/>
              <w:rPr>
                <w:rFonts w:eastAsia="Calibri" w:cs="Calibri"/>
                <w:noProof/>
              </w:rPr>
            </w:pPr>
            <w:r>
              <w:rPr>
                <w:noProof/>
              </w:rPr>
              <w:t>Intrarea în vigoare a unui regim juridic care să încurajeze soluționarea judiciară și extrajudiciară</w:t>
            </w:r>
          </w:p>
        </w:tc>
      </w:tr>
      <w:tr w:rsidR="00A15990" w14:paraId="3A1781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94F780" w14:textId="77777777" w:rsidR="00A15990" w:rsidRDefault="00686A62">
            <w:pPr>
              <w:pStyle w:val="P68B1DB1-Normal8"/>
              <w:spacing w:after="0"/>
              <w:jc w:val="center"/>
              <w:rPr>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44E7D433" w14:textId="77777777" w:rsidR="00A15990" w:rsidRDefault="00686A62">
            <w:pPr>
              <w:pStyle w:val="P68B1DB1-Normal8"/>
              <w:spacing w:after="0"/>
              <w:jc w:val="center"/>
              <w:rPr>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0CC4752F" w14:textId="77777777" w:rsidR="00A15990" w:rsidRDefault="00686A62">
            <w:pPr>
              <w:pStyle w:val="P68B1DB1-Normal24"/>
              <w:spacing w:after="0"/>
              <w:jc w:val="center"/>
              <w:rPr>
                <w:noProof/>
              </w:rPr>
            </w:pPr>
            <w:r>
              <w:rPr>
                <w:noProof/>
              </w:rPr>
              <w:t xml:space="preserve">Valoarea tranșelor </w:t>
            </w:r>
          </w:p>
        </w:tc>
        <w:tc>
          <w:tcPr>
            <w:tcW w:w="5060" w:type="dxa"/>
            <w:tcBorders>
              <w:top w:val="nil"/>
              <w:left w:val="nil"/>
              <w:bottom w:val="single" w:sz="4" w:space="0" w:color="auto"/>
              <w:right w:val="single" w:sz="4" w:space="0" w:color="auto"/>
            </w:tcBorders>
            <w:shd w:val="clear" w:color="auto" w:fill="C4EFCE"/>
            <w:vAlign w:val="center"/>
            <w:hideMark/>
          </w:tcPr>
          <w:p w14:paraId="67D03894" w14:textId="4661012E" w:rsidR="00A15990" w:rsidRDefault="00686A62">
            <w:pPr>
              <w:pStyle w:val="P68B1DB1-Normal25"/>
              <w:spacing w:after="0"/>
              <w:jc w:val="center"/>
              <w:rPr>
                <w:noProof/>
              </w:rPr>
            </w:pPr>
            <w:r>
              <w:rPr>
                <w:noProof/>
              </w:rPr>
              <w:t xml:space="preserve"> 937 165 319 MIL. </w:t>
            </w:r>
          </w:p>
        </w:tc>
      </w:tr>
    </w:tbl>
    <w:p w14:paraId="32E013C0" w14:textId="77777777" w:rsidR="00A15990" w:rsidRDefault="00A15990">
      <w:pPr>
        <w:rPr>
          <w:noProof/>
        </w:rPr>
      </w:pPr>
    </w:p>
    <w:p w14:paraId="59627E7F"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329BAE7F"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cincea cerere de plată (sprijin nerambursabil): </w:t>
      </w:r>
    </w:p>
    <w:p w14:paraId="1982083E"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A15990" w14:paraId="6670DD18"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C82FEA7"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8701520"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EE738E7" w14:textId="5AFC3784"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77ECC4F"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1A126B1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2DEDF3A" w14:textId="77777777" w:rsidR="00A15990" w:rsidRDefault="00686A62">
            <w:pPr>
              <w:pStyle w:val="P68B1DB1-Normal23"/>
              <w:spacing w:after="0"/>
              <w:jc w:val="center"/>
              <w:rPr>
                <w:rFonts w:eastAsia="Calibri" w:cs="Calibri"/>
                <w:noProof/>
              </w:rPr>
            </w:pPr>
            <w:r>
              <w:rPr>
                <w:noProof/>
              </w:rPr>
              <w:t>1.2</w:t>
            </w:r>
          </w:p>
        </w:tc>
        <w:tc>
          <w:tcPr>
            <w:tcW w:w="1760" w:type="dxa"/>
            <w:tcBorders>
              <w:top w:val="nil"/>
              <w:left w:val="nil"/>
              <w:bottom w:val="single" w:sz="4" w:space="0" w:color="auto"/>
              <w:right w:val="single" w:sz="4" w:space="0" w:color="auto"/>
            </w:tcBorders>
            <w:shd w:val="clear" w:color="auto" w:fill="C4EFCE"/>
            <w:vAlign w:val="center"/>
            <w:hideMark/>
          </w:tcPr>
          <w:p w14:paraId="0B267111" w14:textId="77777777" w:rsidR="00A15990" w:rsidRDefault="00686A62">
            <w:pPr>
              <w:pStyle w:val="P68B1DB1-Normal23"/>
              <w:spacing w:after="0"/>
              <w:jc w:val="center"/>
              <w:rPr>
                <w:rFonts w:eastAsia="Calibri" w:cs="Calibri"/>
                <w:noProof/>
              </w:rPr>
            </w:pPr>
            <w:r>
              <w:rPr>
                <w:noProof/>
              </w:rPr>
              <w:t xml:space="preserve">RE-C01-i01  </w:t>
            </w:r>
          </w:p>
        </w:tc>
        <w:tc>
          <w:tcPr>
            <w:tcW w:w="1520" w:type="dxa"/>
            <w:tcBorders>
              <w:top w:val="nil"/>
              <w:left w:val="nil"/>
              <w:bottom w:val="single" w:sz="4" w:space="0" w:color="auto"/>
              <w:right w:val="single" w:sz="4" w:space="0" w:color="auto"/>
            </w:tcBorders>
            <w:shd w:val="clear" w:color="auto" w:fill="C4EFCE"/>
            <w:vAlign w:val="center"/>
            <w:hideMark/>
          </w:tcPr>
          <w:p w14:paraId="5CCC471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D0BDE9" w14:textId="77777777" w:rsidR="00A15990" w:rsidRDefault="00686A62">
            <w:pPr>
              <w:pStyle w:val="P68B1DB1-Normal23"/>
              <w:spacing w:after="0"/>
              <w:jc w:val="both"/>
              <w:rPr>
                <w:rFonts w:eastAsia="Calibri" w:cs="Calibri"/>
                <w:noProof/>
              </w:rPr>
            </w:pPr>
            <w:r>
              <w:rPr>
                <w:noProof/>
              </w:rPr>
              <w:t>Furnizarea accesului la instrumentul de stratificare a riscurilor pentru a sprijini guvernanța clinică în unitățile funcționale ale grupurilor de centre medicale</w:t>
            </w:r>
          </w:p>
        </w:tc>
      </w:tr>
      <w:tr w:rsidR="00A15990" w14:paraId="625203C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FA303DB" w14:textId="77777777" w:rsidR="00A15990" w:rsidRDefault="00686A62">
            <w:pPr>
              <w:pStyle w:val="P68B1DB1-Normal23"/>
              <w:spacing w:after="0"/>
              <w:jc w:val="center"/>
              <w:rPr>
                <w:rFonts w:eastAsia="Calibri" w:cs="Calibri"/>
                <w:noProof/>
              </w:rPr>
            </w:pPr>
            <w:r>
              <w:rPr>
                <w:noProof/>
              </w:rPr>
              <w:t>1.40</w:t>
            </w:r>
          </w:p>
        </w:tc>
        <w:tc>
          <w:tcPr>
            <w:tcW w:w="1760" w:type="dxa"/>
            <w:tcBorders>
              <w:top w:val="nil"/>
              <w:left w:val="nil"/>
              <w:bottom w:val="single" w:sz="4" w:space="0" w:color="auto"/>
              <w:right w:val="single" w:sz="4" w:space="0" w:color="auto"/>
            </w:tcBorders>
            <w:shd w:val="clear" w:color="auto" w:fill="C4EFCE"/>
            <w:vAlign w:val="center"/>
            <w:hideMark/>
          </w:tcPr>
          <w:p w14:paraId="3BD7D2BC" w14:textId="77777777" w:rsidR="00A15990" w:rsidRDefault="00686A62">
            <w:pPr>
              <w:pStyle w:val="P68B1DB1-Normal23"/>
              <w:spacing w:after="0"/>
              <w:jc w:val="center"/>
              <w:rPr>
                <w:rFonts w:eastAsia="Calibri" w:cs="Calibri"/>
                <w:noProof/>
              </w:rPr>
            </w:pPr>
            <w:r>
              <w:rPr>
                <w:noProof/>
              </w:rPr>
              <w:t>RE-C01-i04</w:t>
            </w:r>
          </w:p>
        </w:tc>
        <w:tc>
          <w:tcPr>
            <w:tcW w:w="1520" w:type="dxa"/>
            <w:tcBorders>
              <w:top w:val="nil"/>
              <w:left w:val="nil"/>
              <w:bottom w:val="single" w:sz="4" w:space="0" w:color="auto"/>
              <w:right w:val="single" w:sz="4" w:space="0" w:color="auto"/>
            </w:tcBorders>
            <w:shd w:val="clear" w:color="auto" w:fill="C4EFCE"/>
            <w:vAlign w:val="center"/>
            <w:hideMark/>
          </w:tcPr>
          <w:p w14:paraId="61BC3888"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CD1A921" w14:textId="2016AD4F" w:rsidR="00A15990" w:rsidRDefault="00686A62">
            <w:pPr>
              <w:pStyle w:val="P68B1DB1-Normal23"/>
              <w:spacing w:after="0"/>
              <w:jc w:val="both"/>
              <w:rPr>
                <w:rFonts w:eastAsia="Calibri" w:cs="Calibri"/>
                <w:noProof/>
              </w:rPr>
            </w:pPr>
            <w:r>
              <w:rPr>
                <w:noProof/>
              </w:rPr>
              <w:t>Semnarea contractului de gestionare pentru construirea Spitalului din Lisabona de Est</w:t>
            </w:r>
          </w:p>
        </w:tc>
      </w:tr>
      <w:tr w:rsidR="00A15990" w14:paraId="4B53C6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F687469" w14:textId="77777777" w:rsidR="00A15990" w:rsidRDefault="00686A62">
            <w:pPr>
              <w:pStyle w:val="P68B1DB1-Normal23"/>
              <w:spacing w:after="0"/>
              <w:jc w:val="center"/>
              <w:rPr>
                <w:rFonts w:eastAsia="Calibri" w:cs="Calibri"/>
                <w:noProof/>
              </w:rPr>
            </w:pPr>
            <w:r>
              <w:rPr>
                <w:noProof/>
              </w:rPr>
              <w:t>1.41</w:t>
            </w:r>
          </w:p>
        </w:tc>
        <w:tc>
          <w:tcPr>
            <w:tcW w:w="1760" w:type="dxa"/>
            <w:tcBorders>
              <w:top w:val="nil"/>
              <w:left w:val="nil"/>
              <w:bottom w:val="single" w:sz="4" w:space="0" w:color="auto"/>
              <w:right w:val="single" w:sz="4" w:space="0" w:color="auto"/>
            </w:tcBorders>
            <w:shd w:val="clear" w:color="auto" w:fill="C4EFCE"/>
            <w:vAlign w:val="center"/>
            <w:hideMark/>
          </w:tcPr>
          <w:p w14:paraId="6546CF09" w14:textId="77777777" w:rsidR="00A15990" w:rsidRDefault="00686A62">
            <w:pPr>
              <w:pStyle w:val="P68B1DB1-Normal23"/>
              <w:spacing w:after="0"/>
              <w:jc w:val="center"/>
              <w:rPr>
                <w:rFonts w:eastAsia="Calibri" w:cs="Calibri"/>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688185E0"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BF9DB02" w14:textId="77777777" w:rsidR="00A15990" w:rsidRDefault="00686A62">
            <w:pPr>
              <w:pStyle w:val="P68B1DB1-Normal23"/>
              <w:spacing w:after="0"/>
              <w:jc w:val="both"/>
              <w:rPr>
                <w:rFonts w:eastAsia="Calibri" w:cs="Calibri"/>
                <w:noProof/>
              </w:rPr>
            </w:pPr>
            <w:r>
              <w:rPr>
                <w:noProof/>
              </w:rPr>
              <w:t>Aprobarea raportului de identificare a nevoilor NHS pentru echipamente medicale grele</w:t>
            </w:r>
          </w:p>
        </w:tc>
      </w:tr>
      <w:tr w:rsidR="00A15990" w14:paraId="370C58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F2F01E" w14:textId="77777777" w:rsidR="00A15990" w:rsidRDefault="00686A62">
            <w:pPr>
              <w:pStyle w:val="P68B1DB1-Normal23"/>
              <w:spacing w:after="0"/>
              <w:jc w:val="center"/>
              <w:rPr>
                <w:rFonts w:eastAsia="Calibri" w:cs="Calibri"/>
                <w:noProof/>
              </w:rPr>
            </w:pPr>
            <w:r>
              <w:rPr>
                <w:noProof/>
              </w:rPr>
              <w:t>2.2</w:t>
            </w:r>
          </w:p>
        </w:tc>
        <w:tc>
          <w:tcPr>
            <w:tcW w:w="1760" w:type="dxa"/>
            <w:tcBorders>
              <w:top w:val="nil"/>
              <w:left w:val="nil"/>
              <w:bottom w:val="single" w:sz="4" w:space="0" w:color="auto"/>
              <w:right w:val="single" w:sz="4" w:space="0" w:color="auto"/>
            </w:tcBorders>
            <w:shd w:val="clear" w:color="auto" w:fill="C4EFCE"/>
            <w:vAlign w:val="center"/>
            <w:hideMark/>
          </w:tcPr>
          <w:p w14:paraId="6DF2A402" w14:textId="77777777" w:rsidR="00A15990" w:rsidRDefault="00686A62">
            <w:pPr>
              <w:pStyle w:val="P68B1DB1-Normal23"/>
              <w:spacing w:after="0"/>
              <w:jc w:val="center"/>
              <w:rPr>
                <w:rFonts w:eastAsia="Calibri" w:cs="Calibri"/>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108ADD4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57029F" w14:textId="77777777" w:rsidR="00A15990" w:rsidRDefault="00686A62">
            <w:pPr>
              <w:pStyle w:val="P68B1DB1-Normal23"/>
              <w:spacing w:after="0"/>
              <w:jc w:val="both"/>
              <w:rPr>
                <w:rFonts w:eastAsia="Calibri" w:cs="Calibri"/>
                <w:noProof/>
              </w:rPr>
            </w:pPr>
            <w:r>
              <w:rPr>
                <w:noProof/>
              </w:rPr>
              <w:t>Program de sprijin pentru accesul la locuințe – locuințe achiziționate, construite (cu eficiență energetică ridicată) sau reabilitate (cu o performanță energetică îmbunătățită) furnizate gospodăriilor</w:t>
            </w:r>
          </w:p>
        </w:tc>
      </w:tr>
      <w:tr w:rsidR="00A15990" w14:paraId="3DE77A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B90A17" w14:textId="77777777" w:rsidR="00A15990" w:rsidRDefault="00686A62">
            <w:pPr>
              <w:pStyle w:val="P68B1DB1-Normal23"/>
              <w:spacing w:after="0"/>
              <w:jc w:val="center"/>
              <w:rPr>
                <w:rFonts w:eastAsia="Calibri" w:cs="Calibri"/>
                <w:noProof/>
              </w:rPr>
            </w:pPr>
            <w:r>
              <w:rPr>
                <w:noProof/>
              </w:rPr>
              <w:t>2.6</w:t>
            </w:r>
          </w:p>
        </w:tc>
        <w:tc>
          <w:tcPr>
            <w:tcW w:w="1760" w:type="dxa"/>
            <w:tcBorders>
              <w:top w:val="nil"/>
              <w:left w:val="nil"/>
              <w:bottom w:val="single" w:sz="4" w:space="0" w:color="auto"/>
              <w:right w:val="single" w:sz="4" w:space="0" w:color="auto"/>
            </w:tcBorders>
            <w:shd w:val="clear" w:color="auto" w:fill="C4EFCE"/>
            <w:vAlign w:val="center"/>
            <w:hideMark/>
          </w:tcPr>
          <w:p w14:paraId="28C51A54" w14:textId="77777777" w:rsidR="00A15990" w:rsidRDefault="00686A62">
            <w:pPr>
              <w:pStyle w:val="P68B1DB1-Normal23"/>
              <w:spacing w:after="0"/>
              <w:jc w:val="center"/>
              <w:rPr>
                <w:rFonts w:eastAsia="Calibri" w:cs="Calibri"/>
                <w:noProof/>
              </w:rPr>
            </w:pPr>
            <w:r>
              <w:rPr>
                <w:noProof/>
              </w:rPr>
              <w:t xml:space="preserve">RE-C02-i01  </w:t>
            </w:r>
          </w:p>
        </w:tc>
        <w:tc>
          <w:tcPr>
            <w:tcW w:w="1520" w:type="dxa"/>
            <w:tcBorders>
              <w:top w:val="nil"/>
              <w:left w:val="nil"/>
              <w:bottom w:val="single" w:sz="4" w:space="0" w:color="auto"/>
              <w:right w:val="single" w:sz="4" w:space="0" w:color="auto"/>
            </w:tcBorders>
            <w:shd w:val="clear" w:color="auto" w:fill="C4EFCE"/>
            <w:vAlign w:val="center"/>
            <w:hideMark/>
          </w:tcPr>
          <w:p w14:paraId="2C8FD9A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9E1DBC" w14:textId="04B7C21A" w:rsidR="00A15990" w:rsidRDefault="00686A62">
            <w:pPr>
              <w:pStyle w:val="P68B1DB1-Normal23"/>
              <w:spacing w:after="0"/>
              <w:jc w:val="both"/>
              <w:rPr>
                <w:rFonts w:eastAsia="Calibri" w:cs="Calibri"/>
                <w:noProof/>
              </w:rPr>
            </w:pPr>
            <w:r>
              <w:rPr>
                <w:noProof/>
              </w:rPr>
              <w:t>Ajutor național pentru cazare de urgență și temporară – Locuințe cu lucrări de construcții începute sau achiziționate pentru spații de cazare de urgență și de tranziție (care urmează să fie construite sau achiziționate cu un standard de eficiență energetică sau reabilitate cu o performanță energetică îmbunătățită) în construcție</w:t>
            </w:r>
          </w:p>
        </w:tc>
      </w:tr>
      <w:tr w:rsidR="00A15990" w14:paraId="1443E2D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4067DB" w14:textId="77777777" w:rsidR="00A15990" w:rsidRDefault="00686A62">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65DD212F" w14:textId="77777777" w:rsidR="00A15990" w:rsidRDefault="00686A62">
            <w:pPr>
              <w:pStyle w:val="P68B1DB1-Normal23"/>
              <w:spacing w:after="0"/>
              <w:jc w:val="center"/>
              <w:rPr>
                <w:rFonts w:eastAsia="Calibri" w:cs="Calibri"/>
                <w:noProof/>
              </w:rPr>
            </w:pPr>
            <w:r>
              <w:rPr>
                <w:noProof/>
              </w:rPr>
              <w:t xml:space="preserve">RE-C02-i04-RAA  </w:t>
            </w:r>
          </w:p>
        </w:tc>
        <w:tc>
          <w:tcPr>
            <w:tcW w:w="1520" w:type="dxa"/>
            <w:tcBorders>
              <w:top w:val="nil"/>
              <w:left w:val="nil"/>
              <w:bottom w:val="single" w:sz="4" w:space="0" w:color="auto"/>
              <w:right w:val="single" w:sz="4" w:space="0" w:color="auto"/>
            </w:tcBorders>
            <w:shd w:val="clear" w:color="auto" w:fill="C4EFCE"/>
            <w:vAlign w:val="center"/>
            <w:hideMark/>
          </w:tcPr>
          <w:p w14:paraId="6F4F062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5ACE116" w14:textId="77777777" w:rsidR="00A15990" w:rsidRDefault="00686A62">
            <w:pPr>
              <w:pStyle w:val="P68B1DB1-Normal23"/>
              <w:spacing w:after="0"/>
              <w:jc w:val="both"/>
              <w:rPr>
                <w:rFonts w:eastAsia="Calibri" w:cs="Calibri"/>
                <w:noProof/>
              </w:rPr>
            </w:pPr>
            <w:r>
              <w:rPr>
                <w:noProof/>
              </w:rPr>
              <w:t>Intervenții în fondul locativ public al Regiunii Autonome Azore – renovare</w:t>
            </w:r>
          </w:p>
        </w:tc>
      </w:tr>
      <w:tr w:rsidR="00A15990" w14:paraId="3C8F60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61D70E" w14:textId="77777777" w:rsidR="00A15990" w:rsidRDefault="00686A62">
            <w:pPr>
              <w:pStyle w:val="P68B1DB1-Normal23"/>
              <w:spacing w:after="0"/>
              <w:jc w:val="center"/>
              <w:rPr>
                <w:rFonts w:eastAsia="Calibri" w:cs="Calibri"/>
                <w:noProof/>
              </w:rPr>
            </w:pPr>
            <w:r>
              <w:rPr>
                <w:noProof/>
              </w:rPr>
              <w:t>4.7</w:t>
            </w:r>
          </w:p>
        </w:tc>
        <w:tc>
          <w:tcPr>
            <w:tcW w:w="1760" w:type="dxa"/>
            <w:tcBorders>
              <w:top w:val="nil"/>
              <w:left w:val="nil"/>
              <w:bottom w:val="single" w:sz="4" w:space="0" w:color="auto"/>
              <w:right w:val="single" w:sz="4" w:space="0" w:color="auto"/>
            </w:tcBorders>
            <w:shd w:val="clear" w:color="auto" w:fill="C4EFCE"/>
            <w:vAlign w:val="center"/>
          </w:tcPr>
          <w:p w14:paraId="4383E71D" w14:textId="77777777" w:rsidR="00A15990" w:rsidRDefault="00686A62">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tcPr>
          <w:p w14:paraId="364611C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9243198" w14:textId="77777777" w:rsidR="00A15990" w:rsidRDefault="00686A62">
            <w:pPr>
              <w:pStyle w:val="P68B1DB1-Normal23"/>
              <w:spacing w:after="0"/>
              <w:jc w:val="both"/>
              <w:rPr>
                <w:rFonts w:eastAsia="Calibri" w:cs="Calibri"/>
                <w:noProof/>
              </w:rPr>
            </w:pPr>
            <w:r>
              <w:rPr>
                <w:noProof/>
              </w:rPr>
              <w:t>Contracte semnate pentru reabilitarea și conservarea clădirilor din patrimoniul cultural și a teatrelor naționale</w:t>
            </w:r>
          </w:p>
        </w:tc>
      </w:tr>
      <w:tr w:rsidR="00A15990" w14:paraId="0E46631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6A3F0B" w14:textId="77777777" w:rsidR="00A15990" w:rsidRDefault="00686A62">
            <w:pPr>
              <w:pStyle w:val="P68B1DB1-Normal23"/>
              <w:spacing w:after="0"/>
              <w:jc w:val="center"/>
              <w:rPr>
                <w:rFonts w:eastAsia="Calibri" w:cs="Calibri"/>
                <w:noProof/>
              </w:rPr>
            </w:pPr>
            <w:r>
              <w:rPr>
                <w:noProof/>
              </w:rPr>
              <w:t>4.9</w:t>
            </w:r>
          </w:p>
        </w:tc>
        <w:tc>
          <w:tcPr>
            <w:tcW w:w="1760" w:type="dxa"/>
            <w:tcBorders>
              <w:top w:val="nil"/>
              <w:left w:val="nil"/>
              <w:bottom w:val="single" w:sz="4" w:space="0" w:color="auto"/>
              <w:right w:val="single" w:sz="4" w:space="0" w:color="auto"/>
            </w:tcBorders>
            <w:shd w:val="clear" w:color="auto" w:fill="C4EFCE"/>
            <w:vAlign w:val="center"/>
            <w:hideMark/>
          </w:tcPr>
          <w:p w14:paraId="7E0183E0" w14:textId="77777777" w:rsidR="00A15990" w:rsidRDefault="00686A62">
            <w:pPr>
              <w:pStyle w:val="P68B1DB1-Normal23"/>
              <w:spacing w:after="0"/>
              <w:jc w:val="center"/>
              <w:rPr>
                <w:rFonts w:eastAsia="Calibri" w:cs="Calibri"/>
                <w:noProof/>
              </w:rPr>
            </w:pPr>
            <w:r>
              <w:rPr>
                <w:noProof/>
              </w:rPr>
              <w:t xml:space="preserve">RE-C04-i01  </w:t>
            </w:r>
          </w:p>
        </w:tc>
        <w:tc>
          <w:tcPr>
            <w:tcW w:w="1520" w:type="dxa"/>
            <w:tcBorders>
              <w:top w:val="nil"/>
              <w:left w:val="nil"/>
              <w:bottom w:val="single" w:sz="4" w:space="0" w:color="auto"/>
              <w:right w:val="single" w:sz="4" w:space="0" w:color="auto"/>
            </w:tcBorders>
            <w:shd w:val="clear" w:color="auto" w:fill="C4EFCE"/>
            <w:vAlign w:val="center"/>
            <w:hideMark/>
          </w:tcPr>
          <w:p w14:paraId="1B2D246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D98EC2" w14:textId="77777777" w:rsidR="00A15990" w:rsidRDefault="00686A62">
            <w:pPr>
              <w:pStyle w:val="P68B1DB1-Normal23"/>
              <w:spacing w:after="0"/>
              <w:jc w:val="both"/>
              <w:rPr>
                <w:rFonts w:eastAsia="Calibri" w:cs="Calibri"/>
                <w:noProof/>
              </w:rPr>
            </w:pPr>
            <w:r>
              <w:rPr>
                <w:noProof/>
              </w:rPr>
              <w:t>Modernizarea tehnologică a ANIM – Arhiva Națională a Imaginilor în mișcare</w:t>
            </w:r>
          </w:p>
        </w:tc>
      </w:tr>
      <w:tr w:rsidR="00A15990" w14:paraId="11D11A0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D538507" w14:textId="77777777" w:rsidR="00A15990" w:rsidRDefault="00686A62">
            <w:pPr>
              <w:pStyle w:val="P68B1DB1-Normal23"/>
              <w:spacing w:after="0"/>
              <w:jc w:val="center"/>
              <w:rPr>
                <w:rFonts w:eastAsia="Calibri" w:cs="Calibri"/>
                <w:noProof/>
              </w:rPr>
            </w:pPr>
            <w:r>
              <w:rPr>
                <w:noProof/>
              </w:rPr>
              <w:t>6.3</w:t>
            </w:r>
          </w:p>
        </w:tc>
        <w:tc>
          <w:tcPr>
            <w:tcW w:w="1760" w:type="dxa"/>
            <w:tcBorders>
              <w:top w:val="nil"/>
              <w:left w:val="nil"/>
              <w:bottom w:val="single" w:sz="4" w:space="0" w:color="auto"/>
              <w:right w:val="single" w:sz="4" w:space="0" w:color="auto"/>
            </w:tcBorders>
            <w:shd w:val="clear" w:color="auto" w:fill="C4EFCE"/>
            <w:vAlign w:val="center"/>
            <w:hideMark/>
          </w:tcPr>
          <w:p w14:paraId="48232F11" w14:textId="77777777" w:rsidR="00A15990" w:rsidRDefault="00686A62">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08D16AA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F478F4" w14:textId="77777777" w:rsidR="00A15990" w:rsidRDefault="00686A62">
            <w:pPr>
              <w:pStyle w:val="P68B1DB1-Normal23"/>
              <w:spacing w:after="0"/>
              <w:jc w:val="both"/>
              <w:rPr>
                <w:rFonts w:eastAsia="Calibri" w:cs="Calibri"/>
                <w:noProof/>
              </w:rPr>
            </w:pPr>
            <w:r>
              <w:rPr>
                <w:noProof/>
              </w:rPr>
              <w:t>Stații de formare modernizate</w:t>
            </w:r>
          </w:p>
        </w:tc>
      </w:tr>
      <w:tr w:rsidR="00A15990" w14:paraId="11B5A5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DDF91C0" w14:textId="77777777" w:rsidR="00A15990" w:rsidRDefault="00686A62">
            <w:pPr>
              <w:pStyle w:val="P68B1DB1-Normal23"/>
              <w:spacing w:after="0"/>
              <w:jc w:val="center"/>
              <w:rPr>
                <w:rFonts w:eastAsia="Calibri" w:cs="Calibri"/>
                <w:noProof/>
              </w:rPr>
            </w:pPr>
            <w:r>
              <w:rPr>
                <w:noProof/>
              </w:rPr>
              <w:t>7.14</w:t>
            </w:r>
          </w:p>
        </w:tc>
        <w:tc>
          <w:tcPr>
            <w:tcW w:w="1760" w:type="dxa"/>
            <w:tcBorders>
              <w:top w:val="nil"/>
              <w:left w:val="nil"/>
              <w:bottom w:val="single" w:sz="4" w:space="0" w:color="auto"/>
              <w:right w:val="single" w:sz="4" w:space="0" w:color="auto"/>
            </w:tcBorders>
            <w:shd w:val="clear" w:color="auto" w:fill="C4EFCE"/>
            <w:vAlign w:val="center"/>
            <w:hideMark/>
          </w:tcPr>
          <w:p w14:paraId="24E7301E" w14:textId="77777777" w:rsidR="00A15990" w:rsidRDefault="00686A62">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542DBFA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A1EFBFA" w14:textId="77777777" w:rsidR="00A15990" w:rsidRDefault="00686A62">
            <w:pPr>
              <w:pStyle w:val="P68B1DB1-Normal23"/>
              <w:spacing w:after="0"/>
              <w:jc w:val="both"/>
              <w:rPr>
                <w:rFonts w:eastAsia="Calibri" w:cs="Calibri"/>
                <w:noProof/>
              </w:rPr>
            </w:pPr>
            <w:r>
              <w:rPr>
                <w:noProof/>
              </w:rPr>
              <w:t>Contract semnat pentru 8 proiecte rutiere</w:t>
            </w:r>
          </w:p>
        </w:tc>
      </w:tr>
      <w:tr w:rsidR="00A15990" w14:paraId="0D73086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9AE6C3" w14:textId="77777777" w:rsidR="00A15990" w:rsidRDefault="00686A62">
            <w:pPr>
              <w:pStyle w:val="P68B1DB1-Normal23"/>
              <w:spacing w:after="0"/>
              <w:jc w:val="center"/>
              <w:rPr>
                <w:rFonts w:eastAsia="Calibri" w:cs="Calibri"/>
                <w:noProof/>
              </w:rPr>
            </w:pPr>
            <w:r>
              <w:rPr>
                <w:noProof/>
              </w:rPr>
              <w:t>8.5</w:t>
            </w:r>
          </w:p>
        </w:tc>
        <w:tc>
          <w:tcPr>
            <w:tcW w:w="1760" w:type="dxa"/>
            <w:tcBorders>
              <w:top w:val="nil"/>
              <w:left w:val="nil"/>
              <w:bottom w:val="single" w:sz="4" w:space="0" w:color="auto"/>
              <w:right w:val="single" w:sz="4" w:space="0" w:color="auto"/>
            </w:tcBorders>
            <w:shd w:val="clear" w:color="auto" w:fill="C4EFCE"/>
            <w:vAlign w:val="center"/>
            <w:hideMark/>
          </w:tcPr>
          <w:p w14:paraId="51937059" w14:textId="77777777" w:rsidR="00A15990" w:rsidRDefault="00686A62">
            <w:pPr>
              <w:pStyle w:val="P68B1DB1-Normal23"/>
              <w:spacing w:after="0"/>
              <w:jc w:val="center"/>
              <w:rPr>
                <w:rFonts w:eastAsia="Calibri" w:cs="Calibri"/>
                <w:noProof/>
              </w:rPr>
            </w:pPr>
            <w:r>
              <w:rPr>
                <w:noProof/>
              </w:rPr>
              <w:t>RE-C08-i02</w:t>
            </w:r>
          </w:p>
        </w:tc>
        <w:tc>
          <w:tcPr>
            <w:tcW w:w="1520" w:type="dxa"/>
            <w:tcBorders>
              <w:top w:val="nil"/>
              <w:left w:val="nil"/>
              <w:bottom w:val="single" w:sz="4" w:space="0" w:color="auto"/>
              <w:right w:val="single" w:sz="4" w:space="0" w:color="auto"/>
            </w:tcBorders>
            <w:shd w:val="clear" w:color="auto" w:fill="C4EFCE"/>
            <w:vAlign w:val="center"/>
            <w:hideMark/>
          </w:tcPr>
          <w:p w14:paraId="2049F84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0C76B7A" w14:textId="77777777" w:rsidR="00A15990" w:rsidRDefault="00686A62">
            <w:pPr>
              <w:pStyle w:val="P68B1DB1-Normal23"/>
              <w:spacing w:after="0"/>
              <w:jc w:val="both"/>
              <w:rPr>
                <w:rFonts w:eastAsia="Calibri" w:cs="Calibri"/>
                <w:noProof/>
              </w:rPr>
            </w:pPr>
            <w:r>
              <w:rPr>
                <w:noProof/>
              </w:rPr>
              <w:t>Formare privind BUPi</w:t>
            </w:r>
          </w:p>
        </w:tc>
      </w:tr>
      <w:tr w:rsidR="00A15990" w14:paraId="674B7D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172706" w14:textId="77777777" w:rsidR="00A15990" w:rsidRDefault="00686A62">
            <w:pPr>
              <w:pStyle w:val="P68B1DB1-Normal23"/>
              <w:spacing w:after="0"/>
              <w:jc w:val="center"/>
              <w:rPr>
                <w:rFonts w:eastAsia="Calibri" w:cs="Calibri"/>
                <w:noProof/>
              </w:rPr>
            </w:pPr>
            <w:r>
              <w:rPr>
                <w:noProof/>
              </w:rPr>
              <w:t>8.12</w:t>
            </w:r>
          </w:p>
        </w:tc>
        <w:tc>
          <w:tcPr>
            <w:tcW w:w="1760" w:type="dxa"/>
            <w:tcBorders>
              <w:top w:val="nil"/>
              <w:left w:val="nil"/>
              <w:bottom w:val="single" w:sz="4" w:space="0" w:color="auto"/>
              <w:right w:val="single" w:sz="4" w:space="0" w:color="auto"/>
            </w:tcBorders>
            <w:shd w:val="clear" w:color="auto" w:fill="C4EFCE"/>
            <w:vAlign w:val="center"/>
            <w:hideMark/>
          </w:tcPr>
          <w:p w14:paraId="4040DA76" w14:textId="77777777" w:rsidR="00A15990" w:rsidRDefault="00686A62">
            <w:pPr>
              <w:pStyle w:val="P68B1DB1-Normal23"/>
              <w:spacing w:after="0"/>
              <w:jc w:val="center"/>
              <w:rPr>
                <w:rFonts w:eastAsia="Calibri" w:cs="Calibri"/>
                <w:noProof/>
              </w:rPr>
            </w:pPr>
            <w:r>
              <w:rPr>
                <w:noProof/>
              </w:rPr>
              <w:t>RE-C08-i04</w:t>
            </w:r>
          </w:p>
        </w:tc>
        <w:tc>
          <w:tcPr>
            <w:tcW w:w="1520" w:type="dxa"/>
            <w:tcBorders>
              <w:top w:val="nil"/>
              <w:left w:val="nil"/>
              <w:bottom w:val="single" w:sz="4" w:space="0" w:color="auto"/>
              <w:right w:val="single" w:sz="4" w:space="0" w:color="auto"/>
            </w:tcBorders>
            <w:shd w:val="clear" w:color="auto" w:fill="C4EFCE"/>
            <w:vAlign w:val="center"/>
            <w:hideMark/>
          </w:tcPr>
          <w:p w14:paraId="1309AD1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415AF6" w14:textId="77777777" w:rsidR="00A15990" w:rsidRDefault="00686A62">
            <w:pPr>
              <w:pStyle w:val="P68B1DB1-Normal23"/>
              <w:spacing w:after="0"/>
              <w:jc w:val="both"/>
              <w:rPr>
                <w:rFonts w:eastAsia="Calibri" w:cs="Calibri"/>
                <w:noProof/>
              </w:rPr>
            </w:pPr>
            <w:r>
              <w:rPr>
                <w:noProof/>
              </w:rPr>
              <w:t>Instalarea de radare cu polarizare dublă</w:t>
            </w:r>
          </w:p>
        </w:tc>
      </w:tr>
      <w:tr w:rsidR="00A15990" w14:paraId="6B5640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629444E" w14:textId="77777777" w:rsidR="00A15990" w:rsidRDefault="00686A62">
            <w:pPr>
              <w:pStyle w:val="P68B1DB1-Normal23"/>
              <w:spacing w:after="0"/>
              <w:jc w:val="center"/>
              <w:rPr>
                <w:rFonts w:eastAsia="Calibri" w:cs="Calibri"/>
                <w:noProof/>
              </w:rPr>
            </w:pPr>
            <w:r>
              <w:rPr>
                <w:noProof/>
              </w:rPr>
              <w:t>10.8</w:t>
            </w:r>
          </w:p>
        </w:tc>
        <w:tc>
          <w:tcPr>
            <w:tcW w:w="1760" w:type="dxa"/>
            <w:tcBorders>
              <w:top w:val="nil"/>
              <w:left w:val="nil"/>
              <w:bottom w:val="single" w:sz="4" w:space="0" w:color="auto"/>
              <w:right w:val="single" w:sz="4" w:space="0" w:color="auto"/>
            </w:tcBorders>
            <w:shd w:val="clear" w:color="auto" w:fill="C4EFCE"/>
            <w:vAlign w:val="center"/>
            <w:hideMark/>
          </w:tcPr>
          <w:p w14:paraId="082E522F" w14:textId="77777777" w:rsidR="00A15990" w:rsidRDefault="00686A62">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7413937D"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0E0804" w14:textId="77777777" w:rsidR="00A15990" w:rsidRDefault="00686A62">
            <w:pPr>
              <w:pStyle w:val="P68B1DB1-Normal23"/>
              <w:spacing w:after="0"/>
              <w:jc w:val="both"/>
              <w:rPr>
                <w:rFonts w:eastAsia="Calibri" w:cs="Calibri"/>
                <w:noProof/>
              </w:rPr>
            </w:pPr>
            <w:r>
              <w:rPr>
                <w:noProof/>
              </w:rPr>
              <w:t>Începerea contractului de lucrări publice pentru centrul tehnic MARTEC</w:t>
            </w:r>
          </w:p>
        </w:tc>
      </w:tr>
      <w:tr w:rsidR="00A15990" w14:paraId="17B7232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F9CBF5" w14:textId="77777777" w:rsidR="00A15990" w:rsidRDefault="00686A62">
            <w:pPr>
              <w:pStyle w:val="P68B1DB1-Normal23"/>
              <w:spacing w:after="0"/>
              <w:jc w:val="center"/>
              <w:rPr>
                <w:rFonts w:eastAsia="Calibri" w:cs="Calibri"/>
                <w:noProof/>
              </w:rPr>
            </w:pPr>
            <w:r>
              <w:rPr>
                <w:noProof/>
              </w:rPr>
              <w:t>11.2</w:t>
            </w:r>
          </w:p>
        </w:tc>
        <w:tc>
          <w:tcPr>
            <w:tcW w:w="1760" w:type="dxa"/>
            <w:tcBorders>
              <w:top w:val="nil"/>
              <w:left w:val="nil"/>
              <w:bottom w:val="single" w:sz="4" w:space="0" w:color="auto"/>
              <w:right w:val="single" w:sz="4" w:space="0" w:color="auto"/>
            </w:tcBorders>
            <w:shd w:val="clear" w:color="auto" w:fill="C4EFCE"/>
            <w:vAlign w:val="center"/>
            <w:hideMark/>
          </w:tcPr>
          <w:p w14:paraId="181258D6" w14:textId="77777777" w:rsidR="00A15990" w:rsidRDefault="00686A62">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12E6D3A0"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C515859" w14:textId="77777777" w:rsidR="00A15990" w:rsidRDefault="00686A62">
            <w:pPr>
              <w:pStyle w:val="P68B1DB1-Normal23"/>
              <w:spacing w:after="0"/>
              <w:jc w:val="both"/>
              <w:rPr>
                <w:rFonts w:eastAsia="Calibri" w:cs="Calibri"/>
                <w:noProof/>
              </w:rPr>
            </w:pPr>
            <w:r>
              <w:rPr>
                <w:noProof/>
              </w:rPr>
              <w:t>Semnarea contractelor de acordare a sprijinului financiar</w:t>
            </w:r>
          </w:p>
        </w:tc>
      </w:tr>
      <w:tr w:rsidR="00A15990" w14:paraId="5A90F30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CC5A52" w14:textId="77777777" w:rsidR="00A15990" w:rsidRDefault="00686A62">
            <w:pPr>
              <w:pStyle w:val="P68B1DB1-Normal23"/>
              <w:spacing w:after="0"/>
              <w:jc w:val="center"/>
              <w:rPr>
                <w:rFonts w:eastAsia="Calibri" w:cs="Calibri"/>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25B1DCC0" w14:textId="77777777" w:rsidR="00A15990" w:rsidRDefault="00686A62">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336E66E0"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D6D70E6" w14:textId="77777777" w:rsidR="00A15990" w:rsidRDefault="00686A62">
            <w:pPr>
              <w:pStyle w:val="P68B1DB1-Normal23"/>
              <w:spacing w:after="0"/>
              <w:jc w:val="both"/>
              <w:rPr>
                <w:rFonts w:eastAsia="Calibri" w:cs="Calibri"/>
                <w:noProof/>
              </w:rPr>
            </w:pPr>
            <w:r>
              <w:rPr>
                <w:noProof/>
              </w:rPr>
              <w:t>Intrarea în vigoare a definiției armonizate a criteriilor pentru ecomodulare</w:t>
            </w:r>
          </w:p>
        </w:tc>
      </w:tr>
      <w:tr w:rsidR="00A15990" w14:paraId="7D943D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C76A33" w14:textId="77777777" w:rsidR="00A15990" w:rsidRDefault="00686A62">
            <w:pPr>
              <w:pStyle w:val="P68B1DB1-Normal23"/>
              <w:spacing w:after="0"/>
              <w:jc w:val="center"/>
              <w:rPr>
                <w:rFonts w:eastAsia="Calibri" w:cs="Calibri"/>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E41CB2B" w14:textId="77777777" w:rsidR="00A15990" w:rsidRDefault="00686A62">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4D1C03A4"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C48E4F" w14:textId="77777777" w:rsidR="00A15990" w:rsidRDefault="00686A62">
            <w:pPr>
              <w:pStyle w:val="P68B1DB1-Normal23"/>
              <w:spacing w:after="0"/>
              <w:jc w:val="both"/>
              <w:rPr>
                <w:rFonts w:eastAsia="Calibri" w:cs="Calibri"/>
                <w:noProof/>
              </w:rPr>
            </w:pPr>
            <w:r>
              <w:rPr>
                <w:noProof/>
              </w:rPr>
              <w:t>Sistem de stimulare a recuperării (sistem de garanție și de rambursare) pentru sticlele din plastic nereutilizabile, metalele feroase și aluminiul</w:t>
            </w:r>
          </w:p>
        </w:tc>
      </w:tr>
      <w:tr w:rsidR="00A15990" w14:paraId="4A314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71D74" w14:textId="77777777" w:rsidR="00A15990" w:rsidRDefault="00686A62">
            <w:pPr>
              <w:pStyle w:val="P68B1DB1-Normal23"/>
              <w:spacing w:after="0"/>
              <w:jc w:val="center"/>
              <w:rPr>
                <w:rFonts w:eastAsia="Calibri" w:cs="Calibri"/>
                <w:noProof/>
              </w:rPr>
            </w:pPr>
            <w:r>
              <w:rPr>
                <w:noProof/>
              </w:rPr>
              <w:t>15.1</w:t>
            </w:r>
          </w:p>
        </w:tc>
        <w:tc>
          <w:tcPr>
            <w:tcW w:w="1760" w:type="dxa"/>
            <w:tcBorders>
              <w:top w:val="nil"/>
              <w:left w:val="nil"/>
              <w:bottom w:val="single" w:sz="4" w:space="0" w:color="auto"/>
              <w:right w:val="single" w:sz="4" w:space="0" w:color="auto"/>
            </w:tcBorders>
            <w:shd w:val="clear" w:color="auto" w:fill="C4EFCE"/>
            <w:vAlign w:val="center"/>
            <w:hideMark/>
          </w:tcPr>
          <w:p w14:paraId="1B01C488" w14:textId="77777777" w:rsidR="00A15990" w:rsidRDefault="00686A62">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2DDD63A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44099B" w14:textId="77777777" w:rsidR="00A15990" w:rsidRDefault="00686A62">
            <w:pPr>
              <w:pStyle w:val="P68B1DB1-Normal23"/>
              <w:spacing w:after="0"/>
              <w:jc w:val="both"/>
              <w:rPr>
                <w:rFonts w:eastAsia="Calibri" w:cs="Calibri"/>
                <w:noProof/>
              </w:rPr>
            </w:pPr>
            <w:r>
              <w:rPr>
                <w:noProof/>
              </w:rPr>
              <w:t>Semnarea contractului pentru extinderea rețelei de metrou Lisabona</w:t>
            </w:r>
          </w:p>
        </w:tc>
      </w:tr>
      <w:tr w:rsidR="00A15990" w14:paraId="36710B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221066" w14:textId="77777777" w:rsidR="00A15990" w:rsidRDefault="00686A62">
            <w:pPr>
              <w:pStyle w:val="P68B1DB1-Normal23"/>
              <w:spacing w:after="0"/>
              <w:jc w:val="center"/>
              <w:rPr>
                <w:rFonts w:eastAsia="Calibri" w:cs="Calibri"/>
                <w:noProof/>
              </w:rPr>
            </w:pPr>
            <w:r>
              <w:rPr>
                <w:noProof/>
              </w:rPr>
              <w:t>15.4</w:t>
            </w:r>
          </w:p>
        </w:tc>
        <w:tc>
          <w:tcPr>
            <w:tcW w:w="1760" w:type="dxa"/>
            <w:tcBorders>
              <w:top w:val="nil"/>
              <w:left w:val="nil"/>
              <w:bottom w:val="single" w:sz="4" w:space="0" w:color="auto"/>
              <w:right w:val="single" w:sz="4" w:space="0" w:color="auto"/>
            </w:tcBorders>
            <w:shd w:val="clear" w:color="auto" w:fill="C4EFCE"/>
            <w:vAlign w:val="center"/>
            <w:hideMark/>
          </w:tcPr>
          <w:p w14:paraId="15DC13F1" w14:textId="77777777" w:rsidR="00A15990" w:rsidRDefault="00686A62">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36F5B3D5"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B00BD76" w14:textId="77777777" w:rsidR="00A15990" w:rsidRDefault="00686A62">
            <w:pPr>
              <w:pStyle w:val="P68B1DB1-Normal23"/>
              <w:spacing w:after="0"/>
              <w:jc w:val="both"/>
              <w:rPr>
                <w:rFonts w:eastAsia="Calibri" w:cs="Calibri"/>
                <w:noProof/>
              </w:rPr>
            </w:pPr>
            <w:r>
              <w:rPr>
                <w:noProof/>
              </w:rPr>
              <w:t>Semnarea contractului pentru extinderea rețelei de metrou Porto</w:t>
            </w:r>
          </w:p>
        </w:tc>
      </w:tr>
      <w:tr w:rsidR="00A15990" w14:paraId="66F49B4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9D2C062" w14:textId="77777777" w:rsidR="00A15990" w:rsidRDefault="00686A62">
            <w:pPr>
              <w:pStyle w:val="P68B1DB1-Normal23"/>
              <w:spacing w:after="0"/>
              <w:jc w:val="center"/>
              <w:rPr>
                <w:rFonts w:eastAsia="Calibri" w:cs="Calibri"/>
                <w:noProof/>
              </w:rPr>
            </w:pPr>
            <w:r>
              <w:rPr>
                <w:noProof/>
              </w:rPr>
              <w:t>15.13</w:t>
            </w:r>
          </w:p>
        </w:tc>
        <w:tc>
          <w:tcPr>
            <w:tcW w:w="1760" w:type="dxa"/>
            <w:tcBorders>
              <w:top w:val="nil"/>
              <w:left w:val="nil"/>
              <w:bottom w:val="single" w:sz="4" w:space="0" w:color="auto"/>
              <w:right w:val="single" w:sz="4" w:space="0" w:color="auto"/>
            </w:tcBorders>
            <w:shd w:val="clear" w:color="auto" w:fill="C4EFCE"/>
            <w:vAlign w:val="center"/>
            <w:hideMark/>
          </w:tcPr>
          <w:p w14:paraId="152B40C0" w14:textId="77777777" w:rsidR="00A15990" w:rsidRDefault="00686A62">
            <w:pPr>
              <w:pStyle w:val="P68B1DB1-Normal23"/>
              <w:spacing w:after="0"/>
              <w:jc w:val="center"/>
              <w:rPr>
                <w:rFonts w:eastAsia="Calibri" w:cs="Calibri"/>
                <w:noProof/>
              </w:rPr>
            </w:pPr>
            <w:r>
              <w:rPr>
                <w:noProof/>
              </w:rPr>
              <w:t xml:space="preserve">TC-C15-I05  </w:t>
            </w:r>
          </w:p>
        </w:tc>
        <w:tc>
          <w:tcPr>
            <w:tcW w:w="1520" w:type="dxa"/>
            <w:tcBorders>
              <w:top w:val="nil"/>
              <w:left w:val="nil"/>
              <w:bottom w:val="single" w:sz="4" w:space="0" w:color="auto"/>
              <w:right w:val="single" w:sz="4" w:space="0" w:color="auto"/>
            </w:tcBorders>
            <w:shd w:val="clear" w:color="auto" w:fill="C4EFCE"/>
            <w:vAlign w:val="center"/>
            <w:hideMark/>
          </w:tcPr>
          <w:p w14:paraId="375FD4B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70A847" w14:textId="77777777" w:rsidR="00A15990" w:rsidRDefault="00686A62">
            <w:pPr>
              <w:pStyle w:val="P68B1DB1-Normal23"/>
              <w:spacing w:after="0"/>
              <w:jc w:val="both"/>
              <w:rPr>
                <w:rFonts w:eastAsia="Calibri" w:cs="Calibri"/>
                <w:noProof/>
              </w:rPr>
            </w:pPr>
            <w:r>
              <w:rPr>
                <w:noProof/>
              </w:rPr>
              <w:t>Achiziționarea de autobuze noi cu emisii zero (electrice sau pe bază de hidrogen) utilizate pentru transportul public</w:t>
            </w:r>
          </w:p>
        </w:tc>
      </w:tr>
      <w:tr w:rsidR="00A15990" w14:paraId="716C2B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F62426" w14:textId="77777777" w:rsidR="00A15990" w:rsidRDefault="00686A62">
            <w:pPr>
              <w:pStyle w:val="P68B1DB1-Normal23"/>
              <w:spacing w:after="0"/>
              <w:jc w:val="center"/>
              <w:rPr>
                <w:rFonts w:eastAsia="Calibri" w:cs="Calibri"/>
                <w:noProof/>
              </w:rPr>
            </w:pPr>
            <w:r>
              <w:rPr>
                <w:noProof/>
              </w:rPr>
              <w:t>15.14</w:t>
            </w:r>
          </w:p>
        </w:tc>
        <w:tc>
          <w:tcPr>
            <w:tcW w:w="1760" w:type="dxa"/>
            <w:tcBorders>
              <w:top w:val="nil"/>
              <w:left w:val="nil"/>
              <w:bottom w:val="single" w:sz="4" w:space="0" w:color="auto"/>
              <w:right w:val="single" w:sz="4" w:space="0" w:color="auto"/>
            </w:tcBorders>
            <w:shd w:val="clear" w:color="auto" w:fill="C4EFCE"/>
            <w:vAlign w:val="center"/>
            <w:hideMark/>
          </w:tcPr>
          <w:p w14:paraId="0DD59D79" w14:textId="77777777" w:rsidR="00A15990" w:rsidRDefault="00686A62">
            <w:pPr>
              <w:pStyle w:val="P68B1DB1-Normal23"/>
              <w:spacing w:after="0"/>
              <w:jc w:val="center"/>
              <w:rPr>
                <w:rFonts w:eastAsia="Calibri" w:cs="Calibri"/>
                <w:noProof/>
              </w:rPr>
            </w:pPr>
            <w:r>
              <w:rPr>
                <w:noProof/>
              </w:rPr>
              <w:t xml:space="preserve">TC-C15-r30  </w:t>
            </w:r>
          </w:p>
        </w:tc>
        <w:tc>
          <w:tcPr>
            <w:tcW w:w="1520" w:type="dxa"/>
            <w:tcBorders>
              <w:top w:val="nil"/>
              <w:left w:val="nil"/>
              <w:bottom w:val="single" w:sz="4" w:space="0" w:color="auto"/>
              <w:right w:val="single" w:sz="4" w:space="0" w:color="auto"/>
            </w:tcBorders>
            <w:shd w:val="clear" w:color="auto" w:fill="C4EFCE"/>
            <w:vAlign w:val="center"/>
            <w:hideMark/>
          </w:tcPr>
          <w:p w14:paraId="5706F25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8CB798" w14:textId="77777777" w:rsidR="00A15990" w:rsidRDefault="00686A62">
            <w:pPr>
              <w:pStyle w:val="P68B1DB1-Normal23"/>
              <w:spacing w:after="0"/>
              <w:jc w:val="both"/>
              <w:rPr>
                <w:rFonts w:eastAsia="Calibri" w:cs="Calibri"/>
                <w:noProof/>
              </w:rPr>
            </w:pPr>
            <w:r>
              <w:rPr>
                <w:noProof/>
              </w:rPr>
              <w:t>Contracte semnate pentru servicii publice de transport de călători în zonele metropolitane și în comunitățile intermunicipale</w:t>
            </w:r>
          </w:p>
        </w:tc>
      </w:tr>
      <w:tr w:rsidR="00A15990" w14:paraId="1F86F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200" w:type="dxa"/>
            <w:shd w:val="clear" w:color="auto" w:fill="C4EFCE"/>
            <w:vAlign w:val="center"/>
            <w:hideMark/>
          </w:tcPr>
          <w:p w14:paraId="5DDEA1B4" w14:textId="77777777" w:rsidR="00A15990" w:rsidRDefault="00686A62">
            <w:pPr>
              <w:pStyle w:val="P68B1DB1-Normal23"/>
              <w:spacing w:after="0"/>
              <w:jc w:val="center"/>
              <w:rPr>
                <w:noProof/>
              </w:rPr>
            </w:pPr>
            <w:r>
              <w:rPr>
                <w:noProof/>
              </w:rPr>
              <w:t>16.14</w:t>
            </w:r>
          </w:p>
        </w:tc>
        <w:tc>
          <w:tcPr>
            <w:tcW w:w="1760" w:type="dxa"/>
            <w:shd w:val="clear" w:color="auto" w:fill="C4EFCE"/>
            <w:vAlign w:val="center"/>
            <w:hideMark/>
          </w:tcPr>
          <w:p w14:paraId="40EE589F" w14:textId="77777777" w:rsidR="00A15990" w:rsidRDefault="00686A62">
            <w:pPr>
              <w:pStyle w:val="P68B1DB1-Normal23"/>
              <w:spacing w:after="0"/>
              <w:jc w:val="center"/>
              <w:rPr>
                <w:noProof/>
              </w:rPr>
            </w:pPr>
            <w:r>
              <w:rPr>
                <w:noProof/>
              </w:rPr>
              <w:t xml:space="preserve">TD-C16-i03 </w:t>
            </w:r>
          </w:p>
        </w:tc>
        <w:tc>
          <w:tcPr>
            <w:tcW w:w="1520" w:type="dxa"/>
            <w:shd w:val="clear" w:color="auto" w:fill="C4EFCE"/>
            <w:vAlign w:val="center"/>
            <w:hideMark/>
          </w:tcPr>
          <w:p w14:paraId="12CAAAA0"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4006DF5" w14:textId="3316D69D" w:rsidR="00A15990" w:rsidRDefault="00686A62">
            <w:pPr>
              <w:pStyle w:val="P68B1DB1-Normal23"/>
              <w:spacing w:after="0"/>
              <w:jc w:val="both"/>
              <w:rPr>
                <w:rFonts w:eastAsia="Calibri" w:cs="Calibri"/>
                <w:noProof/>
              </w:rPr>
            </w:pPr>
            <w:r>
              <w:rPr>
                <w:noProof/>
              </w:rPr>
              <w:t>Crearea de servicii pentru trimiterea facturilor digitale și certificarea în materie de securitate cibernetică, confidențialitate, utilizare și durabilitate</w:t>
            </w:r>
          </w:p>
        </w:tc>
      </w:tr>
      <w:tr w:rsidR="00A15990" w14:paraId="09C48AE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69C532" w14:textId="77777777" w:rsidR="00A15990" w:rsidRDefault="00686A62">
            <w:pPr>
              <w:pStyle w:val="P68B1DB1-Normal23"/>
              <w:spacing w:after="0"/>
              <w:jc w:val="center"/>
              <w:rPr>
                <w:rFonts w:eastAsia="Calibri" w:cs="Calibri"/>
                <w:noProof/>
              </w:rPr>
            </w:pPr>
            <w:r>
              <w:rPr>
                <w:noProof/>
              </w:rPr>
              <w:t>16.16</w:t>
            </w:r>
          </w:p>
        </w:tc>
        <w:tc>
          <w:tcPr>
            <w:tcW w:w="1760" w:type="dxa"/>
            <w:tcBorders>
              <w:top w:val="nil"/>
              <w:left w:val="nil"/>
              <w:bottom w:val="single" w:sz="4" w:space="0" w:color="auto"/>
              <w:right w:val="single" w:sz="4" w:space="0" w:color="auto"/>
            </w:tcBorders>
            <w:shd w:val="clear" w:color="auto" w:fill="C4EFCE"/>
            <w:vAlign w:val="center"/>
            <w:hideMark/>
          </w:tcPr>
          <w:p w14:paraId="2CBED526" w14:textId="77777777" w:rsidR="00A15990" w:rsidRDefault="00686A62">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3003DF4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F9A9EA3" w14:textId="77777777" w:rsidR="00A15990" w:rsidRDefault="00686A62">
            <w:pPr>
              <w:pStyle w:val="P68B1DB1-Normal23"/>
              <w:spacing w:after="0"/>
              <w:jc w:val="both"/>
              <w:rPr>
                <w:rFonts w:eastAsia="Calibri" w:cs="Calibri"/>
                <w:noProof/>
              </w:rPr>
            </w:pPr>
            <w:r>
              <w:rPr>
                <w:noProof/>
              </w:rPr>
              <w:t>Selectarea proiectelor din cadrul Industriei 4.0</w:t>
            </w:r>
          </w:p>
        </w:tc>
      </w:tr>
      <w:tr w:rsidR="00A15990" w14:paraId="0EE345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10FEBB" w14:textId="77777777" w:rsidR="00A15990" w:rsidRDefault="00686A62">
            <w:pPr>
              <w:pStyle w:val="P68B1DB1-Normal23"/>
              <w:spacing w:after="0"/>
              <w:jc w:val="center"/>
              <w:rPr>
                <w:rFonts w:eastAsia="Calibri" w:cs="Calibri"/>
                <w:noProof/>
              </w:rPr>
            </w:pPr>
            <w:r>
              <w:rPr>
                <w:noProof/>
              </w:rPr>
              <w:t>17.21</w:t>
            </w:r>
          </w:p>
        </w:tc>
        <w:tc>
          <w:tcPr>
            <w:tcW w:w="1760" w:type="dxa"/>
            <w:tcBorders>
              <w:top w:val="nil"/>
              <w:left w:val="nil"/>
              <w:bottom w:val="single" w:sz="4" w:space="0" w:color="auto"/>
              <w:right w:val="single" w:sz="4" w:space="0" w:color="auto"/>
            </w:tcBorders>
            <w:shd w:val="clear" w:color="auto" w:fill="C4EFCE"/>
            <w:vAlign w:val="center"/>
            <w:hideMark/>
          </w:tcPr>
          <w:p w14:paraId="2B0924BA" w14:textId="77777777" w:rsidR="00A15990" w:rsidRDefault="00686A62">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18D2B06A"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C698DD" w14:textId="77777777" w:rsidR="00A15990" w:rsidRDefault="00686A62">
            <w:pPr>
              <w:pStyle w:val="P68B1DB1-Normal23"/>
              <w:spacing w:after="0"/>
              <w:jc w:val="both"/>
              <w:rPr>
                <w:rFonts w:eastAsia="Calibri" w:cs="Calibri"/>
                <w:noProof/>
              </w:rPr>
            </w:pPr>
            <w:r>
              <w:rPr>
                <w:noProof/>
              </w:rPr>
              <w:t>Finalizarea punerii în aplicare a precompletării tranzacției specifice supuse taxei de timbru</w:t>
            </w:r>
          </w:p>
        </w:tc>
      </w:tr>
      <w:tr w:rsidR="00A15990" w14:paraId="7D6C04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F3082E" w14:textId="77777777" w:rsidR="00A15990" w:rsidRDefault="00686A62">
            <w:pPr>
              <w:pStyle w:val="P68B1DB1-Normal23"/>
              <w:spacing w:after="0"/>
              <w:jc w:val="center"/>
              <w:rPr>
                <w:rFonts w:eastAsia="Calibri" w:cs="Calibri"/>
                <w:noProof/>
              </w:rPr>
            </w:pPr>
            <w:r>
              <w:rPr>
                <w:noProof/>
              </w:rPr>
              <w:t>17.23</w:t>
            </w:r>
          </w:p>
        </w:tc>
        <w:tc>
          <w:tcPr>
            <w:tcW w:w="1760" w:type="dxa"/>
            <w:tcBorders>
              <w:top w:val="nil"/>
              <w:left w:val="nil"/>
              <w:bottom w:val="single" w:sz="4" w:space="0" w:color="auto"/>
              <w:right w:val="single" w:sz="4" w:space="0" w:color="auto"/>
            </w:tcBorders>
            <w:shd w:val="clear" w:color="auto" w:fill="C4EFCE"/>
            <w:vAlign w:val="center"/>
            <w:hideMark/>
          </w:tcPr>
          <w:p w14:paraId="698DAC9E" w14:textId="665ACA7C" w:rsidR="00A15990" w:rsidRDefault="00686A62">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7B24166A"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27CEBBA" w14:textId="77777777" w:rsidR="00A15990" w:rsidRDefault="00686A62">
            <w:pPr>
              <w:pStyle w:val="P68B1DB1-Normal23"/>
              <w:spacing w:after="0"/>
              <w:jc w:val="both"/>
              <w:rPr>
                <w:rFonts w:eastAsia="Calibri" w:cs="Calibri"/>
                <w:noProof/>
              </w:rPr>
            </w:pPr>
            <w:r>
              <w:rPr>
                <w:noProof/>
              </w:rPr>
              <w:t>Intrarea în vigoare a actului juridic de înființare a unității permanente de politică fiscală tehnică Unidade Técnica de Avaliação Tributária e Aduaneira (U-TAX)</w:t>
            </w:r>
          </w:p>
        </w:tc>
      </w:tr>
      <w:tr w:rsidR="00A15990" w14:paraId="1B7657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05E771" w14:textId="77777777" w:rsidR="00A15990" w:rsidRDefault="00686A62">
            <w:pPr>
              <w:pStyle w:val="P68B1DB1-Normal23"/>
              <w:spacing w:after="0"/>
              <w:jc w:val="center"/>
              <w:rPr>
                <w:rFonts w:eastAsia="Calibri" w:cs="Calibri"/>
                <w:noProof/>
              </w:rPr>
            </w:pPr>
            <w:r>
              <w:rPr>
                <w:noProof/>
              </w:rPr>
              <w:t>18.5</w:t>
            </w:r>
          </w:p>
        </w:tc>
        <w:tc>
          <w:tcPr>
            <w:tcW w:w="1760" w:type="dxa"/>
            <w:tcBorders>
              <w:top w:val="nil"/>
              <w:left w:val="nil"/>
              <w:bottom w:val="single" w:sz="4" w:space="0" w:color="auto"/>
              <w:right w:val="single" w:sz="4" w:space="0" w:color="auto"/>
            </w:tcBorders>
            <w:shd w:val="clear" w:color="auto" w:fill="C4EFCE"/>
            <w:vAlign w:val="center"/>
            <w:hideMark/>
          </w:tcPr>
          <w:p w14:paraId="618CB0E4" w14:textId="77777777" w:rsidR="00A15990" w:rsidRDefault="00686A62">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D6B08A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389343" w14:textId="77777777" w:rsidR="00A15990" w:rsidRDefault="00686A62">
            <w:pPr>
              <w:pStyle w:val="P68B1DB1-Normal23"/>
              <w:spacing w:after="0"/>
              <w:jc w:val="both"/>
              <w:rPr>
                <w:rFonts w:eastAsia="Calibri" w:cs="Calibri"/>
                <w:noProof/>
              </w:rPr>
            </w:pPr>
            <w:r>
              <w:rPr>
                <w:noProof/>
              </w:rPr>
              <w:t>Modernizarea sistemului informatic de cercetare penală</w:t>
            </w:r>
          </w:p>
        </w:tc>
      </w:tr>
      <w:tr w:rsidR="00A15990" w14:paraId="1F76A1E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F520F4" w14:textId="77777777" w:rsidR="00A15990" w:rsidRDefault="00686A62">
            <w:pPr>
              <w:pStyle w:val="P68B1DB1-Normal23"/>
              <w:spacing w:after="0"/>
              <w:jc w:val="center"/>
              <w:rPr>
                <w:rFonts w:eastAsia="Calibri" w:cs="Calibri"/>
                <w:noProof/>
              </w:rPr>
            </w:pPr>
            <w:r>
              <w:rPr>
                <w:noProof/>
              </w:rPr>
              <w:t>19.12</w:t>
            </w:r>
          </w:p>
        </w:tc>
        <w:tc>
          <w:tcPr>
            <w:tcW w:w="1760" w:type="dxa"/>
            <w:tcBorders>
              <w:top w:val="nil"/>
              <w:left w:val="nil"/>
              <w:bottom w:val="single" w:sz="4" w:space="0" w:color="auto"/>
              <w:right w:val="single" w:sz="4" w:space="0" w:color="auto"/>
            </w:tcBorders>
            <w:shd w:val="clear" w:color="auto" w:fill="C4EFCE"/>
            <w:vAlign w:val="center"/>
            <w:hideMark/>
          </w:tcPr>
          <w:p w14:paraId="47FDE4B7" w14:textId="77777777" w:rsidR="00A15990" w:rsidRDefault="00686A62">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723C2388"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82C1D8F" w14:textId="77777777" w:rsidR="00A15990" w:rsidRDefault="00686A62">
            <w:pPr>
              <w:pStyle w:val="P68B1DB1-Normal23"/>
              <w:spacing w:after="0"/>
              <w:jc w:val="both"/>
              <w:rPr>
                <w:rFonts w:eastAsia="Calibri" w:cs="Calibri"/>
                <w:noProof/>
              </w:rPr>
            </w:pPr>
            <w:r>
              <w:rPr>
                <w:noProof/>
              </w:rPr>
              <w:t>Finalizarea modernizării infrastructurilor digitale critice</w:t>
            </w:r>
          </w:p>
        </w:tc>
      </w:tr>
      <w:tr w:rsidR="00A15990" w14:paraId="68EBFC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2D3804" w14:textId="77777777" w:rsidR="00A15990" w:rsidRDefault="00686A62">
            <w:pPr>
              <w:pStyle w:val="P68B1DB1-Normal23"/>
              <w:spacing w:after="0"/>
              <w:jc w:val="center"/>
              <w:rPr>
                <w:rFonts w:eastAsia="Calibri" w:cs="Calibri"/>
                <w:noProof/>
              </w:rPr>
            </w:pPr>
            <w:r>
              <w:rPr>
                <w:noProof/>
              </w:rPr>
              <w:t>19.19</w:t>
            </w:r>
          </w:p>
        </w:tc>
        <w:tc>
          <w:tcPr>
            <w:tcW w:w="1760" w:type="dxa"/>
            <w:tcBorders>
              <w:top w:val="nil"/>
              <w:left w:val="nil"/>
              <w:bottom w:val="single" w:sz="4" w:space="0" w:color="auto"/>
              <w:right w:val="single" w:sz="4" w:space="0" w:color="auto"/>
            </w:tcBorders>
            <w:shd w:val="clear" w:color="auto" w:fill="C4EFCE"/>
            <w:vAlign w:val="center"/>
            <w:hideMark/>
          </w:tcPr>
          <w:p w14:paraId="52CAADEB" w14:textId="77777777" w:rsidR="00A15990" w:rsidRDefault="00686A62">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447F009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47649F" w14:textId="77777777" w:rsidR="00A15990" w:rsidRDefault="00686A62">
            <w:pPr>
              <w:pStyle w:val="P68B1DB1-Normal23"/>
              <w:spacing w:after="0"/>
              <w:jc w:val="both"/>
              <w:rPr>
                <w:rFonts w:eastAsia="Calibri" w:cs="Calibri"/>
                <w:noProof/>
              </w:rPr>
            </w:pPr>
            <w:r>
              <w:rPr>
                <w:noProof/>
              </w:rPr>
              <w:t>Program de stagii pentru absolvenți</w:t>
            </w:r>
          </w:p>
        </w:tc>
      </w:tr>
      <w:tr w:rsidR="00A15990" w14:paraId="0EEF05D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45AB48" w14:textId="77777777" w:rsidR="00A15990" w:rsidRDefault="00686A62">
            <w:pPr>
              <w:pStyle w:val="P68B1DB1-Normal23"/>
              <w:spacing w:after="0"/>
              <w:jc w:val="center"/>
              <w:rPr>
                <w:rFonts w:eastAsia="Calibri" w:cs="Calibri"/>
                <w:noProof/>
              </w:rPr>
            </w:pPr>
            <w:r>
              <w:rPr>
                <w:noProof/>
              </w:rPr>
              <w:t>19.20</w:t>
            </w:r>
          </w:p>
        </w:tc>
        <w:tc>
          <w:tcPr>
            <w:tcW w:w="1760" w:type="dxa"/>
            <w:tcBorders>
              <w:top w:val="nil"/>
              <w:left w:val="nil"/>
              <w:bottom w:val="single" w:sz="4" w:space="0" w:color="auto"/>
              <w:right w:val="single" w:sz="4" w:space="0" w:color="auto"/>
            </w:tcBorders>
            <w:shd w:val="clear" w:color="auto" w:fill="C4EFCE"/>
            <w:vAlign w:val="center"/>
            <w:hideMark/>
          </w:tcPr>
          <w:p w14:paraId="4BC8CA1D" w14:textId="77777777" w:rsidR="00A15990" w:rsidRDefault="00686A62">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70FE960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CE35B3" w14:textId="77777777" w:rsidR="00A15990" w:rsidRDefault="00686A62">
            <w:pPr>
              <w:pStyle w:val="P68B1DB1-Normal23"/>
              <w:spacing w:after="0"/>
              <w:jc w:val="both"/>
              <w:rPr>
                <w:rFonts w:eastAsia="Calibri" w:cs="Calibri"/>
                <w:noProof/>
              </w:rPr>
            </w:pPr>
            <w:r>
              <w:rPr>
                <w:noProof/>
              </w:rPr>
              <w:t>Angajații din serviciile publice care lucrează la distanță</w:t>
            </w:r>
          </w:p>
        </w:tc>
      </w:tr>
      <w:tr w:rsidR="00A15990" w14:paraId="3C0825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C00604" w14:textId="77777777" w:rsidR="00A15990" w:rsidRDefault="00686A62">
            <w:pPr>
              <w:pStyle w:val="P68B1DB1-Normal23"/>
              <w:spacing w:after="0"/>
              <w:jc w:val="center"/>
              <w:rPr>
                <w:rFonts w:eastAsia="Calibri" w:cs="Calibri"/>
                <w:noProof/>
              </w:rPr>
            </w:pPr>
            <w:r>
              <w:rPr>
                <w:noProof/>
              </w:rPr>
              <w:t>19.23</w:t>
            </w:r>
          </w:p>
        </w:tc>
        <w:tc>
          <w:tcPr>
            <w:tcW w:w="1760" w:type="dxa"/>
            <w:tcBorders>
              <w:top w:val="nil"/>
              <w:left w:val="nil"/>
              <w:bottom w:val="single" w:sz="4" w:space="0" w:color="auto"/>
              <w:right w:val="single" w:sz="4" w:space="0" w:color="auto"/>
            </w:tcBorders>
            <w:shd w:val="clear" w:color="auto" w:fill="C4EFCE"/>
            <w:vAlign w:val="center"/>
            <w:hideMark/>
          </w:tcPr>
          <w:p w14:paraId="1BB37310" w14:textId="77777777" w:rsidR="00A15990" w:rsidRDefault="00686A62">
            <w:pPr>
              <w:pStyle w:val="P68B1DB1-Normal23"/>
              <w:spacing w:after="0"/>
              <w:jc w:val="center"/>
              <w:rPr>
                <w:rFonts w:eastAsia="Calibri" w:cs="Calibri"/>
                <w:noProof/>
              </w:rPr>
            </w:pPr>
            <w:r>
              <w:rPr>
                <w:noProof/>
              </w:rPr>
              <w:t>TD-C19-r35</w:t>
            </w:r>
          </w:p>
        </w:tc>
        <w:tc>
          <w:tcPr>
            <w:tcW w:w="1520" w:type="dxa"/>
            <w:tcBorders>
              <w:top w:val="nil"/>
              <w:left w:val="nil"/>
              <w:bottom w:val="single" w:sz="4" w:space="0" w:color="auto"/>
              <w:right w:val="single" w:sz="4" w:space="0" w:color="auto"/>
            </w:tcBorders>
            <w:shd w:val="clear" w:color="auto" w:fill="C4EFCE"/>
            <w:vAlign w:val="center"/>
            <w:hideMark/>
          </w:tcPr>
          <w:p w14:paraId="4E51FBB7"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A32703A" w14:textId="77777777" w:rsidR="00A15990" w:rsidRDefault="00686A62">
            <w:pPr>
              <w:pStyle w:val="P68B1DB1-Normal23"/>
              <w:spacing w:after="0"/>
              <w:jc w:val="both"/>
              <w:rPr>
                <w:rFonts w:eastAsia="Calibri" w:cs="Calibri"/>
                <w:noProof/>
              </w:rPr>
            </w:pPr>
            <w:r>
              <w:rPr>
                <w:noProof/>
              </w:rPr>
              <w:t>Intrarea în vigoare a pachetului legislativ pentru reorganizarea administrației publice</w:t>
            </w:r>
          </w:p>
        </w:tc>
      </w:tr>
      <w:tr w:rsidR="00A15990" w14:paraId="742A12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8A13B2" w14:textId="77777777" w:rsidR="00A15990" w:rsidRDefault="00686A62">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0F22486B" w14:textId="690F2EF9" w:rsidR="00A15990" w:rsidRDefault="00686A62">
            <w:pPr>
              <w:pStyle w:val="P68B1DB1-Normal23"/>
              <w:spacing w:after="0"/>
              <w:jc w:val="center"/>
              <w:rPr>
                <w:rFonts w:eastAsia="Calibri" w:cs="Calibri"/>
                <w:noProof/>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3140DF8D"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0CD0448" w14:textId="77777777" w:rsidR="00A15990" w:rsidRDefault="00686A62">
            <w:pPr>
              <w:pStyle w:val="P68B1DB1-Normal23"/>
              <w:spacing w:after="0"/>
              <w:jc w:val="both"/>
              <w:rPr>
                <w:rFonts w:eastAsia="Calibri" w:cs="Calibri"/>
                <w:noProof/>
              </w:rPr>
            </w:pPr>
            <w:r>
              <w:rPr>
                <w:noProof/>
              </w:rPr>
              <w:t>Intrarea în vigoare a legislației de înființare a Observatorului Național al Sărăciei Energetice (ONPE)</w:t>
            </w:r>
          </w:p>
        </w:tc>
      </w:tr>
      <w:tr w:rsidR="00A15990" w14:paraId="144F24A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1E2C5D" w14:textId="77777777" w:rsidR="00A15990" w:rsidRDefault="00686A62">
            <w:pPr>
              <w:pStyle w:val="P68B1DB1-Normal23"/>
              <w:spacing w:after="0"/>
              <w:jc w:val="center"/>
              <w:rPr>
                <w:rFonts w:eastAsia="Calibri" w:cs="Calibri"/>
                <w:noProof/>
              </w:rPr>
            </w:pPr>
            <w:r>
              <w:rPr>
                <w:noProof/>
              </w:rPr>
              <w:t>21.9</w:t>
            </w:r>
          </w:p>
        </w:tc>
        <w:tc>
          <w:tcPr>
            <w:tcW w:w="1760" w:type="dxa"/>
            <w:tcBorders>
              <w:top w:val="nil"/>
              <w:left w:val="nil"/>
              <w:bottom w:val="single" w:sz="4" w:space="0" w:color="auto"/>
              <w:right w:val="single" w:sz="4" w:space="0" w:color="auto"/>
            </w:tcBorders>
            <w:shd w:val="clear" w:color="auto" w:fill="C4EFCE"/>
            <w:vAlign w:val="center"/>
            <w:hideMark/>
          </w:tcPr>
          <w:p w14:paraId="5998B2BE" w14:textId="7C8A24E2" w:rsidR="00A15990" w:rsidRDefault="00686A62">
            <w:pPr>
              <w:pStyle w:val="P68B1DB1-Normal23"/>
              <w:spacing w:after="0"/>
              <w:jc w:val="center"/>
              <w:rPr>
                <w:rFonts w:eastAsia="Calibri" w:cs="Calibri"/>
                <w:noProof/>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520DFD63"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DBE9B0C" w14:textId="77777777" w:rsidR="00A15990" w:rsidRDefault="00686A62">
            <w:pPr>
              <w:pStyle w:val="P68B1DB1-Normal23"/>
              <w:spacing w:after="0"/>
              <w:jc w:val="both"/>
              <w:rPr>
                <w:rFonts w:eastAsia="Calibri" w:cs="Calibri"/>
                <w:noProof/>
              </w:rPr>
            </w:pPr>
            <w:r>
              <w:rPr>
                <w:noProof/>
              </w:rPr>
              <w:t>Semnarea protocolului de cooperare</w:t>
            </w:r>
          </w:p>
        </w:tc>
      </w:tr>
      <w:tr w:rsidR="00A15990" w14:paraId="470BD8F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3D0556" w14:textId="77777777" w:rsidR="00A15990" w:rsidRDefault="00686A62">
            <w:pPr>
              <w:pStyle w:val="P68B1DB1-Normal23"/>
              <w:spacing w:after="0"/>
              <w:jc w:val="center"/>
              <w:rPr>
                <w:rFonts w:eastAsia="Calibri" w:cs="Calibri"/>
                <w:noProof/>
              </w:rPr>
            </w:pPr>
            <w:r>
              <w:rPr>
                <w:noProof/>
              </w:rPr>
              <w:t>21.16</w:t>
            </w:r>
          </w:p>
        </w:tc>
        <w:tc>
          <w:tcPr>
            <w:tcW w:w="1760" w:type="dxa"/>
            <w:tcBorders>
              <w:top w:val="nil"/>
              <w:left w:val="nil"/>
              <w:bottom w:val="single" w:sz="4" w:space="0" w:color="auto"/>
              <w:right w:val="single" w:sz="4" w:space="0" w:color="auto"/>
            </w:tcBorders>
            <w:shd w:val="clear" w:color="auto" w:fill="C4EFCE"/>
            <w:vAlign w:val="center"/>
            <w:hideMark/>
          </w:tcPr>
          <w:p w14:paraId="2F028DB5" w14:textId="57F1A9AD" w:rsidR="00A15990" w:rsidRDefault="00686A62">
            <w:pPr>
              <w:pStyle w:val="P68B1DB1-Normal23"/>
              <w:spacing w:after="0"/>
              <w:jc w:val="center"/>
              <w:rPr>
                <w:rFonts w:eastAsia="Calibri" w:cs="Calibri"/>
                <w:noProof/>
              </w:rPr>
            </w:pPr>
            <w:r>
              <w:rPr>
                <w:noProof/>
              </w:rPr>
              <w:t>RP-C21-r46</w:t>
            </w:r>
          </w:p>
        </w:tc>
        <w:tc>
          <w:tcPr>
            <w:tcW w:w="1520" w:type="dxa"/>
            <w:tcBorders>
              <w:top w:val="nil"/>
              <w:left w:val="nil"/>
              <w:bottom w:val="single" w:sz="4" w:space="0" w:color="auto"/>
              <w:right w:val="single" w:sz="4" w:space="0" w:color="auto"/>
            </w:tcBorders>
            <w:shd w:val="clear" w:color="auto" w:fill="C4EFCE"/>
            <w:vAlign w:val="center"/>
            <w:hideMark/>
          </w:tcPr>
          <w:p w14:paraId="10032DF3"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5068AE8" w14:textId="77777777" w:rsidR="00A15990" w:rsidRDefault="00686A62">
            <w:pPr>
              <w:pStyle w:val="P68B1DB1-Normal23"/>
              <w:spacing w:after="0"/>
              <w:jc w:val="both"/>
              <w:rPr>
                <w:rFonts w:eastAsia="Calibri" w:cs="Calibri"/>
                <w:noProof/>
              </w:rPr>
            </w:pPr>
            <w:r>
              <w:rPr>
                <w:noProof/>
              </w:rPr>
              <w:t>Intrarea în vigoare a ordinului guvernamental privind hidrogenul din surse regenerabile</w:t>
            </w:r>
          </w:p>
        </w:tc>
      </w:tr>
      <w:tr w:rsidR="00A15990" w14:paraId="1D045A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08C00" w14:textId="77777777" w:rsidR="00A15990" w:rsidRDefault="00686A62">
            <w:pPr>
              <w:pStyle w:val="P68B1DB1-Normal23"/>
              <w:spacing w:after="0"/>
              <w:jc w:val="center"/>
              <w:rPr>
                <w:rFonts w:eastAsia="Calibri" w:cs="Calibri"/>
                <w:noProof/>
              </w:rPr>
            </w:pPr>
            <w:r>
              <w:rPr>
                <w:noProof/>
              </w:rPr>
              <w:t>21.18</w:t>
            </w:r>
          </w:p>
        </w:tc>
        <w:tc>
          <w:tcPr>
            <w:tcW w:w="1760" w:type="dxa"/>
            <w:tcBorders>
              <w:top w:val="nil"/>
              <w:left w:val="nil"/>
              <w:bottom w:val="single" w:sz="4" w:space="0" w:color="auto"/>
              <w:right w:val="single" w:sz="4" w:space="0" w:color="auto"/>
            </w:tcBorders>
            <w:shd w:val="clear" w:color="auto" w:fill="C4EFCE"/>
            <w:vAlign w:val="center"/>
            <w:hideMark/>
          </w:tcPr>
          <w:p w14:paraId="40579BEA" w14:textId="1D5A61F1" w:rsidR="00A15990" w:rsidRDefault="00686A62">
            <w:pPr>
              <w:pStyle w:val="P68B1DB1-Normal23"/>
              <w:spacing w:after="0"/>
              <w:jc w:val="center"/>
              <w:rPr>
                <w:rFonts w:eastAsia="Calibri" w:cs="Calibri"/>
                <w:noProof/>
              </w:rPr>
            </w:pPr>
            <w:r>
              <w:rPr>
                <w:noProof/>
              </w:rPr>
              <w:t>RP-C21-r47</w:t>
            </w:r>
          </w:p>
        </w:tc>
        <w:tc>
          <w:tcPr>
            <w:tcW w:w="1520" w:type="dxa"/>
            <w:tcBorders>
              <w:top w:val="nil"/>
              <w:left w:val="nil"/>
              <w:bottom w:val="single" w:sz="4" w:space="0" w:color="auto"/>
              <w:right w:val="single" w:sz="4" w:space="0" w:color="auto"/>
            </w:tcBorders>
            <w:shd w:val="clear" w:color="auto" w:fill="C4EFCE"/>
            <w:vAlign w:val="center"/>
            <w:hideMark/>
          </w:tcPr>
          <w:p w14:paraId="7C053785"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F2FEF83" w14:textId="77777777" w:rsidR="00A15990" w:rsidRDefault="00686A62">
            <w:pPr>
              <w:pStyle w:val="P68B1DB1-Normal23"/>
              <w:spacing w:after="0"/>
              <w:jc w:val="both"/>
              <w:rPr>
                <w:rFonts w:eastAsia="Calibri" w:cs="Calibri"/>
                <w:noProof/>
              </w:rPr>
            </w:pPr>
            <w:r>
              <w:rPr>
                <w:noProof/>
              </w:rPr>
              <w:t>Lansarea primei licitații pentru achiziționarea centralizată de biometan durabil</w:t>
            </w:r>
          </w:p>
        </w:tc>
      </w:tr>
      <w:tr w:rsidR="00A15990" w14:paraId="08D90CD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190E7F" w14:textId="77777777" w:rsidR="00A15990" w:rsidRDefault="00686A62">
            <w:pPr>
              <w:pStyle w:val="P68B1DB1-Normal23"/>
              <w:spacing w:after="0"/>
              <w:jc w:val="center"/>
              <w:rPr>
                <w:rFonts w:eastAsia="Calibri" w:cs="Calibri"/>
                <w:noProof/>
              </w:rPr>
            </w:pPr>
            <w:r>
              <w:rPr>
                <w:noProof/>
              </w:rPr>
              <w:t>21.20</w:t>
            </w:r>
          </w:p>
        </w:tc>
        <w:tc>
          <w:tcPr>
            <w:tcW w:w="1760" w:type="dxa"/>
            <w:tcBorders>
              <w:top w:val="nil"/>
              <w:left w:val="nil"/>
              <w:bottom w:val="single" w:sz="4" w:space="0" w:color="auto"/>
              <w:right w:val="single" w:sz="4" w:space="0" w:color="auto"/>
            </w:tcBorders>
            <w:shd w:val="clear" w:color="auto" w:fill="C4EFCE"/>
            <w:vAlign w:val="center"/>
            <w:hideMark/>
          </w:tcPr>
          <w:p w14:paraId="1B4E0D2F" w14:textId="42ABC8CD" w:rsidR="00A15990" w:rsidRDefault="00686A62">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1C5C7EE5"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37CE139" w14:textId="77777777" w:rsidR="00A15990" w:rsidRDefault="00686A62">
            <w:pPr>
              <w:pStyle w:val="P68B1DB1-Normal23"/>
              <w:spacing w:after="0"/>
              <w:jc w:val="both"/>
              <w:rPr>
                <w:rFonts w:eastAsia="Calibri" w:cs="Calibri"/>
                <w:noProof/>
              </w:rPr>
            </w:pPr>
            <w:r>
              <w:rPr>
                <w:noProof/>
              </w:rPr>
              <w:t>Stabilirea umerului 2030</w:t>
            </w:r>
          </w:p>
        </w:tc>
      </w:tr>
      <w:tr w:rsidR="00A15990" w14:paraId="4DEAB1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9CF6D3B" w14:textId="77777777" w:rsidR="00A15990" w:rsidRDefault="00686A62">
            <w:pPr>
              <w:pStyle w:val="P68B1DB1-Normal23"/>
              <w:spacing w:after="0"/>
              <w:jc w:val="center"/>
              <w:rPr>
                <w:rFonts w:eastAsia="Calibri" w:cs="Calibri"/>
                <w:noProof/>
              </w:rPr>
            </w:pPr>
            <w:r>
              <w:rPr>
                <w:noProof/>
              </w:rPr>
              <w:t>21.21</w:t>
            </w:r>
          </w:p>
        </w:tc>
        <w:tc>
          <w:tcPr>
            <w:tcW w:w="1760" w:type="dxa"/>
            <w:tcBorders>
              <w:top w:val="nil"/>
              <w:left w:val="nil"/>
              <w:bottom w:val="single" w:sz="4" w:space="0" w:color="auto"/>
              <w:right w:val="single" w:sz="4" w:space="0" w:color="auto"/>
            </w:tcBorders>
            <w:shd w:val="clear" w:color="auto" w:fill="C4EFCE"/>
            <w:vAlign w:val="center"/>
            <w:hideMark/>
          </w:tcPr>
          <w:p w14:paraId="759E15F8" w14:textId="0BC1ACC6" w:rsidR="00A15990" w:rsidRDefault="00686A62">
            <w:pPr>
              <w:pStyle w:val="P68B1DB1-Normal23"/>
              <w:spacing w:after="0"/>
              <w:jc w:val="center"/>
              <w:rPr>
                <w:rFonts w:eastAsia="Calibri" w:cs="Calibri"/>
                <w:noProof/>
              </w:rPr>
            </w:pPr>
            <w:r>
              <w:rPr>
                <w:noProof/>
              </w:rPr>
              <w:t>RP-C21-r48</w:t>
            </w:r>
          </w:p>
        </w:tc>
        <w:tc>
          <w:tcPr>
            <w:tcW w:w="1520" w:type="dxa"/>
            <w:tcBorders>
              <w:top w:val="nil"/>
              <w:left w:val="nil"/>
              <w:bottom w:val="single" w:sz="4" w:space="0" w:color="auto"/>
              <w:right w:val="single" w:sz="4" w:space="0" w:color="auto"/>
            </w:tcBorders>
            <w:shd w:val="clear" w:color="auto" w:fill="C4EFCE"/>
            <w:vAlign w:val="center"/>
            <w:hideMark/>
          </w:tcPr>
          <w:p w14:paraId="4CBDCB5F"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2FD427" w14:textId="77777777" w:rsidR="00A15990" w:rsidRDefault="00686A62">
            <w:pPr>
              <w:pStyle w:val="P68B1DB1-Normal23"/>
              <w:spacing w:after="0"/>
              <w:jc w:val="both"/>
              <w:rPr>
                <w:rFonts w:eastAsia="Calibri" w:cs="Calibri"/>
                <w:noProof/>
              </w:rPr>
            </w:pPr>
            <w:r>
              <w:rPr>
                <w:noProof/>
              </w:rPr>
              <w:t>Intrarea în vigoare a Regulamentului privind acordarea de licențe municipale pentru proiectele de energie din surse regenerabile și stocare</w:t>
            </w:r>
          </w:p>
        </w:tc>
      </w:tr>
      <w:tr w:rsidR="00A15990" w14:paraId="544DFB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A5E44A" w14:textId="77777777" w:rsidR="00A15990" w:rsidRDefault="00686A62">
            <w:pPr>
              <w:pStyle w:val="P68B1DB1-Normal23"/>
              <w:spacing w:after="0"/>
              <w:jc w:val="center"/>
              <w:rPr>
                <w:rFonts w:eastAsia="Calibri" w:cs="Calibri"/>
                <w:noProof/>
              </w:rPr>
            </w:pPr>
            <w:r>
              <w:rPr>
                <w:noProof/>
              </w:rPr>
              <w:t>21.24</w:t>
            </w:r>
          </w:p>
        </w:tc>
        <w:tc>
          <w:tcPr>
            <w:tcW w:w="1760" w:type="dxa"/>
            <w:tcBorders>
              <w:top w:val="nil"/>
              <w:left w:val="nil"/>
              <w:bottom w:val="single" w:sz="4" w:space="0" w:color="auto"/>
              <w:right w:val="single" w:sz="4" w:space="0" w:color="auto"/>
            </w:tcBorders>
            <w:shd w:val="clear" w:color="auto" w:fill="C4EFCE"/>
            <w:vAlign w:val="center"/>
            <w:hideMark/>
          </w:tcPr>
          <w:p w14:paraId="5A33B31D" w14:textId="1FC01E9E" w:rsidR="00A15990" w:rsidRDefault="00686A62">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0C6B3D46"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91A62D3" w14:textId="77777777" w:rsidR="00A15990" w:rsidRDefault="00686A62">
            <w:pPr>
              <w:pStyle w:val="P68B1DB1-Normal23"/>
              <w:spacing w:after="0"/>
              <w:jc w:val="both"/>
              <w:rPr>
                <w:rFonts w:eastAsia="Calibri" w:cs="Calibri"/>
                <w:noProof/>
              </w:rPr>
            </w:pPr>
            <w:r>
              <w:rPr>
                <w:noProof/>
              </w:rPr>
              <w:t>Cerere de oferte pentru proiecte de producere a gazelor din surse regenerabile</w:t>
            </w:r>
          </w:p>
        </w:tc>
      </w:tr>
      <w:tr w:rsidR="00A15990" w14:paraId="449FA24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B8A505" w14:textId="77777777" w:rsidR="00A15990" w:rsidRDefault="00686A62">
            <w:pPr>
              <w:pStyle w:val="P68B1DB1-Normal23"/>
              <w:spacing w:after="0"/>
              <w:jc w:val="center"/>
              <w:rPr>
                <w:rFonts w:eastAsia="Calibri" w:cs="Calibri"/>
                <w:noProof/>
              </w:rPr>
            </w:pPr>
            <w:r>
              <w:rPr>
                <w:noProof/>
              </w:rPr>
              <w:t xml:space="preserve"> </w:t>
            </w:r>
          </w:p>
        </w:tc>
        <w:tc>
          <w:tcPr>
            <w:tcW w:w="1760" w:type="dxa"/>
            <w:tcBorders>
              <w:top w:val="nil"/>
              <w:left w:val="nil"/>
              <w:bottom w:val="single" w:sz="4" w:space="0" w:color="auto"/>
              <w:right w:val="single" w:sz="4" w:space="0" w:color="auto"/>
            </w:tcBorders>
            <w:shd w:val="clear" w:color="auto" w:fill="C4EFCE"/>
            <w:vAlign w:val="center"/>
            <w:hideMark/>
          </w:tcPr>
          <w:p w14:paraId="1C9F8543" w14:textId="77777777" w:rsidR="00A15990" w:rsidRDefault="00686A62">
            <w:pPr>
              <w:pStyle w:val="P68B1DB1-Normal23"/>
              <w:spacing w:after="0"/>
              <w:jc w:val="center"/>
              <w:rPr>
                <w:rFonts w:eastAsia="Calibri" w:cs="Calibri"/>
                <w:noProof/>
              </w:rPr>
            </w:pPr>
            <w:r>
              <w:rPr>
                <w:noProof/>
              </w:rPr>
              <w:t xml:space="preserve">  </w:t>
            </w:r>
          </w:p>
        </w:tc>
        <w:tc>
          <w:tcPr>
            <w:tcW w:w="1520" w:type="dxa"/>
            <w:tcBorders>
              <w:top w:val="nil"/>
              <w:left w:val="nil"/>
              <w:bottom w:val="single" w:sz="4" w:space="0" w:color="auto"/>
              <w:right w:val="single" w:sz="4" w:space="0" w:color="auto"/>
            </w:tcBorders>
            <w:shd w:val="clear" w:color="auto" w:fill="C4EFCE"/>
            <w:vAlign w:val="center"/>
            <w:hideMark/>
          </w:tcPr>
          <w:p w14:paraId="2EC82A04" w14:textId="77777777" w:rsidR="00A15990" w:rsidRDefault="00686A62">
            <w:pPr>
              <w:pStyle w:val="P68B1DB1-Normal23"/>
              <w:spacing w:after="0"/>
              <w:jc w:val="center"/>
              <w:rPr>
                <w:rFonts w:eastAsia="Calibri" w:cs="Calibri"/>
                <w:noProof/>
              </w:rPr>
            </w:pPr>
            <w:r>
              <w:rPr>
                <w:noProof/>
              </w:rPr>
              <w:t xml:space="preserve">Valoarea tranșelor </w:t>
            </w:r>
          </w:p>
        </w:tc>
        <w:tc>
          <w:tcPr>
            <w:tcW w:w="5060" w:type="dxa"/>
            <w:tcBorders>
              <w:top w:val="nil"/>
              <w:left w:val="nil"/>
              <w:bottom w:val="single" w:sz="4" w:space="0" w:color="auto"/>
              <w:right w:val="single" w:sz="4" w:space="0" w:color="auto"/>
            </w:tcBorders>
            <w:shd w:val="clear" w:color="auto" w:fill="C4EFCE"/>
            <w:vAlign w:val="center"/>
            <w:hideMark/>
          </w:tcPr>
          <w:p w14:paraId="5000AAA7" w14:textId="4A9A28C1" w:rsidR="00A15990" w:rsidRDefault="00686A62">
            <w:pPr>
              <w:pStyle w:val="P68B1DB1-Normal25"/>
              <w:spacing w:after="0"/>
              <w:jc w:val="center"/>
              <w:rPr>
                <w:rFonts w:eastAsia="Calibri" w:cs="Calibri"/>
                <w:noProof/>
                <w:sz w:val="18"/>
              </w:rPr>
            </w:pPr>
            <w:r>
              <w:rPr>
                <w:noProof/>
              </w:rPr>
              <w:t xml:space="preserve">1 877 616 715 MIL. </w:t>
            </w:r>
          </w:p>
        </w:tc>
      </w:tr>
    </w:tbl>
    <w:p w14:paraId="3B218749" w14:textId="77777777" w:rsidR="00A15990" w:rsidRDefault="00A15990">
      <w:pPr>
        <w:rPr>
          <w:noProof/>
          <w:sz w:val="18"/>
        </w:rPr>
      </w:pPr>
    </w:p>
    <w:p w14:paraId="104FE146"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șasea cerere de plată (sprijin nerambursabil): </w:t>
      </w:r>
    </w:p>
    <w:p w14:paraId="63820787" w14:textId="77777777" w:rsidR="00A15990" w:rsidRDefault="00A15990">
      <w:pPr>
        <w:keepNext/>
        <w:spacing w:before="40" w:after="160" w:line="259" w:lineRule="auto"/>
        <w:contextualSpacing/>
        <w:jc w:val="both"/>
        <w:rPr>
          <w:rFonts w:ascii="Times New Roman" w:eastAsiaTheme="minorEastAsia" w:hAnsi="Times New Roman" w:cs="Times New Roman"/>
          <w:noProof/>
          <w:sz w:val="18"/>
        </w:rPr>
      </w:pPr>
    </w:p>
    <w:tbl>
      <w:tblPr>
        <w:tblW w:w="9540" w:type="dxa"/>
        <w:tblInd w:w="113" w:type="dxa"/>
        <w:tblLook w:val="04A0" w:firstRow="1" w:lastRow="0" w:firstColumn="1" w:lastColumn="0" w:noHBand="0" w:noVBand="1"/>
      </w:tblPr>
      <w:tblGrid>
        <w:gridCol w:w="1177"/>
        <w:gridCol w:w="1731"/>
        <w:gridCol w:w="1491"/>
        <w:gridCol w:w="4919"/>
        <w:gridCol w:w="222"/>
      </w:tblGrid>
      <w:tr w:rsidR="00A15990" w14:paraId="5C1078BA" w14:textId="77777777">
        <w:trPr>
          <w:trHeight w:val="1065"/>
          <w:tblHeader/>
        </w:trPr>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0E67C2BA" w14:textId="77777777" w:rsidR="00A15990" w:rsidRDefault="00686A62">
            <w:pPr>
              <w:pStyle w:val="P68B1DB1-Normal6"/>
              <w:spacing w:after="0" w:line="240" w:lineRule="auto"/>
              <w:jc w:val="center"/>
              <w:rPr>
                <w:rFonts w:eastAsia="Times New Roman" w:cs="Times New Roman"/>
                <w:noProof/>
              </w:rPr>
            </w:pPr>
            <w:r>
              <w:rPr>
                <w:noProof/>
              </w:rPr>
              <w:t>Număr secvențial</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3DA616A3" w14:textId="77777777" w:rsidR="00A15990" w:rsidRDefault="00686A62">
            <w:pPr>
              <w:pStyle w:val="P68B1DB1-Normal6"/>
              <w:spacing w:after="0" w:line="240" w:lineRule="auto"/>
              <w:jc w:val="center"/>
              <w:rPr>
                <w:rFonts w:eastAsia="Times New Roman" w:cs="Times New Roman"/>
                <w:noProof/>
              </w:rPr>
            </w:pPr>
            <w:r>
              <w:rPr>
                <w:noProof/>
              </w:rPr>
              <w:t>Măsură conexă (reformă sau investiție)</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27BF467B" w14:textId="69032905" w:rsidR="00A15990" w:rsidRDefault="004976DE">
            <w:pPr>
              <w:pStyle w:val="P68B1DB1-Normal6"/>
              <w:spacing w:after="0" w:line="240" w:lineRule="auto"/>
              <w:jc w:val="center"/>
              <w:rPr>
                <w:rFonts w:eastAsia="Times New Roman" w:cs="Times New Roman"/>
                <w:noProof/>
              </w:rPr>
            </w:pPr>
            <w:r>
              <w:rPr>
                <w:noProof/>
              </w:rPr>
              <w:t>Jalon</w:t>
            </w:r>
            <w:r w:rsidR="00686A62">
              <w:rPr>
                <w:noProof/>
              </w:rPr>
              <w:t>/</w:t>
            </w:r>
            <w:r>
              <w:rPr>
                <w:noProof/>
              </w:rPr>
              <w:t>Țintă</w:t>
            </w:r>
          </w:p>
        </w:tc>
        <w:tc>
          <w:tcPr>
            <w:tcW w:w="4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hideMark/>
          </w:tcPr>
          <w:p w14:paraId="6FFF994C" w14:textId="77777777" w:rsidR="00A15990" w:rsidRDefault="00686A62">
            <w:pPr>
              <w:pStyle w:val="P68B1DB1-Normal6"/>
              <w:spacing w:after="0" w:line="240" w:lineRule="auto"/>
              <w:jc w:val="center"/>
              <w:rPr>
                <w:rFonts w:eastAsia="Times New Roman" w:cs="Times New Roman"/>
                <w:noProof/>
              </w:rPr>
            </w:pPr>
            <w:r>
              <w:rPr>
                <w:noProof/>
              </w:rPr>
              <w:t>Nume</w:t>
            </w:r>
          </w:p>
        </w:tc>
        <w:tc>
          <w:tcPr>
            <w:tcW w:w="0" w:type="auto"/>
          </w:tcPr>
          <w:p w14:paraId="3BA8F6CA" w14:textId="77777777" w:rsidR="00A15990" w:rsidRDefault="00A15990">
            <w:pPr>
              <w:spacing w:after="0" w:line="240" w:lineRule="auto"/>
              <w:rPr>
                <w:noProof/>
                <w:sz w:val="18"/>
              </w:rPr>
            </w:pPr>
          </w:p>
        </w:tc>
      </w:tr>
      <w:tr w:rsidR="00A15990" w14:paraId="40A55A26"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7EF44D23" w14:textId="77777777" w:rsidR="00A15990" w:rsidRDefault="00686A62">
            <w:pPr>
              <w:pStyle w:val="P68B1DB1-Normal23"/>
              <w:spacing w:after="0"/>
              <w:jc w:val="center"/>
              <w:rPr>
                <w:rFonts w:eastAsia="Calibri" w:cs="Calibri"/>
                <w:noProof/>
              </w:rPr>
            </w:pPr>
            <w:r>
              <w:rPr>
                <w:noProof/>
              </w:rPr>
              <w:t>1.7</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D40222F" w14:textId="77777777" w:rsidR="00A15990" w:rsidRDefault="00686A62">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206C69A0"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7A1CDF09" w14:textId="77777777" w:rsidR="00A15990" w:rsidRDefault="00686A62">
            <w:pPr>
              <w:pStyle w:val="P68B1DB1-Normal23"/>
              <w:spacing w:after="0"/>
              <w:jc w:val="both"/>
              <w:rPr>
                <w:rFonts w:eastAsia="Calibri" w:cs="Calibri"/>
                <w:noProof/>
              </w:rPr>
            </w:pPr>
            <w:r>
              <w:rPr>
                <w:noProof/>
              </w:rPr>
              <w:t>Intrarea în vigoare a noului Plan de Contabilitate Management al Serviciului Național de Sănătate</w:t>
            </w:r>
          </w:p>
        </w:tc>
      </w:tr>
      <w:tr w:rsidR="00A15990" w14:paraId="66751B46" w14:textId="77777777">
        <w:trPr>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228043A4" w14:textId="77777777" w:rsidR="00A15990" w:rsidRDefault="00686A62">
            <w:pPr>
              <w:pStyle w:val="P68B1DB1-Normal23"/>
              <w:spacing w:after="0"/>
              <w:jc w:val="center"/>
              <w:rPr>
                <w:rFonts w:eastAsia="Calibri" w:cs="Calibri"/>
                <w:noProof/>
              </w:rPr>
            </w:pPr>
            <w:r>
              <w:rPr>
                <w:noProof/>
              </w:rPr>
              <w:t>1.11</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2DAFAA45" w14:textId="77777777" w:rsidR="00A15990" w:rsidRDefault="00686A62">
            <w:pPr>
              <w:pStyle w:val="P68B1DB1-Normal23"/>
              <w:spacing w:after="0"/>
              <w:jc w:val="center"/>
              <w:rPr>
                <w:rFonts w:eastAsia="Calibri" w:cs="Calibri"/>
                <w:noProof/>
              </w:rPr>
            </w:pPr>
            <w:r>
              <w:rPr>
                <w:noProof/>
              </w:rPr>
              <w:t xml:space="preserve">RE-C01-r03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4723DBAD"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45AF680B" w14:textId="77777777" w:rsidR="00A15990" w:rsidRDefault="00686A62">
            <w:pPr>
              <w:pStyle w:val="P68B1DB1-Normal23"/>
              <w:spacing w:after="0"/>
              <w:jc w:val="both"/>
              <w:rPr>
                <w:rFonts w:eastAsia="Calibri" w:cs="Calibri"/>
                <w:noProof/>
              </w:rPr>
            </w:pPr>
            <w:r>
              <w:rPr>
                <w:noProof/>
              </w:rPr>
              <w:t>Intrarea în vigoare a planului de acțiune pentru consolidarea mecanismelor centralizate de achiziție a medicamentelor</w:t>
            </w:r>
          </w:p>
        </w:tc>
        <w:tc>
          <w:tcPr>
            <w:tcW w:w="0" w:type="auto"/>
          </w:tcPr>
          <w:p w14:paraId="753752EC" w14:textId="77777777" w:rsidR="00A15990" w:rsidRDefault="00A15990">
            <w:pPr>
              <w:spacing w:after="0" w:line="240" w:lineRule="auto"/>
              <w:rPr>
                <w:noProof/>
                <w:sz w:val="18"/>
              </w:rPr>
            </w:pPr>
          </w:p>
        </w:tc>
      </w:tr>
      <w:tr w:rsidR="00A15990" w14:paraId="1808919D"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35A429DE" w14:textId="77777777" w:rsidR="00A15990" w:rsidRDefault="00686A62">
            <w:pPr>
              <w:pStyle w:val="P68B1DB1-Normal23"/>
              <w:spacing w:after="0"/>
              <w:jc w:val="center"/>
              <w:rPr>
                <w:rFonts w:eastAsia="Calibri" w:cs="Calibri"/>
                <w:noProof/>
              </w:rPr>
            </w:pPr>
            <w:r>
              <w:rPr>
                <w:noProof/>
              </w:rPr>
              <w:t>1.22</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75E6F087" w14:textId="77777777" w:rsidR="00A15990" w:rsidRDefault="00686A62">
            <w:pPr>
              <w:pStyle w:val="P68B1DB1-Normal23"/>
              <w:spacing w:after="0"/>
              <w:jc w:val="center"/>
              <w:rPr>
                <w:rFonts w:eastAsia="Calibri" w:cs="Calibri"/>
                <w:noProof/>
              </w:rPr>
            </w:pPr>
            <w:r>
              <w:rPr>
                <w:noProof/>
              </w:rPr>
              <w:t>RE-C01-i02</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7A664CD" w14:textId="77777777" w:rsidR="00A15990" w:rsidRDefault="00686A62">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0575ECC2" w14:textId="77777777" w:rsidR="00A15990" w:rsidRDefault="00686A62">
            <w:pPr>
              <w:pStyle w:val="P68B1DB1-Normal23"/>
              <w:spacing w:after="0"/>
              <w:jc w:val="both"/>
              <w:rPr>
                <w:rFonts w:eastAsia="Calibri" w:cs="Calibri"/>
                <w:noProof/>
              </w:rPr>
            </w:pPr>
            <w:r>
              <w:rPr>
                <w:noProof/>
              </w:rPr>
              <w:t>Consolidarea capacității de reacție a rețelelor naționale de servicii integrate de îngrijire continuă și de îngrijire paliativă în îngrijirea la domiciliu</w:t>
            </w:r>
          </w:p>
        </w:tc>
      </w:tr>
      <w:tr w:rsidR="00A15990" w14:paraId="40001357"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1BC70449" w14:textId="77777777" w:rsidR="00A15990" w:rsidRDefault="00686A62">
            <w:pPr>
              <w:pStyle w:val="P68B1DB1-Normal23"/>
              <w:spacing w:after="0"/>
              <w:jc w:val="center"/>
              <w:rPr>
                <w:rFonts w:eastAsia="Calibri" w:cs="Calibri"/>
                <w:noProof/>
              </w:rPr>
            </w:pPr>
            <w:r>
              <w:rPr>
                <w:noProof/>
              </w:rPr>
              <w:t>3.6</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3CFC2C9A" w14:textId="77777777" w:rsidR="00A15990" w:rsidRDefault="00686A62">
            <w:pPr>
              <w:pStyle w:val="P68B1DB1-Normal23"/>
              <w:spacing w:after="0"/>
              <w:jc w:val="center"/>
              <w:rPr>
                <w:rFonts w:eastAsia="Calibri" w:cs="Calibri"/>
                <w:noProof/>
              </w:rPr>
            </w:pPr>
            <w:r>
              <w:rPr>
                <w:noProof/>
              </w:rPr>
              <w:t xml:space="preserve">RE-C01-i02  </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3147DFBF" w14:textId="77777777" w:rsidR="00A15990" w:rsidRDefault="00686A62">
            <w:pPr>
              <w:pStyle w:val="P68B1DB1-Normal23"/>
              <w:spacing w:after="0"/>
              <w:jc w:val="center"/>
              <w:rPr>
                <w:rFonts w:eastAsia="Calibri" w:cs="Calibri"/>
                <w:noProof/>
              </w:rPr>
            </w:pPr>
            <w:r>
              <w:rPr>
                <w:noProof/>
              </w:rPr>
              <w:t>T</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2D5F6706" w14:textId="77777777" w:rsidR="00A15990" w:rsidRDefault="00686A62">
            <w:pPr>
              <w:pStyle w:val="P68B1DB1-Normal23"/>
              <w:spacing w:after="0"/>
              <w:jc w:val="both"/>
              <w:rPr>
                <w:rFonts w:eastAsia="Calibri" w:cs="Calibri"/>
                <w:noProof/>
              </w:rPr>
            </w:pPr>
            <w:r>
              <w:rPr>
                <w:noProof/>
              </w:rPr>
              <w:t>Locuințe cu accesibilitate îmbunătățită pentru persoanele cu mobilitate redusă</w:t>
            </w:r>
          </w:p>
        </w:tc>
      </w:tr>
      <w:tr w:rsidR="00A15990" w14:paraId="6146DE32" w14:textId="77777777">
        <w:trPr>
          <w:gridAfter w:val="1"/>
          <w:trHeight w:val="440"/>
        </w:trPr>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C4EFCE"/>
            <w:vAlign w:val="center"/>
            <w:hideMark/>
          </w:tcPr>
          <w:p w14:paraId="5DF2D95B" w14:textId="77777777" w:rsidR="00A15990" w:rsidRDefault="00686A62">
            <w:pPr>
              <w:pStyle w:val="P68B1DB1-Normal23"/>
              <w:spacing w:after="0"/>
              <w:jc w:val="center"/>
              <w:rPr>
                <w:rFonts w:eastAsia="Calibri" w:cs="Calibri"/>
                <w:noProof/>
              </w:rPr>
            </w:pPr>
            <w:r>
              <w:rPr>
                <w:noProof/>
              </w:rPr>
              <w:t>3.25</w:t>
            </w:r>
          </w:p>
        </w:tc>
        <w:tc>
          <w:tcPr>
            <w:tcW w:w="1731" w:type="dxa"/>
            <w:tcBorders>
              <w:top w:val="nil"/>
              <w:left w:val="nil"/>
              <w:bottom w:val="single" w:sz="4" w:space="0" w:color="000000" w:themeColor="text1"/>
              <w:right w:val="single" w:sz="4" w:space="0" w:color="000000" w:themeColor="text1"/>
            </w:tcBorders>
            <w:shd w:val="clear" w:color="auto" w:fill="C4EFCE"/>
            <w:vAlign w:val="center"/>
            <w:hideMark/>
          </w:tcPr>
          <w:p w14:paraId="48894F5A" w14:textId="77777777" w:rsidR="00A15990" w:rsidRDefault="00686A62">
            <w:pPr>
              <w:pStyle w:val="P68B1DB1-Normal23"/>
              <w:spacing w:after="0"/>
              <w:jc w:val="center"/>
              <w:rPr>
                <w:rFonts w:eastAsia="Calibri" w:cs="Calibri"/>
                <w:noProof/>
              </w:rPr>
            </w:pPr>
            <w:r>
              <w:rPr>
                <w:noProof/>
              </w:rPr>
              <w:t>RE-C01-i06</w:t>
            </w:r>
          </w:p>
        </w:tc>
        <w:tc>
          <w:tcPr>
            <w:tcW w:w="1491" w:type="dxa"/>
            <w:tcBorders>
              <w:top w:val="nil"/>
              <w:left w:val="nil"/>
              <w:bottom w:val="single" w:sz="4" w:space="0" w:color="000000" w:themeColor="text1"/>
              <w:right w:val="single" w:sz="4" w:space="0" w:color="000000" w:themeColor="text1"/>
            </w:tcBorders>
            <w:shd w:val="clear" w:color="auto" w:fill="C4EFCE"/>
            <w:vAlign w:val="center"/>
            <w:hideMark/>
          </w:tcPr>
          <w:p w14:paraId="56B5FA9F"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000000" w:themeColor="text1"/>
              <w:right w:val="single" w:sz="4" w:space="0" w:color="000000" w:themeColor="text1"/>
            </w:tcBorders>
            <w:shd w:val="clear" w:color="auto" w:fill="C4EFCE"/>
            <w:vAlign w:val="center"/>
            <w:hideMark/>
          </w:tcPr>
          <w:p w14:paraId="1E5C982E" w14:textId="77777777" w:rsidR="00A15990" w:rsidRDefault="00686A62">
            <w:pPr>
              <w:pStyle w:val="P68B1DB1-Normal23"/>
              <w:spacing w:after="0"/>
              <w:jc w:val="both"/>
              <w:rPr>
                <w:rFonts w:eastAsia="Calibri" w:cs="Calibri"/>
                <w:noProof/>
              </w:rPr>
            </w:pPr>
            <w:r>
              <w:rPr>
                <w:noProof/>
              </w:rPr>
              <w:t>Publicarea unui raport de monitorizare de către zonele metropolitane Porto și Lisabona cu privire la măsurile luate în fiecare dintre cele 12 domenii de intervenție.</w:t>
            </w:r>
          </w:p>
        </w:tc>
      </w:tr>
      <w:tr w:rsidR="00A15990" w14:paraId="0020D0F3"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6C71AEC" w14:textId="77777777" w:rsidR="00A15990" w:rsidRDefault="00686A62">
            <w:pPr>
              <w:pStyle w:val="P68B1DB1-Normal23"/>
              <w:spacing w:after="0"/>
              <w:jc w:val="center"/>
              <w:rPr>
                <w:rFonts w:eastAsia="Calibri" w:cs="Calibri"/>
                <w:noProof/>
              </w:rPr>
            </w:pPr>
            <w:r>
              <w:rPr>
                <w:noProof/>
              </w:rPr>
              <w:t>5.33</w:t>
            </w:r>
          </w:p>
        </w:tc>
        <w:tc>
          <w:tcPr>
            <w:tcW w:w="1731" w:type="dxa"/>
            <w:tcBorders>
              <w:top w:val="nil"/>
              <w:left w:val="nil"/>
              <w:bottom w:val="single" w:sz="4" w:space="0" w:color="auto"/>
              <w:right w:val="single" w:sz="4" w:space="0" w:color="auto"/>
            </w:tcBorders>
            <w:shd w:val="clear" w:color="auto" w:fill="C4EFCE"/>
            <w:vAlign w:val="center"/>
            <w:hideMark/>
          </w:tcPr>
          <w:p w14:paraId="4F60CC1D" w14:textId="6EDC4274" w:rsidR="00A15990" w:rsidRDefault="00686A62">
            <w:pPr>
              <w:pStyle w:val="P68B1DB1-Normal23"/>
              <w:spacing w:after="0"/>
              <w:jc w:val="center"/>
              <w:rPr>
                <w:rFonts w:eastAsia="Calibri" w:cs="Calibri"/>
                <w:noProof/>
              </w:rPr>
            </w:pPr>
            <w:r>
              <w:rPr>
                <w:noProof/>
              </w:rPr>
              <w:t xml:space="preserve">RE-C05-i07-RAM </w:t>
            </w:r>
          </w:p>
        </w:tc>
        <w:tc>
          <w:tcPr>
            <w:tcW w:w="1491" w:type="dxa"/>
            <w:tcBorders>
              <w:top w:val="nil"/>
              <w:left w:val="nil"/>
              <w:bottom w:val="single" w:sz="4" w:space="0" w:color="auto"/>
              <w:right w:val="single" w:sz="4" w:space="0" w:color="auto"/>
            </w:tcBorders>
            <w:shd w:val="clear" w:color="auto" w:fill="C4EFCE"/>
            <w:vAlign w:val="center"/>
            <w:hideMark/>
          </w:tcPr>
          <w:p w14:paraId="4F836274"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E64E7E2" w14:textId="77777777" w:rsidR="00A15990" w:rsidRDefault="00686A62">
            <w:pPr>
              <w:pStyle w:val="P68B1DB1-Normal23"/>
              <w:spacing w:after="0"/>
              <w:jc w:val="both"/>
              <w:rPr>
                <w:rFonts w:eastAsia="Calibri" w:cs="Calibri"/>
                <w:noProof/>
              </w:rPr>
            </w:pPr>
            <w:r>
              <w:rPr>
                <w:noProof/>
              </w:rPr>
              <w:t>Semnarea acordului (protocolului) de punere în aplicare între Banco Português de Fomento, Instituto de Desenvolvimento Empresarial și anumiți intermediari financiari</w:t>
            </w:r>
          </w:p>
        </w:tc>
      </w:tr>
      <w:tr w:rsidR="00A15990" w14:paraId="30129324"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5FCB9E5" w14:textId="77777777" w:rsidR="00A15990" w:rsidRDefault="00686A62">
            <w:pPr>
              <w:pStyle w:val="P68B1DB1-Normal23"/>
              <w:spacing w:after="0"/>
              <w:jc w:val="center"/>
              <w:rPr>
                <w:rFonts w:eastAsia="Calibri" w:cs="Calibri"/>
                <w:noProof/>
              </w:rPr>
            </w:pPr>
            <w:r>
              <w:rPr>
                <w:noProof/>
              </w:rPr>
              <w:t>8.21</w:t>
            </w:r>
          </w:p>
        </w:tc>
        <w:tc>
          <w:tcPr>
            <w:tcW w:w="1731" w:type="dxa"/>
            <w:tcBorders>
              <w:top w:val="nil"/>
              <w:left w:val="nil"/>
              <w:bottom w:val="single" w:sz="4" w:space="0" w:color="auto"/>
              <w:right w:val="single" w:sz="4" w:space="0" w:color="auto"/>
            </w:tcBorders>
            <w:shd w:val="clear" w:color="auto" w:fill="C4EFCE"/>
            <w:vAlign w:val="center"/>
            <w:hideMark/>
          </w:tcPr>
          <w:p w14:paraId="4B7441D6" w14:textId="77777777" w:rsidR="00A15990" w:rsidRDefault="00686A62">
            <w:pPr>
              <w:pStyle w:val="P68B1DB1-Normal23"/>
              <w:spacing w:after="0"/>
              <w:jc w:val="center"/>
              <w:rPr>
                <w:rFonts w:eastAsia="Calibri" w:cs="Calibri"/>
                <w:noProof/>
              </w:rPr>
            </w:pPr>
            <w:r>
              <w:rPr>
                <w:noProof/>
              </w:rPr>
              <w:t>RE-C08-i05</w:t>
            </w:r>
          </w:p>
        </w:tc>
        <w:tc>
          <w:tcPr>
            <w:tcW w:w="1491" w:type="dxa"/>
            <w:tcBorders>
              <w:top w:val="nil"/>
              <w:left w:val="nil"/>
              <w:bottom w:val="single" w:sz="4" w:space="0" w:color="auto"/>
              <w:right w:val="single" w:sz="4" w:space="0" w:color="auto"/>
            </w:tcBorders>
            <w:shd w:val="clear" w:color="auto" w:fill="C4EFCE"/>
            <w:vAlign w:val="center"/>
            <w:hideMark/>
          </w:tcPr>
          <w:p w14:paraId="460E8712"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6608672" w14:textId="77777777" w:rsidR="00A15990" w:rsidRDefault="00686A62">
            <w:pPr>
              <w:pStyle w:val="P68B1DB1-Normal23"/>
              <w:spacing w:after="0"/>
              <w:jc w:val="both"/>
              <w:rPr>
                <w:rFonts w:eastAsia="Calibri" w:cs="Calibri"/>
                <w:noProof/>
              </w:rPr>
            </w:pPr>
            <w:r>
              <w:rPr>
                <w:noProof/>
              </w:rPr>
              <w:t>Dezvoltarea unei campanii de sensibilizare pentru prevenirea comportamentelor riscante</w:t>
            </w:r>
          </w:p>
        </w:tc>
      </w:tr>
      <w:tr w:rsidR="00A15990" w14:paraId="143CDEBF"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53A389BE" w14:textId="77777777" w:rsidR="00A15990" w:rsidRDefault="00686A62">
            <w:pPr>
              <w:pStyle w:val="P68B1DB1-Normal23"/>
              <w:spacing w:after="0"/>
              <w:jc w:val="center"/>
              <w:rPr>
                <w:rFonts w:eastAsia="Calibri" w:cs="Calibri"/>
                <w:noProof/>
              </w:rPr>
            </w:pPr>
            <w:r>
              <w:rPr>
                <w:noProof/>
              </w:rPr>
              <w:t>10.13</w:t>
            </w:r>
          </w:p>
        </w:tc>
        <w:tc>
          <w:tcPr>
            <w:tcW w:w="1731" w:type="dxa"/>
            <w:tcBorders>
              <w:top w:val="nil"/>
              <w:left w:val="nil"/>
              <w:bottom w:val="single" w:sz="4" w:space="0" w:color="auto"/>
              <w:right w:val="single" w:sz="4" w:space="0" w:color="auto"/>
            </w:tcBorders>
            <w:shd w:val="clear" w:color="auto" w:fill="C4EFCE"/>
            <w:vAlign w:val="center"/>
            <w:hideMark/>
          </w:tcPr>
          <w:p w14:paraId="43E82AAB" w14:textId="5D3C7004" w:rsidR="00A15990" w:rsidRDefault="00686A62">
            <w:pPr>
              <w:pStyle w:val="P68B1DB1-Normal23"/>
              <w:spacing w:after="0"/>
              <w:jc w:val="center"/>
              <w:rPr>
                <w:rFonts w:eastAsia="Calibri" w:cs="Calibri"/>
                <w:noProof/>
              </w:rPr>
            </w:pPr>
            <w:r>
              <w:rPr>
                <w:noProof/>
              </w:rPr>
              <w:t xml:space="preserve">TC-C10-i06-RAM </w:t>
            </w:r>
          </w:p>
        </w:tc>
        <w:tc>
          <w:tcPr>
            <w:tcW w:w="1491" w:type="dxa"/>
            <w:tcBorders>
              <w:top w:val="nil"/>
              <w:left w:val="nil"/>
              <w:bottom w:val="single" w:sz="4" w:space="0" w:color="auto"/>
              <w:right w:val="single" w:sz="4" w:space="0" w:color="auto"/>
            </w:tcBorders>
            <w:shd w:val="clear" w:color="auto" w:fill="C4EFCE"/>
            <w:vAlign w:val="center"/>
            <w:hideMark/>
          </w:tcPr>
          <w:p w14:paraId="3CB9CA7F"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E9A44F3" w14:textId="77777777" w:rsidR="00A15990" w:rsidRDefault="00686A62">
            <w:pPr>
              <w:pStyle w:val="P68B1DB1-Normal23"/>
              <w:spacing w:after="0"/>
              <w:jc w:val="both"/>
              <w:rPr>
                <w:rFonts w:eastAsia="Calibri" w:cs="Calibri"/>
                <w:noProof/>
              </w:rPr>
            </w:pPr>
            <w:r>
              <w:rPr>
                <w:noProof/>
              </w:rPr>
              <w:t>Semnarea contractului pentru o navă de cercetare multifuncțională</w:t>
            </w:r>
          </w:p>
        </w:tc>
        <w:tc>
          <w:tcPr>
            <w:tcW w:w="0" w:type="auto"/>
          </w:tcPr>
          <w:p w14:paraId="3F53FDD0" w14:textId="77777777" w:rsidR="00A15990" w:rsidRDefault="00A15990">
            <w:pPr>
              <w:spacing w:after="0" w:line="240" w:lineRule="auto"/>
              <w:rPr>
                <w:noProof/>
                <w:sz w:val="18"/>
              </w:rPr>
            </w:pPr>
          </w:p>
        </w:tc>
      </w:tr>
      <w:tr w:rsidR="00A15990" w14:paraId="1B11DFC4"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39F21E" w14:textId="77777777" w:rsidR="00A15990" w:rsidRDefault="00686A62">
            <w:pPr>
              <w:pStyle w:val="P68B1DB1-Normal23"/>
              <w:spacing w:after="0"/>
              <w:jc w:val="center"/>
              <w:rPr>
                <w:rFonts w:eastAsia="Calibri" w:cs="Calibri"/>
                <w:noProof/>
              </w:rPr>
            </w:pPr>
            <w:r>
              <w:rPr>
                <w:noProof/>
              </w:rPr>
              <w:t>13.1</w:t>
            </w:r>
          </w:p>
        </w:tc>
        <w:tc>
          <w:tcPr>
            <w:tcW w:w="1731" w:type="dxa"/>
            <w:tcBorders>
              <w:top w:val="nil"/>
              <w:left w:val="nil"/>
              <w:bottom w:val="single" w:sz="4" w:space="0" w:color="auto"/>
              <w:right w:val="single" w:sz="4" w:space="0" w:color="auto"/>
            </w:tcBorders>
            <w:shd w:val="clear" w:color="auto" w:fill="C4EFCE"/>
            <w:vAlign w:val="center"/>
            <w:hideMark/>
          </w:tcPr>
          <w:p w14:paraId="100A5399" w14:textId="77777777" w:rsidR="00A15990" w:rsidRDefault="00686A62">
            <w:pPr>
              <w:pStyle w:val="P68B1DB1-Normal23"/>
              <w:spacing w:after="0"/>
              <w:jc w:val="center"/>
              <w:rPr>
                <w:rFonts w:eastAsia="Calibri" w:cs="Calibri"/>
                <w:noProof/>
              </w:rPr>
            </w:pPr>
            <w:r>
              <w:rPr>
                <w:noProof/>
              </w:rPr>
              <w:t xml:space="preserve">TC-C13-I01  </w:t>
            </w:r>
          </w:p>
        </w:tc>
        <w:tc>
          <w:tcPr>
            <w:tcW w:w="1491" w:type="dxa"/>
            <w:tcBorders>
              <w:top w:val="nil"/>
              <w:left w:val="nil"/>
              <w:bottom w:val="single" w:sz="4" w:space="0" w:color="auto"/>
              <w:right w:val="single" w:sz="4" w:space="0" w:color="auto"/>
            </w:tcBorders>
            <w:shd w:val="clear" w:color="auto" w:fill="C4EFCE"/>
            <w:vAlign w:val="center"/>
            <w:hideMark/>
          </w:tcPr>
          <w:p w14:paraId="7735E13B" w14:textId="77777777" w:rsidR="00A15990" w:rsidRDefault="00686A62">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0E8DAA" w14:textId="77777777" w:rsidR="00A15990" w:rsidRDefault="00686A62">
            <w:pPr>
              <w:pStyle w:val="P68B1DB1-Normal23"/>
              <w:spacing w:after="0"/>
              <w:jc w:val="both"/>
              <w:rPr>
                <w:rFonts w:eastAsia="Calibri" w:cs="Calibri"/>
                <w:noProof/>
              </w:rPr>
            </w:pPr>
            <w:r>
              <w:rPr>
                <w:noProof/>
              </w:rPr>
              <w:t>Renovarea clădirilor rezidențiale private din punctul de vedere al eficienței energetice</w:t>
            </w:r>
          </w:p>
        </w:tc>
        <w:tc>
          <w:tcPr>
            <w:tcW w:w="0" w:type="auto"/>
          </w:tcPr>
          <w:p w14:paraId="6E5DAF10" w14:textId="77777777" w:rsidR="00A15990" w:rsidRDefault="00A15990">
            <w:pPr>
              <w:spacing w:after="0" w:line="240" w:lineRule="auto"/>
              <w:rPr>
                <w:noProof/>
                <w:sz w:val="18"/>
              </w:rPr>
            </w:pPr>
          </w:p>
        </w:tc>
      </w:tr>
      <w:tr w:rsidR="00A15990" w14:paraId="04772B6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7C22BDC" w14:textId="77777777" w:rsidR="00A15990" w:rsidRDefault="00686A62">
            <w:pPr>
              <w:pStyle w:val="P68B1DB1-Normal23"/>
              <w:spacing w:after="0"/>
              <w:jc w:val="center"/>
              <w:rPr>
                <w:rFonts w:eastAsia="Calibri" w:cs="Calibri"/>
                <w:noProof/>
              </w:rPr>
            </w:pPr>
            <w:r>
              <w:rPr>
                <w:noProof/>
              </w:rPr>
              <w:t>14.12</w:t>
            </w:r>
          </w:p>
        </w:tc>
        <w:tc>
          <w:tcPr>
            <w:tcW w:w="1731" w:type="dxa"/>
            <w:tcBorders>
              <w:top w:val="nil"/>
              <w:left w:val="nil"/>
              <w:bottom w:val="single" w:sz="4" w:space="0" w:color="auto"/>
              <w:right w:val="single" w:sz="4" w:space="0" w:color="auto"/>
            </w:tcBorders>
            <w:shd w:val="clear" w:color="auto" w:fill="C4EFCE"/>
            <w:vAlign w:val="center"/>
            <w:hideMark/>
          </w:tcPr>
          <w:p w14:paraId="0F195F9B" w14:textId="77777777" w:rsidR="00A15990" w:rsidRDefault="00686A62">
            <w:pPr>
              <w:pStyle w:val="P68B1DB1-Normal23"/>
              <w:spacing w:after="0"/>
              <w:jc w:val="center"/>
              <w:rPr>
                <w:rFonts w:eastAsia="Calibri" w:cs="Calibri"/>
                <w:noProof/>
              </w:rPr>
            </w:pPr>
            <w:r>
              <w:rPr>
                <w:noProof/>
              </w:rPr>
              <w:t>TC-C14-i03-RAA</w:t>
            </w:r>
          </w:p>
        </w:tc>
        <w:tc>
          <w:tcPr>
            <w:tcW w:w="1491" w:type="dxa"/>
            <w:tcBorders>
              <w:top w:val="nil"/>
              <w:left w:val="nil"/>
              <w:bottom w:val="single" w:sz="4" w:space="0" w:color="auto"/>
              <w:right w:val="single" w:sz="4" w:space="0" w:color="auto"/>
            </w:tcBorders>
            <w:shd w:val="clear" w:color="auto" w:fill="C4EFCE"/>
            <w:vAlign w:val="center"/>
            <w:hideMark/>
          </w:tcPr>
          <w:p w14:paraId="5B757820" w14:textId="77777777" w:rsidR="00A15990" w:rsidRDefault="00686A62">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48E5404" w14:textId="77777777" w:rsidR="00A15990" w:rsidRDefault="00686A62">
            <w:pPr>
              <w:pStyle w:val="P68B1DB1-Normal23"/>
              <w:spacing w:after="0"/>
              <w:jc w:val="both"/>
              <w:rPr>
                <w:rFonts w:eastAsia="Calibri" w:cs="Calibri"/>
                <w:noProof/>
              </w:rPr>
            </w:pPr>
            <w:r>
              <w:rPr>
                <w:noProof/>
              </w:rPr>
              <w:t>Producția suplimentară de energie electrică din surse regenerabile de către Corvo</w:t>
            </w:r>
          </w:p>
        </w:tc>
        <w:tc>
          <w:tcPr>
            <w:tcW w:w="0" w:type="auto"/>
          </w:tcPr>
          <w:p w14:paraId="233A08FA" w14:textId="77777777" w:rsidR="00A15990" w:rsidRDefault="00A15990">
            <w:pPr>
              <w:spacing w:after="0" w:line="240" w:lineRule="auto"/>
              <w:rPr>
                <w:noProof/>
                <w:sz w:val="18"/>
              </w:rPr>
            </w:pPr>
          </w:p>
        </w:tc>
      </w:tr>
      <w:tr w:rsidR="00A15990" w14:paraId="7BF5056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AC8B3F4" w14:textId="77777777" w:rsidR="00A15990" w:rsidRDefault="00686A62">
            <w:pPr>
              <w:pStyle w:val="P68B1DB1-Normal23"/>
              <w:spacing w:after="0"/>
              <w:jc w:val="center"/>
              <w:rPr>
                <w:rFonts w:eastAsia="Calibri" w:cs="Calibri"/>
                <w:noProof/>
              </w:rPr>
            </w:pPr>
            <w:r>
              <w:rPr>
                <w:noProof/>
              </w:rPr>
              <w:t>14.5</w:t>
            </w:r>
          </w:p>
        </w:tc>
        <w:tc>
          <w:tcPr>
            <w:tcW w:w="1731" w:type="dxa"/>
            <w:tcBorders>
              <w:top w:val="nil"/>
              <w:left w:val="nil"/>
              <w:bottom w:val="single" w:sz="4" w:space="0" w:color="auto"/>
              <w:right w:val="single" w:sz="4" w:space="0" w:color="auto"/>
            </w:tcBorders>
            <w:shd w:val="clear" w:color="auto" w:fill="C4EFCE"/>
            <w:vAlign w:val="center"/>
            <w:hideMark/>
          </w:tcPr>
          <w:p w14:paraId="30AC97EB" w14:textId="77777777" w:rsidR="00A15990" w:rsidRDefault="00686A62">
            <w:pPr>
              <w:pStyle w:val="P68B1DB1-Normal23"/>
              <w:spacing w:after="0"/>
              <w:jc w:val="center"/>
              <w:rPr>
                <w:rFonts w:eastAsia="Calibri" w:cs="Calibri"/>
                <w:noProof/>
              </w:rPr>
            </w:pPr>
            <w:r>
              <w:rPr>
                <w:noProof/>
              </w:rPr>
              <w:t xml:space="preserve">TC-C14-Ci02-RAM </w:t>
            </w:r>
          </w:p>
        </w:tc>
        <w:tc>
          <w:tcPr>
            <w:tcW w:w="1491" w:type="dxa"/>
            <w:tcBorders>
              <w:top w:val="nil"/>
              <w:left w:val="nil"/>
              <w:bottom w:val="single" w:sz="4" w:space="0" w:color="auto"/>
              <w:right w:val="single" w:sz="4" w:space="0" w:color="auto"/>
            </w:tcBorders>
            <w:shd w:val="clear" w:color="auto" w:fill="C4EFCE"/>
            <w:vAlign w:val="center"/>
            <w:hideMark/>
          </w:tcPr>
          <w:p w14:paraId="684CEB02" w14:textId="77777777" w:rsidR="00A15990" w:rsidRDefault="00686A62">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69E0A75B" w14:textId="77777777" w:rsidR="00A15990" w:rsidRDefault="00686A62">
            <w:pPr>
              <w:pStyle w:val="P68B1DB1-Normal23"/>
              <w:spacing w:after="0"/>
              <w:jc w:val="both"/>
              <w:rPr>
                <w:rFonts w:eastAsia="Calibri" w:cs="Calibri"/>
                <w:noProof/>
              </w:rPr>
            </w:pPr>
            <w:r>
              <w:rPr>
                <w:noProof/>
              </w:rPr>
              <w:t>Capacitatea instalată suplimentară de producere a energiei hidroelectrice</w:t>
            </w:r>
          </w:p>
        </w:tc>
        <w:tc>
          <w:tcPr>
            <w:tcW w:w="0" w:type="auto"/>
          </w:tcPr>
          <w:p w14:paraId="6A814305" w14:textId="77777777" w:rsidR="00A15990" w:rsidRDefault="00A15990">
            <w:pPr>
              <w:spacing w:after="0" w:line="240" w:lineRule="auto"/>
              <w:rPr>
                <w:noProof/>
                <w:sz w:val="18"/>
              </w:rPr>
            </w:pPr>
          </w:p>
        </w:tc>
      </w:tr>
      <w:tr w:rsidR="00A15990" w14:paraId="2414C73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01DD6AE2" w14:textId="77777777" w:rsidR="00A15990" w:rsidRDefault="00686A62">
            <w:pPr>
              <w:pStyle w:val="P68B1DB1-Normal23"/>
              <w:spacing w:after="0"/>
              <w:jc w:val="center"/>
              <w:rPr>
                <w:rFonts w:eastAsia="Calibri" w:cs="Calibri"/>
                <w:noProof/>
              </w:rPr>
            </w:pPr>
            <w:r>
              <w:rPr>
                <w:noProof/>
              </w:rPr>
              <w:t>15.2</w:t>
            </w:r>
          </w:p>
        </w:tc>
        <w:tc>
          <w:tcPr>
            <w:tcW w:w="1731" w:type="dxa"/>
            <w:tcBorders>
              <w:top w:val="nil"/>
              <w:left w:val="nil"/>
              <w:bottom w:val="single" w:sz="4" w:space="0" w:color="auto"/>
              <w:right w:val="single" w:sz="4" w:space="0" w:color="auto"/>
            </w:tcBorders>
            <w:shd w:val="clear" w:color="auto" w:fill="C4EFCE"/>
            <w:vAlign w:val="center"/>
            <w:hideMark/>
          </w:tcPr>
          <w:p w14:paraId="265A1C92" w14:textId="77777777" w:rsidR="00A15990" w:rsidRDefault="00686A62">
            <w:pPr>
              <w:pStyle w:val="P68B1DB1-Normal23"/>
              <w:spacing w:after="0"/>
              <w:jc w:val="center"/>
              <w:rPr>
                <w:rFonts w:eastAsia="Calibri" w:cs="Calibri"/>
                <w:noProof/>
              </w:rPr>
            </w:pPr>
            <w:r>
              <w:rPr>
                <w:noProof/>
              </w:rPr>
              <w:t>TC-C15-I01</w:t>
            </w:r>
          </w:p>
        </w:tc>
        <w:tc>
          <w:tcPr>
            <w:tcW w:w="1491" w:type="dxa"/>
            <w:tcBorders>
              <w:top w:val="nil"/>
              <w:left w:val="nil"/>
              <w:bottom w:val="single" w:sz="4" w:space="0" w:color="auto"/>
              <w:right w:val="single" w:sz="4" w:space="0" w:color="auto"/>
            </w:tcBorders>
            <w:shd w:val="clear" w:color="auto" w:fill="C4EFCE"/>
            <w:vAlign w:val="center"/>
            <w:hideMark/>
          </w:tcPr>
          <w:p w14:paraId="6A06D6EB"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36FE9F6" w14:textId="77777777" w:rsidR="00A15990" w:rsidRDefault="00686A62">
            <w:pPr>
              <w:pStyle w:val="P68B1DB1-Normal23"/>
              <w:spacing w:after="0"/>
              <w:jc w:val="both"/>
              <w:rPr>
                <w:rFonts w:eastAsia="Calibri" w:cs="Calibri"/>
                <w:noProof/>
              </w:rPr>
            </w:pPr>
            <w:r>
              <w:rPr>
                <w:noProof/>
              </w:rPr>
              <w:t>Raport privind progresele înregistrate cu privire la extinderea rețelei de metrou din Lisabona</w:t>
            </w:r>
          </w:p>
        </w:tc>
        <w:tc>
          <w:tcPr>
            <w:tcW w:w="0" w:type="auto"/>
          </w:tcPr>
          <w:p w14:paraId="176F4E1F" w14:textId="77777777" w:rsidR="00A15990" w:rsidRDefault="00A15990">
            <w:pPr>
              <w:spacing w:after="0" w:line="240" w:lineRule="auto"/>
              <w:rPr>
                <w:noProof/>
                <w:sz w:val="18"/>
              </w:rPr>
            </w:pPr>
          </w:p>
        </w:tc>
      </w:tr>
      <w:tr w:rsidR="00A15990" w14:paraId="1B841B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C2C500B" w14:textId="77777777" w:rsidR="00A15990" w:rsidRDefault="00686A62">
            <w:pPr>
              <w:pStyle w:val="P68B1DB1-Normal23"/>
              <w:spacing w:after="0"/>
              <w:jc w:val="center"/>
              <w:rPr>
                <w:rFonts w:eastAsia="Calibri" w:cs="Calibri"/>
                <w:noProof/>
              </w:rPr>
            </w:pPr>
            <w:r>
              <w:rPr>
                <w:noProof/>
              </w:rPr>
              <w:t>16.6</w:t>
            </w:r>
          </w:p>
        </w:tc>
        <w:tc>
          <w:tcPr>
            <w:tcW w:w="1731" w:type="dxa"/>
            <w:tcBorders>
              <w:top w:val="nil"/>
              <w:left w:val="nil"/>
              <w:bottom w:val="single" w:sz="4" w:space="0" w:color="auto"/>
              <w:right w:val="single" w:sz="4" w:space="0" w:color="auto"/>
            </w:tcBorders>
            <w:shd w:val="clear" w:color="auto" w:fill="C4EFCE"/>
            <w:vAlign w:val="center"/>
            <w:hideMark/>
          </w:tcPr>
          <w:p w14:paraId="5B078A84" w14:textId="77777777" w:rsidR="00A15990" w:rsidRDefault="00686A62">
            <w:pPr>
              <w:pStyle w:val="P68B1DB1-Normal23"/>
              <w:spacing w:after="0"/>
              <w:jc w:val="center"/>
              <w:rPr>
                <w:rFonts w:eastAsia="Calibri" w:cs="Calibri"/>
                <w:noProof/>
              </w:rPr>
            </w:pPr>
            <w:r>
              <w:rPr>
                <w:noProof/>
              </w:rPr>
              <w:t>TD-C16-i02</w:t>
            </w:r>
          </w:p>
        </w:tc>
        <w:tc>
          <w:tcPr>
            <w:tcW w:w="1491" w:type="dxa"/>
            <w:tcBorders>
              <w:top w:val="nil"/>
              <w:left w:val="nil"/>
              <w:bottom w:val="single" w:sz="4" w:space="0" w:color="auto"/>
              <w:right w:val="single" w:sz="4" w:space="0" w:color="auto"/>
            </w:tcBorders>
            <w:shd w:val="clear" w:color="auto" w:fill="C4EFCE"/>
            <w:vAlign w:val="center"/>
            <w:hideMark/>
          </w:tcPr>
          <w:p w14:paraId="4B59BF99" w14:textId="77777777" w:rsidR="00A15990" w:rsidRDefault="00686A62">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4D181BA9" w14:textId="77777777" w:rsidR="00A15990" w:rsidRDefault="00686A62">
            <w:pPr>
              <w:pStyle w:val="P68B1DB1-Normal23"/>
              <w:spacing w:after="0"/>
              <w:jc w:val="both"/>
              <w:rPr>
                <w:rFonts w:eastAsia="Calibri" w:cs="Calibri"/>
                <w:noProof/>
              </w:rPr>
            </w:pPr>
            <w:r>
              <w:rPr>
                <w:noProof/>
              </w:rPr>
              <w:t>Dezvoltarea de produse și servicii pilot ale rețelei naționale de baze de testare</w:t>
            </w:r>
          </w:p>
        </w:tc>
        <w:tc>
          <w:tcPr>
            <w:tcW w:w="0" w:type="auto"/>
          </w:tcPr>
          <w:p w14:paraId="30E9FC62" w14:textId="77777777" w:rsidR="00A15990" w:rsidRDefault="00A15990">
            <w:pPr>
              <w:spacing w:after="0" w:line="240" w:lineRule="auto"/>
              <w:rPr>
                <w:noProof/>
                <w:sz w:val="18"/>
              </w:rPr>
            </w:pPr>
          </w:p>
        </w:tc>
      </w:tr>
      <w:tr w:rsidR="00A15990" w14:paraId="60F2EA6A"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14B7C4" w14:textId="77777777" w:rsidR="00A15990" w:rsidRDefault="00686A62">
            <w:pPr>
              <w:pStyle w:val="P68B1DB1-Normal23"/>
              <w:spacing w:after="0"/>
              <w:jc w:val="center"/>
              <w:rPr>
                <w:rFonts w:eastAsia="Calibri" w:cs="Calibri"/>
                <w:noProof/>
              </w:rPr>
            </w:pPr>
            <w:r>
              <w:rPr>
                <w:noProof/>
              </w:rPr>
              <w:t>17.9</w:t>
            </w:r>
          </w:p>
        </w:tc>
        <w:tc>
          <w:tcPr>
            <w:tcW w:w="1731" w:type="dxa"/>
            <w:tcBorders>
              <w:top w:val="nil"/>
              <w:left w:val="nil"/>
              <w:bottom w:val="single" w:sz="4" w:space="0" w:color="auto"/>
              <w:right w:val="single" w:sz="4" w:space="0" w:color="auto"/>
            </w:tcBorders>
            <w:shd w:val="clear" w:color="auto" w:fill="C4EFCE"/>
            <w:vAlign w:val="center"/>
            <w:hideMark/>
          </w:tcPr>
          <w:p w14:paraId="53DAA92D" w14:textId="77777777" w:rsidR="00A15990" w:rsidRDefault="00686A62">
            <w:pPr>
              <w:pStyle w:val="P68B1DB1-Normal23"/>
              <w:spacing w:after="0"/>
              <w:jc w:val="center"/>
              <w:rPr>
                <w:rFonts w:eastAsia="Calibri" w:cs="Calibri"/>
                <w:noProof/>
              </w:rPr>
            </w:pPr>
            <w:r>
              <w:rPr>
                <w:noProof/>
              </w:rPr>
              <w:t xml:space="preserve">TD-C17-i01  </w:t>
            </w:r>
          </w:p>
        </w:tc>
        <w:tc>
          <w:tcPr>
            <w:tcW w:w="1491" w:type="dxa"/>
            <w:tcBorders>
              <w:top w:val="nil"/>
              <w:left w:val="nil"/>
              <w:bottom w:val="single" w:sz="4" w:space="0" w:color="auto"/>
              <w:right w:val="single" w:sz="4" w:space="0" w:color="auto"/>
            </w:tcBorders>
            <w:shd w:val="clear" w:color="auto" w:fill="C4EFCE"/>
            <w:vAlign w:val="center"/>
            <w:hideMark/>
          </w:tcPr>
          <w:p w14:paraId="06990E6D"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8CB0E5D" w14:textId="77777777" w:rsidR="00A15990" w:rsidRDefault="00686A62">
            <w:pPr>
              <w:pStyle w:val="P68B1DB1-Normal23"/>
              <w:spacing w:after="0"/>
              <w:jc w:val="both"/>
              <w:rPr>
                <w:rFonts w:eastAsia="Calibri" w:cs="Calibri"/>
                <w:noProof/>
              </w:rPr>
            </w:pPr>
            <w:r>
              <w:rPr>
                <w:noProof/>
              </w:rPr>
              <w:t>Finalizarea punerii în aplicare a entității contabile de stat</w:t>
            </w:r>
          </w:p>
        </w:tc>
      </w:tr>
      <w:tr w:rsidR="00A15990" w14:paraId="52B41EA8"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217BC2C" w14:textId="77777777" w:rsidR="00A15990" w:rsidRDefault="00686A62">
            <w:pPr>
              <w:pStyle w:val="P68B1DB1-Normal23"/>
              <w:spacing w:after="0"/>
              <w:jc w:val="center"/>
              <w:rPr>
                <w:rFonts w:eastAsia="Calibri" w:cs="Calibri"/>
                <w:noProof/>
              </w:rPr>
            </w:pPr>
            <w:r>
              <w:rPr>
                <w:noProof/>
              </w:rPr>
              <w:t>18.3</w:t>
            </w:r>
          </w:p>
        </w:tc>
        <w:tc>
          <w:tcPr>
            <w:tcW w:w="1731" w:type="dxa"/>
            <w:tcBorders>
              <w:top w:val="nil"/>
              <w:left w:val="nil"/>
              <w:bottom w:val="single" w:sz="4" w:space="0" w:color="auto"/>
              <w:right w:val="single" w:sz="4" w:space="0" w:color="auto"/>
            </w:tcBorders>
            <w:shd w:val="clear" w:color="auto" w:fill="C4EFCE"/>
            <w:vAlign w:val="center"/>
            <w:hideMark/>
          </w:tcPr>
          <w:p w14:paraId="439AD1C1" w14:textId="77777777" w:rsidR="00A15990" w:rsidRDefault="00686A62">
            <w:pPr>
              <w:pStyle w:val="P68B1DB1-Normal23"/>
              <w:spacing w:after="0"/>
              <w:jc w:val="center"/>
              <w:rPr>
                <w:rFonts w:eastAsia="Calibri" w:cs="Calibri"/>
                <w:noProof/>
              </w:rPr>
            </w:pPr>
            <w:r>
              <w:rPr>
                <w:noProof/>
              </w:rPr>
              <w:t xml:space="preserve">TD-C18-r33  </w:t>
            </w:r>
          </w:p>
        </w:tc>
        <w:tc>
          <w:tcPr>
            <w:tcW w:w="1491" w:type="dxa"/>
            <w:tcBorders>
              <w:top w:val="nil"/>
              <w:left w:val="nil"/>
              <w:bottom w:val="single" w:sz="4" w:space="0" w:color="auto"/>
              <w:right w:val="single" w:sz="4" w:space="0" w:color="auto"/>
            </w:tcBorders>
            <w:shd w:val="clear" w:color="auto" w:fill="C4EFCE"/>
            <w:vAlign w:val="center"/>
            <w:hideMark/>
          </w:tcPr>
          <w:p w14:paraId="256DB6ED"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D0F6574" w14:textId="77777777" w:rsidR="00A15990" w:rsidRDefault="00686A62">
            <w:pPr>
              <w:pStyle w:val="P68B1DB1-Normal23"/>
              <w:spacing w:after="0"/>
              <w:jc w:val="both"/>
              <w:rPr>
                <w:rFonts w:eastAsia="Calibri" w:cs="Calibri"/>
                <w:noProof/>
              </w:rPr>
            </w:pPr>
            <w:r>
              <w:rPr>
                <w:noProof/>
              </w:rPr>
              <w:t>Intrarea în vigoare a cadrului juridic revizuit privind insolvența și recuperarea</w:t>
            </w:r>
          </w:p>
        </w:tc>
      </w:tr>
      <w:tr w:rsidR="00A15990" w14:paraId="6BA9A315"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308F543" w14:textId="77777777" w:rsidR="00A15990" w:rsidRDefault="00686A62">
            <w:pPr>
              <w:pStyle w:val="P68B1DB1-Normal23"/>
              <w:spacing w:after="0"/>
              <w:jc w:val="center"/>
              <w:rPr>
                <w:rFonts w:eastAsia="Calibri" w:cs="Calibri"/>
                <w:noProof/>
              </w:rPr>
            </w:pPr>
            <w:r>
              <w:rPr>
                <w:noProof/>
              </w:rPr>
              <w:t>18.6</w:t>
            </w:r>
          </w:p>
        </w:tc>
        <w:tc>
          <w:tcPr>
            <w:tcW w:w="1731" w:type="dxa"/>
            <w:tcBorders>
              <w:top w:val="nil"/>
              <w:left w:val="nil"/>
              <w:bottom w:val="single" w:sz="4" w:space="0" w:color="auto"/>
              <w:right w:val="single" w:sz="4" w:space="0" w:color="auto"/>
            </w:tcBorders>
            <w:shd w:val="clear" w:color="auto" w:fill="C4EFCE"/>
            <w:vAlign w:val="center"/>
            <w:hideMark/>
          </w:tcPr>
          <w:p w14:paraId="69B5EA32" w14:textId="77777777" w:rsidR="00A15990" w:rsidRDefault="00686A62">
            <w:pPr>
              <w:pStyle w:val="P68B1DB1-Normal23"/>
              <w:spacing w:after="0"/>
              <w:jc w:val="center"/>
              <w:rPr>
                <w:rFonts w:eastAsia="Calibri" w:cs="Calibri"/>
                <w:noProof/>
              </w:rPr>
            </w:pPr>
            <w:r>
              <w:rPr>
                <w:noProof/>
              </w:rPr>
              <w:t xml:space="preserve">TD-C18-i01  </w:t>
            </w:r>
          </w:p>
        </w:tc>
        <w:tc>
          <w:tcPr>
            <w:tcW w:w="1491" w:type="dxa"/>
            <w:tcBorders>
              <w:top w:val="nil"/>
              <w:left w:val="nil"/>
              <w:bottom w:val="single" w:sz="4" w:space="0" w:color="auto"/>
              <w:right w:val="single" w:sz="4" w:space="0" w:color="auto"/>
            </w:tcBorders>
            <w:shd w:val="clear" w:color="auto" w:fill="C4EFCE"/>
            <w:vAlign w:val="center"/>
            <w:hideMark/>
          </w:tcPr>
          <w:p w14:paraId="02E67EB9"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5F982AAA" w14:textId="77777777" w:rsidR="00A15990" w:rsidRDefault="00686A62">
            <w:pPr>
              <w:pStyle w:val="P68B1DB1-Normal23"/>
              <w:spacing w:after="0"/>
              <w:jc w:val="both"/>
              <w:rPr>
                <w:rFonts w:eastAsia="Calibri" w:cs="Calibri"/>
                <w:noProof/>
              </w:rPr>
            </w:pPr>
            <w:r>
              <w:rPr>
                <w:noProof/>
              </w:rPr>
              <w:t>Sistemul de informații „Întreprinderea 2.0”</w:t>
            </w:r>
          </w:p>
        </w:tc>
      </w:tr>
      <w:tr w:rsidR="00A15990" w14:paraId="066A4BC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68C5AC18" w14:textId="77777777" w:rsidR="00A15990" w:rsidRDefault="00686A62">
            <w:pPr>
              <w:pStyle w:val="P68B1DB1-Normal23"/>
              <w:spacing w:after="0"/>
              <w:jc w:val="center"/>
              <w:rPr>
                <w:rFonts w:eastAsia="Calibri" w:cs="Calibri"/>
                <w:noProof/>
              </w:rPr>
            </w:pPr>
            <w:r>
              <w:rPr>
                <w:noProof/>
              </w:rPr>
              <w:t>20.6</w:t>
            </w:r>
          </w:p>
        </w:tc>
        <w:tc>
          <w:tcPr>
            <w:tcW w:w="1731" w:type="dxa"/>
            <w:tcBorders>
              <w:top w:val="nil"/>
              <w:left w:val="nil"/>
              <w:bottom w:val="single" w:sz="4" w:space="0" w:color="auto"/>
              <w:right w:val="single" w:sz="4" w:space="0" w:color="auto"/>
            </w:tcBorders>
            <w:shd w:val="clear" w:color="auto" w:fill="C4EFCE"/>
            <w:vAlign w:val="center"/>
            <w:hideMark/>
          </w:tcPr>
          <w:p w14:paraId="02680F3B" w14:textId="77777777" w:rsidR="00A15990" w:rsidRDefault="00686A62">
            <w:pPr>
              <w:pStyle w:val="P68B1DB1-Normal23"/>
              <w:spacing w:after="0"/>
              <w:jc w:val="center"/>
              <w:rPr>
                <w:rFonts w:eastAsia="Calibri" w:cs="Calibri"/>
                <w:noProof/>
              </w:rPr>
            </w:pPr>
            <w:r>
              <w:rPr>
                <w:noProof/>
              </w:rPr>
              <w:t xml:space="preserve">TD-C20-i01  </w:t>
            </w:r>
          </w:p>
        </w:tc>
        <w:tc>
          <w:tcPr>
            <w:tcW w:w="1491" w:type="dxa"/>
            <w:tcBorders>
              <w:top w:val="nil"/>
              <w:left w:val="nil"/>
              <w:bottom w:val="single" w:sz="4" w:space="0" w:color="auto"/>
              <w:right w:val="single" w:sz="4" w:space="0" w:color="auto"/>
            </w:tcBorders>
            <w:shd w:val="clear" w:color="auto" w:fill="C4EFCE"/>
            <w:vAlign w:val="center"/>
            <w:hideMark/>
          </w:tcPr>
          <w:p w14:paraId="6D1CFD3C" w14:textId="77777777" w:rsidR="00A15990" w:rsidRDefault="00686A62">
            <w:pPr>
              <w:pStyle w:val="P68B1DB1-Normal23"/>
              <w:spacing w:after="0"/>
              <w:jc w:val="center"/>
              <w:rPr>
                <w:rFonts w:eastAsia="Calibri" w:cs="Calibri"/>
                <w:noProof/>
              </w:rPr>
            </w:pPr>
            <w:r>
              <w:rPr>
                <w:noProof/>
              </w:rPr>
              <w:t>T</w:t>
            </w:r>
          </w:p>
        </w:tc>
        <w:tc>
          <w:tcPr>
            <w:tcW w:w="4919" w:type="dxa"/>
            <w:tcBorders>
              <w:top w:val="nil"/>
              <w:left w:val="nil"/>
              <w:bottom w:val="single" w:sz="4" w:space="0" w:color="auto"/>
              <w:right w:val="single" w:sz="4" w:space="0" w:color="auto"/>
            </w:tcBorders>
            <w:shd w:val="clear" w:color="auto" w:fill="C4EFCE"/>
            <w:vAlign w:val="center"/>
            <w:hideMark/>
          </w:tcPr>
          <w:p w14:paraId="0C2BC67C" w14:textId="77777777" w:rsidR="00A15990" w:rsidRDefault="00686A62">
            <w:pPr>
              <w:pStyle w:val="P68B1DB1-Normal23"/>
              <w:spacing w:after="0"/>
              <w:jc w:val="both"/>
              <w:rPr>
                <w:rFonts w:eastAsia="Calibri" w:cs="Calibri"/>
                <w:noProof/>
              </w:rPr>
            </w:pPr>
            <w:r>
              <w:rPr>
                <w:noProof/>
              </w:rPr>
              <w:t>Săli de clasă cu echipamente noi de proiecție</w:t>
            </w:r>
          </w:p>
        </w:tc>
      </w:tr>
      <w:tr w:rsidR="00A15990" w14:paraId="3F22673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36EADFA0" w14:textId="77777777" w:rsidR="00A15990" w:rsidRDefault="00686A62">
            <w:pPr>
              <w:pStyle w:val="P68B1DB1-Normal23"/>
              <w:spacing w:after="0"/>
              <w:jc w:val="center"/>
              <w:rPr>
                <w:rFonts w:eastAsia="Calibri" w:cs="Calibri"/>
                <w:noProof/>
              </w:rPr>
            </w:pPr>
            <w:r>
              <w:rPr>
                <w:noProof/>
              </w:rPr>
              <w:t>21.12</w:t>
            </w:r>
          </w:p>
        </w:tc>
        <w:tc>
          <w:tcPr>
            <w:tcW w:w="1731" w:type="dxa"/>
            <w:tcBorders>
              <w:top w:val="nil"/>
              <w:left w:val="nil"/>
              <w:bottom w:val="single" w:sz="4" w:space="0" w:color="auto"/>
              <w:right w:val="single" w:sz="4" w:space="0" w:color="auto"/>
            </w:tcBorders>
            <w:shd w:val="clear" w:color="auto" w:fill="C4EFCE"/>
            <w:vAlign w:val="center"/>
            <w:hideMark/>
          </w:tcPr>
          <w:p w14:paraId="6B91C308" w14:textId="77777777" w:rsidR="00A15990" w:rsidRDefault="00686A62">
            <w:pPr>
              <w:pStyle w:val="P68B1DB1-Normal23"/>
              <w:spacing w:after="0"/>
              <w:jc w:val="center"/>
              <w:rPr>
                <w:rFonts w:eastAsia="Calibri" w:cs="Calibri"/>
                <w:noProof/>
              </w:rPr>
            </w:pPr>
            <w:r>
              <w:rPr>
                <w:noProof/>
              </w:rPr>
              <w:t>RP-C21-i05</w:t>
            </w:r>
          </w:p>
        </w:tc>
        <w:tc>
          <w:tcPr>
            <w:tcW w:w="1491" w:type="dxa"/>
            <w:tcBorders>
              <w:top w:val="nil"/>
              <w:left w:val="nil"/>
              <w:bottom w:val="single" w:sz="4" w:space="0" w:color="auto"/>
              <w:right w:val="single" w:sz="4" w:space="0" w:color="auto"/>
            </w:tcBorders>
            <w:shd w:val="clear" w:color="auto" w:fill="C4EFCE"/>
            <w:vAlign w:val="center"/>
            <w:hideMark/>
          </w:tcPr>
          <w:p w14:paraId="51F3F5CD"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1729A8E5" w14:textId="77777777" w:rsidR="00A15990" w:rsidRDefault="00686A62">
            <w:pPr>
              <w:pStyle w:val="P68B1DB1-Normal23"/>
              <w:spacing w:after="0"/>
              <w:jc w:val="both"/>
              <w:rPr>
                <w:rFonts w:eastAsia="Calibri" w:cs="Calibri"/>
                <w:noProof/>
              </w:rPr>
            </w:pPr>
            <w:r>
              <w:rPr>
                <w:noProof/>
              </w:rPr>
              <w:t>Semnarea condițiilor de acceptare pentru punerea în aplicare a proiectelor industriale</w:t>
            </w:r>
          </w:p>
        </w:tc>
        <w:tc>
          <w:tcPr>
            <w:tcW w:w="0" w:type="auto"/>
          </w:tcPr>
          <w:p w14:paraId="3441107D" w14:textId="77777777" w:rsidR="00A15990" w:rsidRDefault="00A15990">
            <w:pPr>
              <w:spacing w:after="0" w:line="240" w:lineRule="auto"/>
              <w:rPr>
                <w:noProof/>
                <w:sz w:val="18"/>
              </w:rPr>
            </w:pPr>
          </w:p>
        </w:tc>
      </w:tr>
      <w:tr w:rsidR="00A15990" w14:paraId="62CE6F8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5DDD690" w14:textId="77777777" w:rsidR="00A15990" w:rsidRDefault="00686A62">
            <w:pPr>
              <w:pStyle w:val="P68B1DB1-Normal23"/>
              <w:spacing w:after="0"/>
              <w:jc w:val="center"/>
              <w:rPr>
                <w:rFonts w:eastAsia="Calibri" w:cs="Calibri"/>
                <w:noProof/>
              </w:rPr>
            </w:pPr>
            <w:r>
              <w:rPr>
                <w:noProof/>
              </w:rPr>
              <w:t>21.17</w:t>
            </w:r>
          </w:p>
        </w:tc>
        <w:tc>
          <w:tcPr>
            <w:tcW w:w="1731" w:type="dxa"/>
            <w:tcBorders>
              <w:top w:val="nil"/>
              <w:left w:val="nil"/>
              <w:bottom w:val="single" w:sz="4" w:space="0" w:color="auto"/>
              <w:right w:val="single" w:sz="4" w:space="0" w:color="auto"/>
            </w:tcBorders>
            <w:shd w:val="clear" w:color="auto" w:fill="C4EFCE"/>
            <w:vAlign w:val="center"/>
            <w:hideMark/>
          </w:tcPr>
          <w:p w14:paraId="4A7D0D48" w14:textId="6D14D617" w:rsidR="00A15990" w:rsidRDefault="00686A62">
            <w:pPr>
              <w:pStyle w:val="P68B1DB1-Normal23"/>
              <w:spacing w:after="0"/>
              <w:jc w:val="center"/>
              <w:rPr>
                <w:rFonts w:eastAsia="Calibri" w:cs="Calibri"/>
                <w:noProof/>
              </w:rPr>
            </w:pPr>
            <w:r>
              <w:rPr>
                <w:noProof/>
              </w:rPr>
              <w:t>RP-C21-r46</w:t>
            </w:r>
          </w:p>
        </w:tc>
        <w:tc>
          <w:tcPr>
            <w:tcW w:w="1491" w:type="dxa"/>
            <w:tcBorders>
              <w:top w:val="nil"/>
              <w:left w:val="nil"/>
              <w:bottom w:val="single" w:sz="4" w:space="0" w:color="auto"/>
              <w:right w:val="single" w:sz="4" w:space="0" w:color="auto"/>
            </w:tcBorders>
            <w:shd w:val="clear" w:color="auto" w:fill="C4EFCE"/>
            <w:vAlign w:val="center"/>
            <w:hideMark/>
          </w:tcPr>
          <w:p w14:paraId="3A735B1F"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767B978A" w14:textId="77777777" w:rsidR="00A15990" w:rsidRDefault="00686A62">
            <w:pPr>
              <w:pStyle w:val="P68B1DB1-Normal23"/>
              <w:spacing w:after="0"/>
              <w:jc w:val="both"/>
              <w:rPr>
                <w:rFonts w:eastAsia="Calibri" w:cs="Calibri"/>
                <w:noProof/>
              </w:rPr>
            </w:pPr>
            <w:r>
              <w:rPr>
                <w:noProof/>
              </w:rPr>
              <w:t>Intrarea în vigoare a Regulamentului revizuit privind rețeaua națională de transport de gaze și a Regulamentului privind rețeaua națională de distribuție a gazelor</w:t>
            </w:r>
          </w:p>
        </w:tc>
        <w:tc>
          <w:tcPr>
            <w:tcW w:w="0" w:type="auto"/>
          </w:tcPr>
          <w:p w14:paraId="7E717CD2" w14:textId="77777777" w:rsidR="00A15990" w:rsidRDefault="00A15990">
            <w:pPr>
              <w:spacing w:after="0" w:line="240" w:lineRule="auto"/>
              <w:rPr>
                <w:noProof/>
                <w:sz w:val="18"/>
              </w:rPr>
            </w:pPr>
          </w:p>
        </w:tc>
      </w:tr>
      <w:tr w:rsidR="00A15990" w14:paraId="04CE7036"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498CBBC" w14:textId="77777777" w:rsidR="00A15990" w:rsidRDefault="00686A62">
            <w:pPr>
              <w:pStyle w:val="P68B1DB1-Normal23"/>
              <w:spacing w:after="0"/>
              <w:jc w:val="center"/>
              <w:rPr>
                <w:rFonts w:eastAsia="Calibri" w:cs="Calibri"/>
                <w:noProof/>
              </w:rPr>
            </w:pPr>
            <w:r>
              <w:rPr>
                <w:noProof/>
              </w:rPr>
              <w:t>21.19</w:t>
            </w:r>
          </w:p>
        </w:tc>
        <w:tc>
          <w:tcPr>
            <w:tcW w:w="1731" w:type="dxa"/>
            <w:tcBorders>
              <w:top w:val="nil"/>
              <w:left w:val="nil"/>
              <w:bottom w:val="single" w:sz="4" w:space="0" w:color="auto"/>
              <w:right w:val="single" w:sz="4" w:space="0" w:color="auto"/>
            </w:tcBorders>
            <w:shd w:val="clear" w:color="auto" w:fill="C4EFCE"/>
            <w:vAlign w:val="center"/>
            <w:hideMark/>
          </w:tcPr>
          <w:p w14:paraId="14CCA84B" w14:textId="452A7EC5" w:rsidR="00A15990" w:rsidRDefault="00686A62">
            <w:pPr>
              <w:pStyle w:val="P68B1DB1-Normal23"/>
              <w:spacing w:after="0"/>
              <w:jc w:val="center"/>
              <w:rPr>
                <w:rFonts w:eastAsia="Calibri" w:cs="Calibri"/>
                <w:noProof/>
              </w:rPr>
            </w:pPr>
            <w:r>
              <w:rPr>
                <w:noProof/>
              </w:rPr>
              <w:t>RP-C21-r47</w:t>
            </w:r>
          </w:p>
        </w:tc>
        <w:tc>
          <w:tcPr>
            <w:tcW w:w="1491" w:type="dxa"/>
            <w:tcBorders>
              <w:top w:val="nil"/>
              <w:left w:val="nil"/>
              <w:bottom w:val="single" w:sz="4" w:space="0" w:color="auto"/>
              <w:right w:val="single" w:sz="4" w:space="0" w:color="auto"/>
            </w:tcBorders>
            <w:shd w:val="clear" w:color="auto" w:fill="C4EFCE"/>
            <w:vAlign w:val="center"/>
            <w:hideMark/>
          </w:tcPr>
          <w:p w14:paraId="0A60F32E"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45DEC73" w14:textId="77777777" w:rsidR="00A15990" w:rsidRDefault="00686A62">
            <w:pPr>
              <w:pStyle w:val="P68B1DB1-Normal23"/>
              <w:spacing w:after="0"/>
              <w:jc w:val="both"/>
              <w:rPr>
                <w:rFonts w:eastAsia="Calibri" w:cs="Calibri"/>
                <w:noProof/>
              </w:rPr>
            </w:pPr>
            <w:r>
              <w:rPr>
                <w:noProof/>
              </w:rPr>
              <w:t>Adoptarea Planului de acțiune privind biometanul</w:t>
            </w:r>
          </w:p>
        </w:tc>
        <w:tc>
          <w:tcPr>
            <w:tcW w:w="0" w:type="auto"/>
          </w:tcPr>
          <w:p w14:paraId="6244CF38" w14:textId="77777777" w:rsidR="00A15990" w:rsidRDefault="00A15990">
            <w:pPr>
              <w:spacing w:after="0" w:line="240" w:lineRule="auto"/>
              <w:rPr>
                <w:noProof/>
                <w:sz w:val="18"/>
              </w:rPr>
            </w:pPr>
          </w:p>
        </w:tc>
      </w:tr>
      <w:tr w:rsidR="00A15990" w14:paraId="614F83E7"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7EB38B6C" w14:textId="77777777" w:rsidR="00A15990" w:rsidRDefault="00686A62">
            <w:pPr>
              <w:pStyle w:val="P68B1DB1-Normal23"/>
              <w:spacing w:after="0"/>
              <w:jc w:val="center"/>
              <w:rPr>
                <w:rFonts w:eastAsia="Calibri" w:cs="Calibri"/>
                <w:noProof/>
              </w:rPr>
            </w:pPr>
            <w:r>
              <w:rPr>
                <w:noProof/>
              </w:rPr>
              <w:t>21.22</w:t>
            </w:r>
          </w:p>
        </w:tc>
        <w:tc>
          <w:tcPr>
            <w:tcW w:w="1731" w:type="dxa"/>
            <w:tcBorders>
              <w:top w:val="nil"/>
              <w:left w:val="nil"/>
              <w:bottom w:val="single" w:sz="4" w:space="0" w:color="auto"/>
              <w:right w:val="single" w:sz="4" w:space="0" w:color="auto"/>
            </w:tcBorders>
            <w:shd w:val="clear" w:color="auto" w:fill="C4EFCE"/>
            <w:vAlign w:val="center"/>
            <w:hideMark/>
          </w:tcPr>
          <w:p w14:paraId="48F8BD33" w14:textId="5060F7CF" w:rsidR="00A15990" w:rsidRDefault="00686A62">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97F16E3"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6B9DAF45" w14:textId="77777777" w:rsidR="00A15990" w:rsidRDefault="00686A62">
            <w:pPr>
              <w:pStyle w:val="P68B1DB1-Normal23"/>
              <w:spacing w:after="0"/>
              <w:jc w:val="both"/>
              <w:rPr>
                <w:rFonts w:eastAsia="Calibri" w:cs="Calibri"/>
                <w:noProof/>
              </w:rPr>
            </w:pPr>
            <w:r>
              <w:rPr>
                <w:noProof/>
              </w:rPr>
              <w:t>Formarea personalului implicat în autorizarea proiectelor privind energia din surse regenerabile</w:t>
            </w:r>
          </w:p>
        </w:tc>
        <w:tc>
          <w:tcPr>
            <w:tcW w:w="0" w:type="auto"/>
          </w:tcPr>
          <w:p w14:paraId="1B59DBBC" w14:textId="77777777" w:rsidR="00A15990" w:rsidRDefault="00A15990">
            <w:pPr>
              <w:spacing w:after="0" w:line="240" w:lineRule="auto"/>
              <w:rPr>
                <w:noProof/>
                <w:sz w:val="18"/>
              </w:rPr>
            </w:pPr>
          </w:p>
        </w:tc>
      </w:tr>
      <w:tr w:rsidR="00A15990" w14:paraId="1A789DEE" w14:textId="77777777">
        <w:trPr>
          <w:gridAfter w:val="1"/>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42840F22" w14:textId="77777777" w:rsidR="00A15990" w:rsidRDefault="00686A62">
            <w:pPr>
              <w:pStyle w:val="P68B1DB1-Normal23"/>
              <w:spacing w:after="0"/>
              <w:jc w:val="center"/>
              <w:rPr>
                <w:rFonts w:eastAsia="Calibri" w:cs="Calibri"/>
                <w:noProof/>
              </w:rPr>
            </w:pPr>
            <w:r>
              <w:rPr>
                <w:noProof/>
              </w:rPr>
              <w:t>21.23</w:t>
            </w:r>
          </w:p>
        </w:tc>
        <w:tc>
          <w:tcPr>
            <w:tcW w:w="1731" w:type="dxa"/>
            <w:tcBorders>
              <w:top w:val="nil"/>
              <w:left w:val="nil"/>
              <w:bottom w:val="single" w:sz="4" w:space="0" w:color="auto"/>
              <w:right w:val="single" w:sz="4" w:space="0" w:color="auto"/>
            </w:tcBorders>
            <w:shd w:val="clear" w:color="auto" w:fill="C4EFCE"/>
            <w:vAlign w:val="center"/>
            <w:hideMark/>
          </w:tcPr>
          <w:p w14:paraId="5F455980" w14:textId="7B09C91A" w:rsidR="00A15990" w:rsidRDefault="00686A62">
            <w:pPr>
              <w:pStyle w:val="P68B1DB1-Normal23"/>
              <w:spacing w:after="0"/>
              <w:jc w:val="center"/>
              <w:rPr>
                <w:rFonts w:eastAsia="Calibri" w:cs="Calibri"/>
                <w:noProof/>
              </w:rPr>
            </w:pPr>
            <w:r>
              <w:rPr>
                <w:noProof/>
              </w:rPr>
              <w:t>RP-C21-r48</w:t>
            </w:r>
          </w:p>
        </w:tc>
        <w:tc>
          <w:tcPr>
            <w:tcW w:w="1491" w:type="dxa"/>
            <w:tcBorders>
              <w:top w:val="nil"/>
              <w:left w:val="nil"/>
              <w:bottom w:val="single" w:sz="4" w:space="0" w:color="auto"/>
              <w:right w:val="single" w:sz="4" w:space="0" w:color="auto"/>
            </w:tcBorders>
            <w:shd w:val="clear" w:color="auto" w:fill="C4EFCE"/>
            <w:vAlign w:val="center"/>
            <w:hideMark/>
          </w:tcPr>
          <w:p w14:paraId="02876EA7"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20ACA668" w14:textId="77777777" w:rsidR="00A15990" w:rsidRDefault="00686A62">
            <w:pPr>
              <w:pStyle w:val="P68B1DB1-Normal23"/>
              <w:spacing w:after="0"/>
              <w:jc w:val="both"/>
              <w:rPr>
                <w:rFonts w:eastAsia="Calibri" w:cs="Calibri"/>
                <w:noProof/>
              </w:rPr>
            </w:pPr>
            <w:r>
              <w:rPr>
                <w:noProof/>
              </w:rPr>
              <w:t>Adoptarea unui calendar pentru alocarea de noi capacități de energie din surse regenerabile, cu un accent deosebit pe zonele geografice care rezultă din „Programul sectorial «Go -To – Zone» din surse regenerabile”</w:t>
            </w:r>
          </w:p>
        </w:tc>
      </w:tr>
      <w:tr w:rsidR="00A15990" w14:paraId="06A277B8"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4F7C25" w14:textId="77777777" w:rsidR="00A15990" w:rsidRDefault="00686A62">
            <w:pPr>
              <w:pStyle w:val="P68B1DB1-Normal23"/>
              <w:spacing w:after="0"/>
              <w:jc w:val="center"/>
              <w:rPr>
                <w:rFonts w:eastAsia="Calibri" w:cs="Calibri"/>
                <w:noProof/>
              </w:rPr>
            </w:pPr>
            <w:r>
              <w:rPr>
                <w:noProof/>
              </w:rPr>
              <w:t>21.26</w:t>
            </w:r>
          </w:p>
        </w:tc>
        <w:tc>
          <w:tcPr>
            <w:tcW w:w="1731" w:type="dxa"/>
            <w:tcBorders>
              <w:top w:val="nil"/>
              <w:left w:val="nil"/>
              <w:bottom w:val="single" w:sz="4" w:space="0" w:color="auto"/>
              <w:right w:val="single" w:sz="4" w:space="0" w:color="auto"/>
            </w:tcBorders>
            <w:shd w:val="clear" w:color="auto" w:fill="C4EFCE"/>
            <w:vAlign w:val="center"/>
            <w:hideMark/>
          </w:tcPr>
          <w:p w14:paraId="245A5243" w14:textId="32E9BC0F" w:rsidR="00A15990" w:rsidRDefault="00686A62">
            <w:pPr>
              <w:pStyle w:val="P68B1DB1-Normal23"/>
              <w:spacing w:after="0"/>
              <w:jc w:val="center"/>
              <w:rPr>
                <w:rFonts w:eastAsia="Calibri" w:cs="Calibri"/>
                <w:noProof/>
              </w:rPr>
            </w:pPr>
            <w:r>
              <w:rPr>
                <w:noProof/>
              </w:rPr>
              <w:t>RP-C21-i07</w:t>
            </w:r>
          </w:p>
        </w:tc>
        <w:tc>
          <w:tcPr>
            <w:tcW w:w="1491" w:type="dxa"/>
            <w:tcBorders>
              <w:top w:val="nil"/>
              <w:left w:val="nil"/>
              <w:bottom w:val="single" w:sz="4" w:space="0" w:color="auto"/>
              <w:right w:val="single" w:sz="4" w:space="0" w:color="auto"/>
            </w:tcBorders>
            <w:shd w:val="clear" w:color="auto" w:fill="C4EFCE"/>
            <w:vAlign w:val="center"/>
            <w:hideMark/>
          </w:tcPr>
          <w:p w14:paraId="38129E5F"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3D5267AC" w14:textId="77777777" w:rsidR="00A15990" w:rsidRDefault="00686A62">
            <w:pPr>
              <w:pStyle w:val="P68B1DB1-Normal23"/>
              <w:spacing w:after="0"/>
              <w:jc w:val="both"/>
              <w:rPr>
                <w:rFonts w:eastAsia="Calibri" w:cs="Calibri"/>
                <w:noProof/>
              </w:rPr>
            </w:pPr>
            <w:r>
              <w:rPr>
                <w:noProof/>
              </w:rPr>
              <w:t>Semnarea contractului (contractelor) pentru studii tehnice offshore</w:t>
            </w:r>
          </w:p>
        </w:tc>
        <w:tc>
          <w:tcPr>
            <w:tcW w:w="0" w:type="auto"/>
          </w:tcPr>
          <w:p w14:paraId="1D5FFE10" w14:textId="77777777" w:rsidR="00A15990" w:rsidRDefault="00A15990">
            <w:pPr>
              <w:spacing w:after="0" w:line="240" w:lineRule="auto"/>
              <w:rPr>
                <w:noProof/>
                <w:sz w:val="18"/>
              </w:rPr>
            </w:pPr>
          </w:p>
        </w:tc>
      </w:tr>
      <w:tr w:rsidR="00A15990" w14:paraId="74F928D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1D78166" w14:textId="77777777" w:rsidR="00A15990" w:rsidRDefault="00686A62">
            <w:pPr>
              <w:pStyle w:val="P68B1DB1-Normal23"/>
              <w:spacing w:after="0"/>
              <w:jc w:val="center"/>
              <w:rPr>
                <w:rFonts w:eastAsia="Calibri" w:cs="Calibri"/>
                <w:noProof/>
              </w:rPr>
            </w:pPr>
            <w:r>
              <w:rPr>
                <w:noProof/>
              </w:rPr>
              <w:t>21.28</w:t>
            </w:r>
          </w:p>
        </w:tc>
        <w:tc>
          <w:tcPr>
            <w:tcW w:w="1731" w:type="dxa"/>
            <w:tcBorders>
              <w:top w:val="nil"/>
              <w:left w:val="nil"/>
              <w:bottom w:val="single" w:sz="4" w:space="0" w:color="auto"/>
              <w:right w:val="single" w:sz="4" w:space="0" w:color="auto"/>
            </w:tcBorders>
            <w:shd w:val="clear" w:color="auto" w:fill="C4EFCE"/>
            <w:vAlign w:val="center"/>
            <w:hideMark/>
          </w:tcPr>
          <w:p w14:paraId="638BD854" w14:textId="7CBF63B7" w:rsidR="00A15990" w:rsidRDefault="00686A62">
            <w:pPr>
              <w:pStyle w:val="P68B1DB1-Normal23"/>
              <w:spacing w:after="0"/>
              <w:jc w:val="center"/>
              <w:rPr>
                <w:rFonts w:eastAsia="Calibri" w:cs="Calibri"/>
                <w:noProof/>
              </w:rPr>
            </w:pPr>
            <w:r>
              <w:rPr>
                <w:noProof/>
              </w:rPr>
              <w:t>RP-C21-i08</w:t>
            </w:r>
          </w:p>
        </w:tc>
        <w:tc>
          <w:tcPr>
            <w:tcW w:w="1491" w:type="dxa"/>
            <w:tcBorders>
              <w:top w:val="nil"/>
              <w:left w:val="nil"/>
              <w:bottom w:val="single" w:sz="4" w:space="0" w:color="auto"/>
              <w:right w:val="single" w:sz="4" w:space="0" w:color="auto"/>
            </w:tcBorders>
            <w:shd w:val="clear" w:color="auto" w:fill="C4EFCE"/>
            <w:vAlign w:val="center"/>
            <w:hideMark/>
          </w:tcPr>
          <w:p w14:paraId="06F70A27"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E4D2267" w14:textId="77777777" w:rsidR="00A15990" w:rsidRDefault="00686A62">
            <w:pPr>
              <w:pStyle w:val="P68B1DB1-Normal23"/>
              <w:spacing w:after="0"/>
              <w:jc w:val="both"/>
              <w:rPr>
                <w:rFonts w:eastAsia="Calibri" w:cs="Calibri"/>
                <w:noProof/>
              </w:rPr>
            </w:pPr>
            <w:r>
              <w:rPr>
                <w:noProof/>
              </w:rPr>
              <w:t>Semnarea condițiilor de acceptare pentru instalarea capacității de stocare a energiei electrice</w:t>
            </w:r>
          </w:p>
        </w:tc>
        <w:tc>
          <w:tcPr>
            <w:tcW w:w="0" w:type="auto"/>
          </w:tcPr>
          <w:p w14:paraId="002DB804" w14:textId="77777777" w:rsidR="00A15990" w:rsidRDefault="00A15990">
            <w:pPr>
              <w:spacing w:after="0" w:line="240" w:lineRule="auto"/>
              <w:rPr>
                <w:noProof/>
                <w:sz w:val="18"/>
              </w:rPr>
            </w:pPr>
          </w:p>
        </w:tc>
      </w:tr>
      <w:tr w:rsidR="00A15990" w14:paraId="56A7925E"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15A0096A" w14:textId="77777777" w:rsidR="00A15990" w:rsidRDefault="00686A62">
            <w:pPr>
              <w:pStyle w:val="P68B1DB1-Normal23"/>
              <w:spacing w:after="0"/>
              <w:jc w:val="center"/>
              <w:rPr>
                <w:rFonts w:eastAsia="Calibri" w:cs="Calibri"/>
                <w:noProof/>
              </w:rPr>
            </w:pPr>
            <w:r>
              <w:rPr>
                <w:noProof/>
              </w:rPr>
              <w:t>21.35</w:t>
            </w:r>
          </w:p>
        </w:tc>
        <w:tc>
          <w:tcPr>
            <w:tcW w:w="1731" w:type="dxa"/>
            <w:tcBorders>
              <w:top w:val="nil"/>
              <w:left w:val="nil"/>
              <w:bottom w:val="single" w:sz="4" w:space="0" w:color="auto"/>
              <w:right w:val="single" w:sz="4" w:space="0" w:color="auto"/>
            </w:tcBorders>
            <w:shd w:val="clear" w:color="auto" w:fill="C4EFCE"/>
            <w:vAlign w:val="center"/>
            <w:hideMark/>
          </w:tcPr>
          <w:p w14:paraId="3795D271" w14:textId="17BBBA36" w:rsidR="00A15990" w:rsidRDefault="00686A62">
            <w:pPr>
              <w:pStyle w:val="P68B1DB1-Normal23"/>
              <w:spacing w:after="0"/>
              <w:jc w:val="center"/>
              <w:rPr>
                <w:rFonts w:eastAsia="Calibri" w:cs="Calibri"/>
                <w:noProof/>
              </w:rPr>
            </w:pPr>
            <w:r>
              <w:rPr>
                <w:noProof/>
              </w:rPr>
              <w:t>RP-C21-i12</w:t>
            </w:r>
          </w:p>
        </w:tc>
        <w:tc>
          <w:tcPr>
            <w:tcW w:w="1491" w:type="dxa"/>
            <w:tcBorders>
              <w:top w:val="nil"/>
              <w:left w:val="nil"/>
              <w:bottom w:val="single" w:sz="4" w:space="0" w:color="auto"/>
              <w:right w:val="single" w:sz="4" w:space="0" w:color="auto"/>
            </w:tcBorders>
            <w:shd w:val="clear" w:color="auto" w:fill="C4EFCE"/>
            <w:vAlign w:val="center"/>
            <w:hideMark/>
          </w:tcPr>
          <w:p w14:paraId="09B715F7"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hideMark/>
          </w:tcPr>
          <w:p w14:paraId="4FD26132" w14:textId="77777777" w:rsidR="00A15990" w:rsidRDefault="00686A62">
            <w:pPr>
              <w:pStyle w:val="P68B1DB1-Normal23"/>
              <w:spacing w:after="0"/>
              <w:jc w:val="both"/>
              <w:rPr>
                <w:rFonts w:eastAsia="Calibri" w:cs="Calibri"/>
                <w:noProof/>
              </w:rPr>
            </w:pPr>
            <w:r>
              <w:rPr>
                <w:noProof/>
              </w:rPr>
              <w:t>Semnarea contractului pentru achiziționarea de autobuze nepoluante în cadrul Programului de decarbonizare a transportului public</w:t>
            </w:r>
          </w:p>
        </w:tc>
        <w:tc>
          <w:tcPr>
            <w:tcW w:w="0" w:type="auto"/>
          </w:tcPr>
          <w:p w14:paraId="54E7AB68" w14:textId="77777777" w:rsidR="00A15990" w:rsidRDefault="00A15990">
            <w:pPr>
              <w:spacing w:after="0" w:line="240" w:lineRule="auto"/>
              <w:rPr>
                <w:noProof/>
                <w:sz w:val="18"/>
              </w:rPr>
            </w:pPr>
          </w:p>
        </w:tc>
      </w:tr>
      <w:tr w:rsidR="00A15990" w14:paraId="2005FDB3"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tcPr>
          <w:p w14:paraId="75A6F4F7" w14:textId="77777777" w:rsidR="00A15990" w:rsidRDefault="00686A62">
            <w:pPr>
              <w:pStyle w:val="P68B1DB1-Normal23"/>
              <w:spacing w:after="0"/>
              <w:jc w:val="center"/>
              <w:rPr>
                <w:rFonts w:eastAsia="Calibri" w:cs="Calibri"/>
                <w:noProof/>
              </w:rPr>
            </w:pPr>
            <w:r>
              <w:rPr>
                <w:noProof/>
              </w:rPr>
              <w:t>21.40</w:t>
            </w:r>
          </w:p>
        </w:tc>
        <w:tc>
          <w:tcPr>
            <w:tcW w:w="1731" w:type="dxa"/>
            <w:tcBorders>
              <w:top w:val="nil"/>
              <w:left w:val="nil"/>
              <w:bottom w:val="single" w:sz="4" w:space="0" w:color="auto"/>
              <w:right w:val="single" w:sz="4" w:space="0" w:color="auto"/>
            </w:tcBorders>
            <w:shd w:val="clear" w:color="auto" w:fill="C4EFCE"/>
            <w:vAlign w:val="center"/>
          </w:tcPr>
          <w:p w14:paraId="21109940" w14:textId="77777777" w:rsidR="00A15990" w:rsidRDefault="00686A62">
            <w:pPr>
              <w:pStyle w:val="P68B1DB1-Normal23"/>
              <w:spacing w:after="0"/>
              <w:jc w:val="center"/>
              <w:rPr>
                <w:rFonts w:eastAsia="Calibri" w:cs="Calibri"/>
                <w:noProof/>
              </w:rPr>
            </w:pPr>
            <w:r>
              <w:rPr>
                <w:noProof/>
              </w:rPr>
              <w:t>RP-C21-i15-RAA</w:t>
            </w:r>
          </w:p>
        </w:tc>
        <w:tc>
          <w:tcPr>
            <w:tcW w:w="1491" w:type="dxa"/>
            <w:tcBorders>
              <w:top w:val="nil"/>
              <w:left w:val="nil"/>
              <w:bottom w:val="single" w:sz="4" w:space="0" w:color="auto"/>
              <w:right w:val="single" w:sz="4" w:space="0" w:color="auto"/>
            </w:tcBorders>
            <w:shd w:val="clear" w:color="auto" w:fill="C4EFCE"/>
            <w:vAlign w:val="center"/>
          </w:tcPr>
          <w:p w14:paraId="14D3E6EC" w14:textId="77777777" w:rsidR="00A15990" w:rsidRDefault="00686A62">
            <w:pPr>
              <w:pStyle w:val="P68B1DB1-Normal23"/>
              <w:spacing w:after="0"/>
              <w:jc w:val="center"/>
              <w:rPr>
                <w:rFonts w:eastAsia="Calibri" w:cs="Calibri"/>
                <w:noProof/>
              </w:rPr>
            </w:pPr>
            <w:r>
              <w:rPr>
                <w:noProof/>
              </w:rPr>
              <w:t>M</w:t>
            </w:r>
          </w:p>
        </w:tc>
        <w:tc>
          <w:tcPr>
            <w:tcW w:w="4919" w:type="dxa"/>
            <w:tcBorders>
              <w:top w:val="nil"/>
              <w:left w:val="nil"/>
              <w:bottom w:val="single" w:sz="4" w:space="0" w:color="auto"/>
              <w:right w:val="single" w:sz="4" w:space="0" w:color="auto"/>
            </w:tcBorders>
            <w:shd w:val="clear" w:color="auto" w:fill="C4EFCE"/>
            <w:vAlign w:val="center"/>
          </w:tcPr>
          <w:p w14:paraId="204EA7D4" w14:textId="77777777" w:rsidR="00A15990" w:rsidRDefault="00686A62">
            <w:pPr>
              <w:pStyle w:val="P68B1DB1-Normal23"/>
              <w:spacing w:after="0"/>
              <w:jc w:val="both"/>
              <w:rPr>
                <w:rFonts w:eastAsia="Calibri" w:cs="Calibri"/>
                <w:noProof/>
              </w:rPr>
            </w:pPr>
            <w:r>
              <w:rPr>
                <w:noProof/>
              </w:rPr>
              <w:t>Semnarea contractului pentru achiziționarea a două feriboturi electrice pentru transportul de pasageri și de vehicule între insulele Pico, Faial și São Jorge</w:t>
            </w:r>
          </w:p>
        </w:tc>
        <w:tc>
          <w:tcPr>
            <w:tcW w:w="0" w:type="auto"/>
          </w:tcPr>
          <w:p w14:paraId="04893D6C" w14:textId="77777777" w:rsidR="00A15990" w:rsidRDefault="00A15990">
            <w:pPr>
              <w:spacing w:after="0" w:line="240" w:lineRule="auto"/>
              <w:rPr>
                <w:noProof/>
                <w:sz w:val="18"/>
              </w:rPr>
            </w:pPr>
          </w:p>
        </w:tc>
      </w:tr>
      <w:tr w:rsidR="00A15990" w14:paraId="6B53B022" w14:textId="77777777">
        <w:trPr>
          <w:trHeight w:val="440"/>
        </w:trPr>
        <w:tc>
          <w:tcPr>
            <w:tcW w:w="1177" w:type="dxa"/>
            <w:tcBorders>
              <w:top w:val="nil"/>
              <w:left w:val="single" w:sz="4" w:space="0" w:color="auto"/>
              <w:bottom w:val="single" w:sz="4" w:space="0" w:color="auto"/>
              <w:right w:val="single" w:sz="4" w:space="0" w:color="auto"/>
            </w:tcBorders>
            <w:shd w:val="clear" w:color="auto" w:fill="C4EFCE"/>
            <w:vAlign w:val="center"/>
            <w:hideMark/>
          </w:tcPr>
          <w:p w14:paraId="20E28EFA" w14:textId="77777777" w:rsidR="00A15990" w:rsidRDefault="00A15990">
            <w:pPr>
              <w:jc w:val="center"/>
              <w:rPr>
                <w:rFonts w:ascii="Calibri" w:eastAsia="Calibri" w:hAnsi="Calibri" w:cs="Calibri"/>
                <w:noProof/>
                <w:sz w:val="16"/>
              </w:rPr>
            </w:pPr>
          </w:p>
        </w:tc>
        <w:tc>
          <w:tcPr>
            <w:tcW w:w="1731" w:type="dxa"/>
            <w:tcBorders>
              <w:top w:val="nil"/>
              <w:left w:val="nil"/>
              <w:bottom w:val="single" w:sz="4" w:space="0" w:color="auto"/>
              <w:right w:val="single" w:sz="4" w:space="0" w:color="auto"/>
            </w:tcBorders>
            <w:shd w:val="clear" w:color="auto" w:fill="C4EFCE"/>
            <w:vAlign w:val="center"/>
            <w:hideMark/>
          </w:tcPr>
          <w:p w14:paraId="2E93C338" w14:textId="77777777" w:rsidR="00A15990" w:rsidRDefault="00A15990">
            <w:pPr>
              <w:jc w:val="center"/>
              <w:rPr>
                <w:rFonts w:ascii="Calibri" w:eastAsia="Calibri" w:hAnsi="Calibri" w:cs="Calibri"/>
                <w:noProof/>
                <w:sz w:val="16"/>
              </w:rPr>
            </w:pPr>
          </w:p>
        </w:tc>
        <w:tc>
          <w:tcPr>
            <w:tcW w:w="1491" w:type="dxa"/>
            <w:tcBorders>
              <w:top w:val="nil"/>
              <w:left w:val="nil"/>
              <w:bottom w:val="single" w:sz="4" w:space="0" w:color="auto"/>
              <w:right w:val="single" w:sz="4" w:space="0" w:color="auto"/>
            </w:tcBorders>
            <w:shd w:val="clear" w:color="auto" w:fill="C4EFCE"/>
            <w:vAlign w:val="center"/>
            <w:hideMark/>
          </w:tcPr>
          <w:p w14:paraId="75B5103C"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4919" w:type="dxa"/>
            <w:tcBorders>
              <w:top w:val="nil"/>
              <w:left w:val="nil"/>
              <w:bottom w:val="single" w:sz="4" w:space="0" w:color="auto"/>
              <w:right w:val="single" w:sz="4" w:space="0" w:color="auto"/>
            </w:tcBorders>
            <w:shd w:val="clear" w:color="auto" w:fill="C4EFCE"/>
            <w:vAlign w:val="center"/>
            <w:hideMark/>
          </w:tcPr>
          <w:p w14:paraId="3E3CC648" w14:textId="2B08B464" w:rsidR="00A15990" w:rsidRDefault="00686A62">
            <w:pPr>
              <w:pStyle w:val="P68B1DB1-Normal25"/>
              <w:spacing w:after="0" w:line="240" w:lineRule="auto"/>
              <w:jc w:val="center"/>
              <w:rPr>
                <w:rFonts w:cs="Calibri"/>
                <w:noProof/>
              </w:rPr>
            </w:pPr>
            <w:r>
              <w:rPr>
                <w:noProof/>
              </w:rPr>
              <w:t xml:space="preserve"> 1 501 588 718 MIL. </w:t>
            </w:r>
          </w:p>
        </w:tc>
        <w:tc>
          <w:tcPr>
            <w:tcW w:w="0" w:type="auto"/>
          </w:tcPr>
          <w:p w14:paraId="3C8F94FE" w14:textId="77777777" w:rsidR="00A15990" w:rsidRDefault="00A15990">
            <w:pPr>
              <w:spacing w:after="0" w:line="240" w:lineRule="auto"/>
              <w:rPr>
                <w:noProof/>
              </w:rPr>
            </w:pPr>
          </w:p>
        </w:tc>
      </w:tr>
    </w:tbl>
    <w:p w14:paraId="0498FCB8" w14:textId="77777777" w:rsidR="00A15990" w:rsidRDefault="00A15990">
      <w:pPr>
        <w:keepNext/>
        <w:spacing w:before="40" w:after="160" w:line="259" w:lineRule="auto"/>
        <w:ind w:left="360"/>
        <w:contextualSpacing/>
        <w:jc w:val="both"/>
        <w:rPr>
          <w:rFonts w:ascii="Times New Roman" w:eastAsiaTheme="minorEastAsia" w:hAnsi="Times New Roman" w:cs="Times New Roman"/>
          <w:noProof/>
          <w:sz w:val="24"/>
        </w:rPr>
      </w:pPr>
    </w:p>
    <w:p w14:paraId="7C23D5C3"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șaptea cerere de plată (sprijin nerambursabil): </w:t>
      </w:r>
    </w:p>
    <w:p w14:paraId="05CC9F84"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2089B95C" w14:textId="77777777">
        <w:trPr>
          <w:trHeight w:val="509"/>
          <w:tblHeader/>
        </w:trPr>
        <w:tc>
          <w:tcPr>
            <w:tcW w:w="1200" w:type="dxa"/>
            <w:vMerge w:val="restart"/>
            <w:shd w:val="clear" w:color="auto" w:fill="BDD7EE"/>
            <w:vAlign w:val="center"/>
            <w:hideMark/>
          </w:tcPr>
          <w:p w14:paraId="1610403B"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087CD088"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3758B49E" w14:textId="7758A50E"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6115E89D"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74F34BCB" w14:textId="77777777">
        <w:trPr>
          <w:trHeight w:val="509"/>
          <w:tblHeader/>
        </w:trPr>
        <w:tc>
          <w:tcPr>
            <w:tcW w:w="1200" w:type="dxa"/>
            <w:vMerge/>
            <w:vAlign w:val="center"/>
            <w:hideMark/>
          </w:tcPr>
          <w:p w14:paraId="5E98CE98" w14:textId="77777777" w:rsidR="00A15990" w:rsidRDefault="00A15990">
            <w:pPr>
              <w:spacing w:after="0" w:line="240" w:lineRule="auto"/>
              <w:rPr>
                <w:rFonts w:ascii="Times New Roman" w:eastAsia="Times New Roman" w:hAnsi="Times New Roman" w:cs="Times New Roman"/>
                <w:b/>
                <w:noProof/>
                <w:sz w:val="20"/>
              </w:rPr>
            </w:pPr>
          </w:p>
        </w:tc>
        <w:tc>
          <w:tcPr>
            <w:tcW w:w="1760" w:type="dxa"/>
            <w:vMerge/>
            <w:vAlign w:val="center"/>
            <w:hideMark/>
          </w:tcPr>
          <w:p w14:paraId="273A84B2" w14:textId="77777777" w:rsidR="00A15990" w:rsidRDefault="00A15990">
            <w:pPr>
              <w:spacing w:after="0" w:line="240" w:lineRule="auto"/>
              <w:rPr>
                <w:rFonts w:ascii="Times New Roman" w:eastAsia="Times New Roman" w:hAnsi="Times New Roman" w:cs="Times New Roman"/>
                <w:b/>
                <w:noProof/>
                <w:sz w:val="20"/>
              </w:rPr>
            </w:pPr>
          </w:p>
        </w:tc>
        <w:tc>
          <w:tcPr>
            <w:tcW w:w="1520" w:type="dxa"/>
            <w:vMerge/>
            <w:vAlign w:val="center"/>
            <w:hideMark/>
          </w:tcPr>
          <w:p w14:paraId="0B017496" w14:textId="77777777" w:rsidR="00A15990" w:rsidRDefault="00A15990">
            <w:pPr>
              <w:spacing w:after="0" w:line="240" w:lineRule="auto"/>
              <w:rPr>
                <w:rFonts w:ascii="Times New Roman" w:eastAsia="Times New Roman" w:hAnsi="Times New Roman" w:cs="Times New Roman"/>
                <w:b/>
                <w:noProof/>
                <w:sz w:val="20"/>
              </w:rPr>
            </w:pPr>
          </w:p>
        </w:tc>
        <w:tc>
          <w:tcPr>
            <w:tcW w:w="5060" w:type="dxa"/>
            <w:vMerge/>
            <w:vAlign w:val="center"/>
            <w:hideMark/>
          </w:tcPr>
          <w:p w14:paraId="51E262C0" w14:textId="77777777" w:rsidR="00A15990" w:rsidRDefault="00A15990">
            <w:pPr>
              <w:spacing w:after="0" w:line="240" w:lineRule="auto"/>
              <w:rPr>
                <w:rFonts w:ascii="Times New Roman" w:eastAsia="Times New Roman" w:hAnsi="Times New Roman" w:cs="Times New Roman"/>
                <w:b/>
                <w:noProof/>
                <w:sz w:val="20"/>
              </w:rPr>
            </w:pPr>
          </w:p>
        </w:tc>
      </w:tr>
      <w:tr w:rsidR="00A15990" w14:paraId="78D2FC43" w14:textId="77777777">
        <w:trPr>
          <w:trHeight w:val="440"/>
        </w:trPr>
        <w:tc>
          <w:tcPr>
            <w:tcW w:w="1200" w:type="dxa"/>
            <w:shd w:val="clear" w:color="auto" w:fill="C4EFCE"/>
            <w:vAlign w:val="center"/>
            <w:hideMark/>
          </w:tcPr>
          <w:p w14:paraId="34AFA81A" w14:textId="77777777" w:rsidR="00A15990" w:rsidRDefault="00686A62">
            <w:pPr>
              <w:pStyle w:val="P68B1DB1-Normal23"/>
              <w:spacing w:after="0"/>
              <w:jc w:val="center"/>
              <w:rPr>
                <w:rFonts w:eastAsia="Calibri" w:cs="Calibri"/>
                <w:noProof/>
              </w:rPr>
            </w:pPr>
            <w:r>
              <w:rPr>
                <w:noProof/>
              </w:rPr>
              <w:t>1.10</w:t>
            </w:r>
          </w:p>
        </w:tc>
        <w:tc>
          <w:tcPr>
            <w:tcW w:w="1760" w:type="dxa"/>
            <w:shd w:val="clear" w:color="auto" w:fill="C4EFCE"/>
            <w:vAlign w:val="center"/>
            <w:hideMark/>
          </w:tcPr>
          <w:p w14:paraId="51D0C2F0" w14:textId="77777777" w:rsidR="00A15990" w:rsidRDefault="00686A62">
            <w:pPr>
              <w:pStyle w:val="P68B1DB1-Normal23"/>
              <w:spacing w:after="0"/>
              <w:jc w:val="center"/>
              <w:rPr>
                <w:rFonts w:eastAsia="Calibri" w:cs="Calibri"/>
                <w:noProof/>
              </w:rPr>
            </w:pPr>
            <w:r>
              <w:rPr>
                <w:noProof/>
              </w:rPr>
              <w:t>RE-C01-r03</w:t>
            </w:r>
          </w:p>
        </w:tc>
        <w:tc>
          <w:tcPr>
            <w:tcW w:w="1520" w:type="dxa"/>
            <w:shd w:val="clear" w:color="auto" w:fill="C4EFCE"/>
            <w:vAlign w:val="center"/>
            <w:hideMark/>
          </w:tcPr>
          <w:p w14:paraId="50D354B1"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664EC88" w14:textId="77777777" w:rsidR="00A15990" w:rsidRDefault="00686A62">
            <w:pPr>
              <w:pStyle w:val="P68B1DB1-Normal23"/>
              <w:spacing w:after="0"/>
              <w:jc w:val="both"/>
              <w:rPr>
                <w:rFonts w:eastAsia="Calibri" w:cs="Calibri"/>
                <w:noProof/>
              </w:rPr>
            </w:pPr>
            <w:r>
              <w:rPr>
                <w:noProof/>
              </w:rPr>
              <w:t>Consolidarea răspunsurilor de spitalizare la domiciliu în spitalele Serviciului Național de Sănătate</w:t>
            </w:r>
          </w:p>
        </w:tc>
      </w:tr>
      <w:tr w:rsidR="00A15990" w14:paraId="281EF144" w14:textId="77777777">
        <w:trPr>
          <w:trHeight w:val="440"/>
        </w:trPr>
        <w:tc>
          <w:tcPr>
            <w:tcW w:w="1200" w:type="dxa"/>
            <w:shd w:val="clear" w:color="auto" w:fill="C4EFCE"/>
            <w:vAlign w:val="center"/>
            <w:hideMark/>
          </w:tcPr>
          <w:p w14:paraId="512494E5" w14:textId="77777777" w:rsidR="00A15990" w:rsidRDefault="00686A62">
            <w:pPr>
              <w:pStyle w:val="P68B1DB1-Normal23"/>
              <w:spacing w:after="0"/>
              <w:jc w:val="center"/>
              <w:rPr>
                <w:rFonts w:eastAsia="Calibri" w:cs="Calibri"/>
                <w:noProof/>
              </w:rPr>
            </w:pPr>
            <w:r>
              <w:rPr>
                <w:noProof/>
              </w:rPr>
              <w:t>1.14</w:t>
            </w:r>
          </w:p>
        </w:tc>
        <w:tc>
          <w:tcPr>
            <w:tcW w:w="1760" w:type="dxa"/>
            <w:shd w:val="clear" w:color="auto" w:fill="C4EFCE"/>
            <w:vAlign w:val="center"/>
            <w:hideMark/>
          </w:tcPr>
          <w:p w14:paraId="0370E718" w14:textId="77777777" w:rsidR="00A15990" w:rsidRDefault="00686A62">
            <w:pPr>
              <w:pStyle w:val="P68B1DB1-Normal23"/>
              <w:spacing w:after="0"/>
              <w:jc w:val="center"/>
              <w:rPr>
                <w:rFonts w:eastAsia="Calibri" w:cs="Calibri"/>
                <w:noProof/>
              </w:rPr>
            </w:pPr>
            <w:r>
              <w:rPr>
                <w:noProof/>
              </w:rPr>
              <w:t>RE-C01-i01</w:t>
            </w:r>
          </w:p>
        </w:tc>
        <w:tc>
          <w:tcPr>
            <w:tcW w:w="1520" w:type="dxa"/>
            <w:shd w:val="clear" w:color="auto" w:fill="C4EFCE"/>
            <w:vAlign w:val="center"/>
            <w:hideMark/>
          </w:tcPr>
          <w:p w14:paraId="1D5E254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FC949BF" w14:textId="77777777" w:rsidR="00A15990" w:rsidRDefault="00686A62">
            <w:pPr>
              <w:pStyle w:val="P68B1DB1-Normal23"/>
              <w:spacing w:after="0"/>
              <w:jc w:val="both"/>
              <w:rPr>
                <w:rFonts w:eastAsia="Calibri" w:cs="Calibri"/>
                <w:noProof/>
              </w:rPr>
            </w:pPr>
            <w:r>
              <w:rPr>
                <w:noProof/>
              </w:rPr>
              <w:t>Construirea de noi unități sanitare</w:t>
            </w:r>
          </w:p>
        </w:tc>
      </w:tr>
      <w:tr w:rsidR="00A15990" w14:paraId="5D10BD59" w14:textId="77777777">
        <w:trPr>
          <w:trHeight w:val="440"/>
        </w:trPr>
        <w:tc>
          <w:tcPr>
            <w:tcW w:w="1200" w:type="dxa"/>
            <w:shd w:val="clear" w:color="auto" w:fill="C4EFCE"/>
            <w:vAlign w:val="center"/>
            <w:hideMark/>
          </w:tcPr>
          <w:p w14:paraId="461A7F1E" w14:textId="77777777" w:rsidR="00A15990" w:rsidRDefault="00686A62">
            <w:pPr>
              <w:pStyle w:val="P68B1DB1-Normal23"/>
              <w:spacing w:after="0"/>
              <w:jc w:val="center"/>
              <w:rPr>
                <w:rFonts w:eastAsia="Calibri" w:cs="Calibri"/>
                <w:noProof/>
              </w:rPr>
            </w:pPr>
            <w:r>
              <w:rPr>
                <w:noProof/>
              </w:rPr>
              <w:t>1.35</w:t>
            </w:r>
          </w:p>
        </w:tc>
        <w:tc>
          <w:tcPr>
            <w:tcW w:w="1760" w:type="dxa"/>
            <w:shd w:val="clear" w:color="auto" w:fill="C4EFCE"/>
            <w:vAlign w:val="center"/>
            <w:hideMark/>
          </w:tcPr>
          <w:p w14:paraId="018B6B55" w14:textId="77777777" w:rsidR="00A15990" w:rsidRDefault="00686A62">
            <w:pPr>
              <w:pStyle w:val="P68B1DB1-Normal23"/>
              <w:spacing w:after="0"/>
              <w:jc w:val="center"/>
              <w:rPr>
                <w:rFonts w:eastAsia="Calibri" w:cs="Calibri"/>
                <w:noProof/>
              </w:rPr>
            </w:pPr>
            <w:r>
              <w:rPr>
                <w:noProof/>
              </w:rPr>
              <w:t>RE-C01-i07-RAM</w:t>
            </w:r>
          </w:p>
        </w:tc>
        <w:tc>
          <w:tcPr>
            <w:tcW w:w="1520" w:type="dxa"/>
            <w:shd w:val="clear" w:color="auto" w:fill="C4EFCE"/>
            <w:vAlign w:val="center"/>
            <w:hideMark/>
          </w:tcPr>
          <w:p w14:paraId="5CA14FA7"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379A737" w14:textId="77777777" w:rsidR="00A15990" w:rsidRDefault="00686A62">
            <w:pPr>
              <w:pStyle w:val="P68B1DB1-Normal23"/>
              <w:spacing w:after="0"/>
              <w:jc w:val="both"/>
              <w:rPr>
                <w:rFonts w:eastAsia="Calibri" w:cs="Calibri"/>
                <w:noProof/>
              </w:rPr>
            </w:pPr>
            <w:r>
              <w:rPr>
                <w:noProof/>
              </w:rPr>
              <w:t>Echipament informatic nou pentru serviciul regional de sănătate din Madeira</w:t>
            </w:r>
          </w:p>
        </w:tc>
      </w:tr>
      <w:tr w:rsidR="00A15990" w14:paraId="6C85753F" w14:textId="77777777">
        <w:trPr>
          <w:trHeight w:val="440"/>
        </w:trPr>
        <w:tc>
          <w:tcPr>
            <w:tcW w:w="1200" w:type="dxa"/>
            <w:shd w:val="clear" w:color="auto" w:fill="C4EFCE"/>
            <w:vAlign w:val="center"/>
            <w:hideMark/>
          </w:tcPr>
          <w:p w14:paraId="663CED66" w14:textId="77777777" w:rsidR="00A15990" w:rsidRDefault="00686A62">
            <w:pPr>
              <w:pStyle w:val="P68B1DB1-Normal23"/>
              <w:spacing w:after="0"/>
              <w:jc w:val="center"/>
              <w:rPr>
                <w:rFonts w:eastAsia="Calibri" w:cs="Calibri"/>
                <w:noProof/>
              </w:rPr>
            </w:pPr>
            <w:r>
              <w:rPr>
                <w:noProof/>
              </w:rPr>
              <w:t>1.37</w:t>
            </w:r>
          </w:p>
        </w:tc>
        <w:tc>
          <w:tcPr>
            <w:tcW w:w="1760" w:type="dxa"/>
            <w:shd w:val="clear" w:color="auto" w:fill="C4EFCE"/>
            <w:vAlign w:val="center"/>
            <w:hideMark/>
          </w:tcPr>
          <w:p w14:paraId="4A6C5BBD" w14:textId="77777777" w:rsidR="00A15990" w:rsidRDefault="00686A62">
            <w:pPr>
              <w:pStyle w:val="P68B1DB1-Normal23"/>
              <w:spacing w:after="0"/>
              <w:jc w:val="center"/>
              <w:rPr>
                <w:rFonts w:eastAsia="Calibri" w:cs="Calibri"/>
                <w:noProof/>
              </w:rPr>
            </w:pPr>
            <w:r>
              <w:rPr>
                <w:noProof/>
              </w:rPr>
              <w:t>RE-C01-i08-RAA</w:t>
            </w:r>
          </w:p>
        </w:tc>
        <w:tc>
          <w:tcPr>
            <w:tcW w:w="1520" w:type="dxa"/>
            <w:shd w:val="clear" w:color="auto" w:fill="C4EFCE"/>
            <w:vAlign w:val="center"/>
            <w:hideMark/>
          </w:tcPr>
          <w:p w14:paraId="3A083AE7"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8C87034" w14:textId="77777777" w:rsidR="00A15990" w:rsidRDefault="00686A62">
            <w:pPr>
              <w:pStyle w:val="P68B1DB1-Normal23"/>
              <w:spacing w:after="0"/>
              <w:jc w:val="both"/>
              <w:rPr>
                <w:rFonts w:eastAsia="Calibri" w:cs="Calibri"/>
                <w:noProof/>
              </w:rPr>
            </w:pPr>
            <w:r>
              <w:rPr>
                <w:noProof/>
              </w:rPr>
              <w:t>Introducerea programărilor de telemedicină în cadrul serviciului regional de sănătate din Azore</w:t>
            </w:r>
          </w:p>
        </w:tc>
      </w:tr>
      <w:tr w:rsidR="00A15990" w14:paraId="0E7C2786" w14:textId="77777777">
        <w:trPr>
          <w:trHeight w:val="440"/>
        </w:trPr>
        <w:tc>
          <w:tcPr>
            <w:tcW w:w="1200" w:type="dxa"/>
            <w:shd w:val="clear" w:color="auto" w:fill="C4EFCE"/>
            <w:vAlign w:val="center"/>
            <w:hideMark/>
          </w:tcPr>
          <w:p w14:paraId="56EFE37A" w14:textId="77777777" w:rsidR="00A15990" w:rsidRDefault="00686A62">
            <w:pPr>
              <w:pStyle w:val="P68B1DB1-Normal23"/>
              <w:spacing w:after="0"/>
              <w:jc w:val="center"/>
              <w:rPr>
                <w:rFonts w:eastAsia="Calibri" w:cs="Calibri"/>
                <w:noProof/>
              </w:rPr>
            </w:pPr>
            <w:r>
              <w:rPr>
                <w:noProof/>
              </w:rPr>
              <w:t>1.42</w:t>
            </w:r>
          </w:p>
        </w:tc>
        <w:tc>
          <w:tcPr>
            <w:tcW w:w="1760" w:type="dxa"/>
            <w:shd w:val="clear" w:color="auto" w:fill="C4EFCE"/>
            <w:vAlign w:val="center"/>
            <w:hideMark/>
          </w:tcPr>
          <w:p w14:paraId="4BF6A73F" w14:textId="77777777" w:rsidR="00A15990" w:rsidRDefault="00686A62">
            <w:pPr>
              <w:pStyle w:val="P68B1DB1-Normal23"/>
              <w:spacing w:after="0"/>
              <w:jc w:val="center"/>
              <w:rPr>
                <w:rFonts w:eastAsia="Calibri" w:cs="Calibri"/>
                <w:noProof/>
              </w:rPr>
            </w:pPr>
            <w:r>
              <w:rPr>
                <w:noProof/>
              </w:rPr>
              <w:t>RE-C01-i10</w:t>
            </w:r>
          </w:p>
        </w:tc>
        <w:tc>
          <w:tcPr>
            <w:tcW w:w="1520" w:type="dxa"/>
            <w:shd w:val="clear" w:color="auto" w:fill="C4EFCE"/>
            <w:vAlign w:val="center"/>
            <w:hideMark/>
          </w:tcPr>
          <w:p w14:paraId="507AF341"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7D2D683" w14:textId="77777777" w:rsidR="00A15990" w:rsidRDefault="00686A62">
            <w:pPr>
              <w:pStyle w:val="P68B1DB1-Normal23"/>
              <w:spacing w:after="0"/>
              <w:jc w:val="both"/>
              <w:rPr>
                <w:rFonts w:eastAsia="Calibri" w:cs="Calibri"/>
                <w:noProof/>
              </w:rPr>
            </w:pPr>
            <w:r>
              <w:rPr>
                <w:noProof/>
              </w:rPr>
              <w:t>Achiziționarea de echipamente medicale grele</w:t>
            </w:r>
          </w:p>
        </w:tc>
      </w:tr>
      <w:tr w:rsidR="00A15990" w14:paraId="5FD85112" w14:textId="77777777">
        <w:trPr>
          <w:trHeight w:val="440"/>
        </w:trPr>
        <w:tc>
          <w:tcPr>
            <w:tcW w:w="1200" w:type="dxa"/>
            <w:shd w:val="clear" w:color="auto" w:fill="C4EFCE"/>
            <w:vAlign w:val="center"/>
            <w:hideMark/>
          </w:tcPr>
          <w:p w14:paraId="4C05018B" w14:textId="77777777" w:rsidR="00A15990" w:rsidRDefault="00686A62">
            <w:pPr>
              <w:pStyle w:val="P68B1DB1-Normal23"/>
              <w:spacing w:after="0"/>
              <w:jc w:val="center"/>
              <w:rPr>
                <w:rFonts w:eastAsia="Calibri" w:cs="Calibri"/>
                <w:noProof/>
              </w:rPr>
            </w:pPr>
            <w:r>
              <w:rPr>
                <w:noProof/>
              </w:rPr>
              <w:t>2.5</w:t>
            </w:r>
          </w:p>
        </w:tc>
        <w:tc>
          <w:tcPr>
            <w:tcW w:w="1760" w:type="dxa"/>
            <w:shd w:val="clear" w:color="auto" w:fill="C4EFCE"/>
            <w:vAlign w:val="center"/>
            <w:hideMark/>
          </w:tcPr>
          <w:p w14:paraId="7718FE5F" w14:textId="77777777" w:rsidR="00A15990" w:rsidRDefault="00686A62">
            <w:pPr>
              <w:pStyle w:val="P68B1DB1-Normal23"/>
              <w:spacing w:after="0"/>
              <w:jc w:val="center"/>
              <w:rPr>
                <w:rFonts w:eastAsia="Calibri" w:cs="Calibri"/>
                <w:noProof/>
              </w:rPr>
            </w:pPr>
            <w:r>
              <w:rPr>
                <w:noProof/>
              </w:rPr>
              <w:t>RE-C02-i02</w:t>
            </w:r>
          </w:p>
        </w:tc>
        <w:tc>
          <w:tcPr>
            <w:tcW w:w="1520" w:type="dxa"/>
            <w:shd w:val="clear" w:color="auto" w:fill="C4EFCE"/>
            <w:vAlign w:val="center"/>
            <w:hideMark/>
          </w:tcPr>
          <w:p w14:paraId="14E36A4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3716262" w14:textId="77777777" w:rsidR="00A15990" w:rsidRDefault="00686A62">
            <w:pPr>
              <w:pStyle w:val="P68B1DB1-Normal23"/>
              <w:spacing w:after="0"/>
              <w:jc w:val="both"/>
              <w:rPr>
                <w:rFonts w:eastAsia="Calibri" w:cs="Calibri"/>
                <w:noProof/>
              </w:rPr>
            </w:pPr>
            <w:r>
              <w:rPr>
                <w:noProof/>
              </w:rPr>
              <w:t>Subvenție națională de urgență și temporară pentru cazare – Semnarea acordurilor de finanțare pentru unitățile de cazare de urgență și de tranziție</w:t>
            </w:r>
          </w:p>
        </w:tc>
      </w:tr>
      <w:tr w:rsidR="00A15990" w14:paraId="558EEAA4" w14:textId="77777777">
        <w:trPr>
          <w:trHeight w:val="440"/>
        </w:trPr>
        <w:tc>
          <w:tcPr>
            <w:tcW w:w="1200" w:type="dxa"/>
            <w:shd w:val="clear" w:color="auto" w:fill="C4EFCE"/>
            <w:vAlign w:val="center"/>
            <w:hideMark/>
          </w:tcPr>
          <w:p w14:paraId="08AB08F8" w14:textId="77777777" w:rsidR="00A15990" w:rsidRDefault="00686A62">
            <w:pPr>
              <w:pStyle w:val="P68B1DB1-Normal23"/>
              <w:spacing w:after="0"/>
              <w:jc w:val="center"/>
              <w:rPr>
                <w:rFonts w:eastAsia="Calibri" w:cs="Calibri"/>
                <w:noProof/>
              </w:rPr>
            </w:pPr>
            <w:r>
              <w:rPr>
                <w:noProof/>
              </w:rPr>
              <w:t>2.10</w:t>
            </w:r>
          </w:p>
        </w:tc>
        <w:tc>
          <w:tcPr>
            <w:tcW w:w="1760" w:type="dxa"/>
            <w:shd w:val="clear" w:color="auto" w:fill="C4EFCE"/>
            <w:vAlign w:val="center"/>
            <w:hideMark/>
          </w:tcPr>
          <w:p w14:paraId="2483B503" w14:textId="77777777" w:rsidR="00A15990" w:rsidRDefault="00686A62">
            <w:pPr>
              <w:pStyle w:val="P68B1DB1-Normal23"/>
              <w:spacing w:after="0"/>
              <w:jc w:val="center"/>
              <w:rPr>
                <w:rFonts w:eastAsia="Calibri" w:cs="Calibri"/>
                <w:noProof/>
              </w:rPr>
            </w:pPr>
            <w:r>
              <w:rPr>
                <w:noProof/>
              </w:rPr>
              <w:t>RE-C02-i03-RAM</w:t>
            </w:r>
          </w:p>
        </w:tc>
        <w:tc>
          <w:tcPr>
            <w:tcW w:w="1520" w:type="dxa"/>
            <w:shd w:val="clear" w:color="auto" w:fill="C4EFCE"/>
            <w:vAlign w:val="center"/>
            <w:hideMark/>
          </w:tcPr>
          <w:p w14:paraId="6BC4004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94C0CAB" w14:textId="77777777" w:rsidR="00A15990" w:rsidRDefault="00686A62">
            <w:pPr>
              <w:pStyle w:val="P68B1DB1-Normal23"/>
              <w:spacing w:after="0"/>
              <w:jc w:val="both"/>
              <w:rPr>
                <w:rFonts w:eastAsia="Calibri" w:cs="Calibri"/>
                <w:noProof/>
              </w:rPr>
            </w:pPr>
            <w:r>
              <w:rPr>
                <w:noProof/>
              </w:rPr>
              <w:t>Locuințe care beneficiază de sprijin în Regiunea Autonomă Madeira</w:t>
            </w:r>
          </w:p>
        </w:tc>
      </w:tr>
      <w:tr w:rsidR="00A15990" w14:paraId="692CD3EC" w14:textId="77777777">
        <w:trPr>
          <w:trHeight w:val="440"/>
        </w:trPr>
        <w:tc>
          <w:tcPr>
            <w:tcW w:w="1200" w:type="dxa"/>
            <w:shd w:val="clear" w:color="auto" w:fill="C4EFCE"/>
            <w:vAlign w:val="center"/>
            <w:hideMark/>
          </w:tcPr>
          <w:p w14:paraId="66CC6C58" w14:textId="77777777" w:rsidR="00A15990" w:rsidRDefault="00686A62">
            <w:pPr>
              <w:pStyle w:val="P68B1DB1-Normal23"/>
              <w:spacing w:after="0"/>
              <w:jc w:val="center"/>
              <w:rPr>
                <w:rFonts w:eastAsia="Calibri" w:cs="Calibri"/>
                <w:noProof/>
              </w:rPr>
            </w:pPr>
            <w:r>
              <w:rPr>
                <w:noProof/>
              </w:rPr>
              <w:t>3.2</w:t>
            </w:r>
          </w:p>
        </w:tc>
        <w:tc>
          <w:tcPr>
            <w:tcW w:w="1760" w:type="dxa"/>
            <w:shd w:val="clear" w:color="auto" w:fill="C4EFCE"/>
            <w:vAlign w:val="center"/>
            <w:hideMark/>
          </w:tcPr>
          <w:p w14:paraId="4B6552D8" w14:textId="77777777" w:rsidR="00A15990" w:rsidRDefault="00686A62">
            <w:pPr>
              <w:pStyle w:val="P68B1DB1-Normal23"/>
              <w:spacing w:after="0"/>
              <w:jc w:val="center"/>
              <w:rPr>
                <w:rFonts w:eastAsia="Calibri" w:cs="Calibri"/>
                <w:noProof/>
              </w:rPr>
            </w:pPr>
            <w:r>
              <w:rPr>
                <w:noProof/>
              </w:rPr>
              <w:t>RE-C03-i01</w:t>
            </w:r>
          </w:p>
        </w:tc>
        <w:tc>
          <w:tcPr>
            <w:tcW w:w="1520" w:type="dxa"/>
            <w:shd w:val="clear" w:color="auto" w:fill="C4EFCE"/>
            <w:vAlign w:val="center"/>
            <w:hideMark/>
          </w:tcPr>
          <w:p w14:paraId="0928115F"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12F2860" w14:textId="77777777" w:rsidR="00A15990" w:rsidRDefault="00686A62">
            <w:pPr>
              <w:pStyle w:val="P68B1DB1-Normal23"/>
              <w:spacing w:after="0"/>
              <w:jc w:val="both"/>
              <w:rPr>
                <w:rFonts w:eastAsia="Calibri" w:cs="Calibri"/>
                <w:noProof/>
              </w:rPr>
            </w:pPr>
            <w:r>
              <w:rPr>
                <w:noProof/>
              </w:rPr>
              <w:t>Crearea echipelor de intervenție socială (Radar Social)</w:t>
            </w:r>
          </w:p>
        </w:tc>
      </w:tr>
      <w:tr w:rsidR="00A15990" w14:paraId="30BD846E" w14:textId="77777777">
        <w:trPr>
          <w:trHeight w:val="440"/>
        </w:trPr>
        <w:tc>
          <w:tcPr>
            <w:tcW w:w="1200" w:type="dxa"/>
            <w:shd w:val="clear" w:color="auto" w:fill="C4EFCE"/>
            <w:vAlign w:val="center"/>
            <w:hideMark/>
          </w:tcPr>
          <w:p w14:paraId="77CAF7E5" w14:textId="77777777" w:rsidR="00A15990" w:rsidRDefault="00686A62">
            <w:pPr>
              <w:pStyle w:val="P68B1DB1-Normal23"/>
              <w:spacing w:after="0"/>
              <w:jc w:val="center"/>
              <w:rPr>
                <w:rFonts w:eastAsia="Calibri" w:cs="Calibri"/>
                <w:noProof/>
              </w:rPr>
            </w:pPr>
            <w:r>
              <w:rPr>
                <w:noProof/>
              </w:rPr>
              <w:t>3.18</w:t>
            </w:r>
          </w:p>
        </w:tc>
        <w:tc>
          <w:tcPr>
            <w:tcW w:w="1760" w:type="dxa"/>
            <w:shd w:val="clear" w:color="auto" w:fill="C4EFCE"/>
            <w:vAlign w:val="center"/>
            <w:hideMark/>
          </w:tcPr>
          <w:p w14:paraId="4095135D" w14:textId="77777777" w:rsidR="00A15990" w:rsidRDefault="00686A62">
            <w:pPr>
              <w:pStyle w:val="P68B1DB1-Normal23"/>
              <w:spacing w:after="0"/>
              <w:jc w:val="center"/>
              <w:rPr>
                <w:rFonts w:eastAsia="Calibri" w:cs="Calibri"/>
                <w:noProof/>
              </w:rPr>
            </w:pPr>
            <w:r>
              <w:rPr>
                <w:noProof/>
              </w:rPr>
              <w:t>RE-C03-i05</w:t>
            </w:r>
          </w:p>
        </w:tc>
        <w:tc>
          <w:tcPr>
            <w:tcW w:w="1520" w:type="dxa"/>
            <w:shd w:val="clear" w:color="auto" w:fill="C4EFCE"/>
            <w:vAlign w:val="center"/>
            <w:hideMark/>
          </w:tcPr>
          <w:p w14:paraId="3214A456"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CF15101" w14:textId="77777777" w:rsidR="00A15990" w:rsidRDefault="00686A62">
            <w:pPr>
              <w:pStyle w:val="P68B1DB1-Normal23"/>
              <w:spacing w:after="0"/>
              <w:jc w:val="both"/>
              <w:rPr>
                <w:rFonts w:eastAsia="Calibri" w:cs="Calibri"/>
                <w:noProof/>
              </w:rPr>
            </w:pPr>
            <w:r>
              <w:rPr>
                <w:noProof/>
              </w:rPr>
              <w:t>Platforma digitală de informare pentru persoanele cu handicap</w:t>
            </w:r>
          </w:p>
        </w:tc>
      </w:tr>
      <w:tr w:rsidR="00A15990" w14:paraId="20628CE8" w14:textId="77777777">
        <w:trPr>
          <w:trHeight w:val="440"/>
        </w:trPr>
        <w:tc>
          <w:tcPr>
            <w:tcW w:w="1200" w:type="dxa"/>
            <w:shd w:val="clear" w:color="auto" w:fill="C4EFCE"/>
            <w:vAlign w:val="center"/>
            <w:hideMark/>
          </w:tcPr>
          <w:p w14:paraId="718E4D78" w14:textId="77777777" w:rsidR="00A15990" w:rsidRDefault="00686A62">
            <w:pPr>
              <w:pStyle w:val="P68B1DB1-Normal23"/>
              <w:spacing w:after="0"/>
              <w:jc w:val="center"/>
              <w:rPr>
                <w:rFonts w:eastAsia="Calibri" w:cs="Calibri"/>
                <w:noProof/>
              </w:rPr>
            </w:pPr>
            <w:r>
              <w:rPr>
                <w:noProof/>
              </w:rPr>
              <w:t>5.37</w:t>
            </w:r>
          </w:p>
        </w:tc>
        <w:tc>
          <w:tcPr>
            <w:tcW w:w="1760" w:type="dxa"/>
            <w:shd w:val="clear" w:color="auto" w:fill="C4EFCE"/>
            <w:vAlign w:val="center"/>
            <w:hideMark/>
          </w:tcPr>
          <w:p w14:paraId="7B3EE8CE" w14:textId="77777777" w:rsidR="00A15990" w:rsidRDefault="00686A62">
            <w:pPr>
              <w:pStyle w:val="P68B1DB1-Normal23"/>
              <w:spacing w:after="0"/>
              <w:jc w:val="center"/>
              <w:rPr>
                <w:rFonts w:eastAsia="Calibri" w:cs="Calibri"/>
                <w:noProof/>
              </w:rPr>
            </w:pPr>
            <w:r>
              <w:rPr>
                <w:noProof/>
              </w:rPr>
              <w:t>RE-C05-i08</w:t>
            </w:r>
          </w:p>
        </w:tc>
        <w:tc>
          <w:tcPr>
            <w:tcW w:w="1520" w:type="dxa"/>
            <w:shd w:val="clear" w:color="auto" w:fill="C4EFCE"/>
            <w:vAlign w:val="center"/>
            <w:hideMark/>
          </w:tcPr>
          <w:p w14:paraId="37761C8D"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9320E7C" w14:textId="77777777" w:rsidR="00A15990" w:rsidRDefault="00686A62">
            <w:pPr>
              <w:pStyle w:val="P68B1DB1-Normal23"/>
              <w:spacing w:after="0"/>
              <w:jc w:val="both"/>
              <w:rPr>
                <w:rFonts w:eastAsia="Calibri" w:cs="Calibri"/>
                <w:noProof/>
              </w:rPr>
            </w:pPr>
            <w:r>
              <w:rPr>
                <w:noProof/>
              </w:rPr>
              <w:t>Înființarea Centrului național de calcul avansat (CNCA).</w:t>
            </w:r>
          </w:p>
        </w:tc>
      </w:tr>
      <w:tr w:rsidR="00A15990" w14:paraId="6A2FA64B" w14:textId="77777777">
        <w:trPr>
          <w:trHeight w:val="440"/>
        </w:trPr>
        <w:tc>
          <w:tcPr>
            <w:tcW w:w="1200" w:type="dxa"/>
            <w:shd w:val="clear" w:color="auto" w:fill="C4EFCE"/>
            <w:vAlign w:val="center"/>
            <w:hideMark/>
          </w:tcPr>
          <w:p w14:paraId="7FC45C4C" w14:textId="77777777" w:rsidR="00A15990" w:rsidRDefault="00686A62">
            <w:pPr>
              <w:pStyle w:val="P68B1DB1-Normal23"/>
              <w:spacing w:after="0"/>
              <w:jc w:val="center"/>
              <w:rPr>
                <w:rFonts w:eastAsia="Calibri" w:cs="Calibri"/>
                <w:noProof/>
              </w:rPr>
            </w:pPr>
            <w:r>
              <w:rPr>
                <w:noProof/>
              </w:rPr>
              <w:t>6.5</w:t>
            </w:r>
          </w:p>
        </w:tc>
        <w:tc>
          <w:tcPr>
            <w:tcW w:w="1760" w:type="dxa"/>
            <w:shd w:val="clear" w:color="auto" w:fill="C4EFCE"/>
            <w:vAlign w:val="center"/>
            <w:hideMark/>
          </w:tcPr>
          <w:p w14:paraId="2B15BC68" w14:textId="77777777" w:rsidR="00A15990" w:rsidRDefault="00686A62">
            <w:pPr>
              <w:pStyle w:val="P68B1DB1-Normal23"/>
              <w:spacing w:after="0"/>
              <w:jc w:val="center"/>
              <w:rPr>
                <w:rFonts w:eastAsia="Calibri" w:cs="Calibri"/>
                <w:noProof/>
              </w:rPr>
            </w:pPr>
            <w:r>
              <w:rPr>
                <w:noProof/>
              </w:rPr>
              <w:t>RE-C06-i02</w:t>
            </w:r>
          </w:p>
        </w:tc>
        <w:tc>
          <w:tcPr>
            <w:tcW w:w="1520" w:type="dxa"/>
            <w:shd w:val="clear" w:color="auto" w:fill="C4EFCE"/>
            <w:vAlign w:val="center"/>
            <w:hideMark/>
          </w:tcPr>
          <w:p w14:paraId="7BE9B1B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F542581" w14:textId="77777777" w:rsidR="00A15990" w:rsidRDefault="00686A62">
            <w:pPr>
              <w:pStyle w:val="P68B1DB1-Normal23"/>
              <w:spacing w:after="0"/>
              <w:jc w:val="both"/>
              <w:rPr>
                <w:rFonts w:eastAsia="Calibri" w:cs="Calibri"/>
                <w:noProof/>
              </w:rPr>
            </w:pPr>
            <w:r>
              <w:rPr>
                <w:noProof/>
              </w:rPr>
              <w:t>Sprijin financiar pentru contractele permanente</w:t>
            </w:r>
          </w:p>
        </w:tc>
      </w:tr>
      <w:tr w:rsidR="00A15990" w14:paraId="4839FE69" w14:textId="77777777">
        <w:trPr>
          <w:trHeight w:val="440"/>
        </w:trPr>
        <w:tc>
          <w:tcPr>
            <w:tcW w:w="1200" w:type="dxa"/>
            <w:shd w:val="clear" w:color="auto" w:fill="C4EFCE"/>
            <w:vAlign w:val="center"/>
            <w:hideMark/>
          </w:tcPr>
          <w:p w14:paraId="410B82AF" w14:textId="77777777" w:rsidR="00A15990" w:rsidRDefault="00686A62">
            <w:pPr>
              <w:pStyle w:val="P68B1DB1-Normal23"/>
              <w:spacing w:after="0"/>
              <w:jc w:val="center"/>
              <w:rPr>
                <w:rFonts w:eastAsia="Calibri" w:cs="Calibri"/>
                <w:noProof/>
              </w:rPr>
            </w:pPr>
            <w:r>
              <w:rPr>
                <w:noProof/>
              </w:rPr>
              <w:t>6.17</w:t>
            </w:r>
          </w:p>
        </w:tc>
        <w:tc>
          <w:tcPr>
            <w:tcW w:w="1760" w:type="dxa"/>
            <w:shd w:val="clear" w:color="auto" w:fill="C4EFCE"/>
            <w:vAlign w:val="center"/>
            <w:hideMark/>
          </w:tcPr>
          <w:p w14:paraId="71A13B94" w14:textId="77777777" w:rsidR="00A15990" w:rsidRDefault="00686A62">
            <w:pPr>
              <w:pStyle w:val="P68B1DB1-Normal23"/>
              <w:spacing w:after="0"/>
              <w:jc w:val="center"/>
              <w:rPr>
                <w:rFonts w:eastAsia="Calibri" w:cs="Calibri"/>
                <w:noProof/>
              </w:rPr>
            </w:pPr>
            <w:r>
              <w:rPr>
                <w:noProof/>
              </w:rPr>
              <w:t>RE-C06-r18</w:t>
            </w:r>
          </w:p>
        </w:tc>
        <w:tc>
          <w:tcPr>
            <w:tcW w:w="1520" w:type="dxa"/>
            <w:shd w:val="clear" w:color="auto" w:fill="C4EFCE"/>
            <w:vAlign w:val="center"/>
            <w:hideMark/>
          </w:tcPr>
          <w:p w14:paraId="51778BF5"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41251F" w14:textId="77777777" w:rsidR="00A15990" w:rsidRDefault="00686A62">
            <w:pPr>
              <w:pStyle w:val="P68B1DB1-Normal23"/>
              <w:spacing w:after="0"/>
              <w:jc w:val="both"/>
              <w:rPr>
                <w:rFonts w:eastAsia="Calibri" w:cs="Calibri"/>
                <w:noProof/>
              </w:rPr>
            </w:pPr>
            <w:r>
              <w:rPr>
                <w:noProof/>
              </w:rPr>
              <w:t>Stabilirea normei portugheze pentru un sistem de gestionare a egalității de remunerare.</w:t>
            </w:r>
          </w:p>
        </w:tc>
      </w:tr>
      <w:tr w:rsidR="00A15990" w14:paraId="0118C2E1" w14:textId="77777777">
        <w:trPr>
          <w:trHeight w:val="440"/>
        </w:trPr>
        <w:tc>
          <w:tcPr>
            <w:tcW w:w="1200" w:type="dxa"/>
            <w:shd w:val="clear" w:color="auto" w:fill="C4EFCE"/>
            <w:vAlign w:val="center"/>
          </w:tcPr>
          <w:p w14:paraId="73E1EE90" w14:textId="77777777" w:rsidR="00A15990" w:rsidRDefault="00686A62">
            <w:pPr>
              <w:pStyle w:val="P68B1DB1-Normal23"/>
              <w:spacing w:after="0"/>
              <w:jc w:val="center"/>
              <w:rPr>
                <w:rFonts w:eastAsia="Calibri" w:cs="Calibri"/>
                <w:noProof/>
              </w:rPr>
            </w:pPr>
            <w:r>
              <w:rPr>
                <w:noProof/>
              </w:rPr>
              <w:t>6.18</w:t>
            </w:r>
          </w:p>
        </w:tc>
        <w:tc>
          <w:tcPr>
            <w:tcW w:w="1760" w:type="dxa"/>
            <w:shd w:val="clear" w:color="auto" w:fill="C4EFCE"/>
            <w:vAlign w:val="center"/>
          </w:tcPr>
          <w:p w14:paraId="3D8A0425" w14:textId="77777777" w:rsidR="00A15990" w:rsidRDefault="00686A62">
            <w:pPr>
              <w:pStyle w:val="P68B1DB1-Normal23"/>
              <w:spacing w:after="0"/>
              <w:jc w:val="center"/>
              <w:rPr>
                <w:rFonts w:eastAsia="Calibri" w:cs="Calibri"/>
                <w:noProof/>
              </w:rPr>
            </w:pPr>
            <w:r>
              <w:rPr>
                <w:noProof/>
              </w:rPr>
              <w:t>RE-C06-r18</w:t>
            </w:r>
          </w:p>
        </w:tc>
        <w:tc>
          <w:tcPr>
            <w:tcW w:w="1520" w:type="dxa"/>
            <w:shd w:val="clear" w:color="auto" w:fill="C4EFCE"/>
            <w:vAlign w:val="center"/>
          </w:tcPr>
          <w:p w14:paraId="72CDE6C4"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tcPr>
          <w:p w14:paraId="601AD98C" w14:textId="77777777" w:rsidR="00A15990" w:rsidRDefault="00686A62">
            <w:pPr>
              <w:pStyle w:val="P68B1DB1-Normal23"/>
              <w:spacing w:after="0"/>
              <w:jc w:val="both"/>
              <w:rPr>
                <w:rFonts w:eastAsia="Calibri" w:cs="Calibri"/>
                <w:noProof/>
              </w:rPr>
            </w:pPr>
            <w:r>
              <w:rPr>
                <w:noProof/>
              </w:rPr>
              <w:t>Notificarea întreprinderilor cu peste 50 de lucrători care prezintă diferențe semnificative de remunerare între femei și bărbați</w:t>
            </w:r>
          </w:p>
        </w:tc>
      </w:tr>
      <w:tr w:rsidR="00A15990" w14:paraId="6DE96290" w14:textId="77777777">
        <w:trPr>
          <w:trHeight w:val="440"/>
        </w:trPr>
        <w:tc>
          <w:tcPr>
            <w:tcW w:w="1200" w:type="dxa"/>
            <w:shd w:val="clear" w:color="auto" w:fill="C4EFCE"/>
            <w:vAlign w:val="center"/>
            <w:hideMark/>
          </w:tcPr>
          <w:p w14:paraId="2DF8DE3F" w14:textId="77777777" w:rsidR="00A15990" w:rsidRDefault="00686A62">
            <w:pPr>
              <w:pStyle w:val="P68B1DB1-Normal23"/>
              <w:spacing w:after="0"/>
              <w:jc w:val="center"/>
              <w:rPr>
                <w:rFonts w:eastAsia="Calibri" w:cs="Calibri"/>
                <w:noProof/>
              </w:rPr>
            </w:pPr>
            <w:r>
              <w:rPr>
                <w:noProof/>
              </w:rPr>
              <w:t>6.24</w:t>
            </w:r>
          </w:p>
        </w:tc>
        <w:tc>
          <w:tcPr>
            <w:tcW w:w="1760" w:type="dxa"/>
            <w:shd w:val="clear" w:color="auto" w:fill="C4EFCE"/>
            <w:vAlign w:val="center"/>
            <w:hideMark/>
          </w:tcPr>
          <w:p w14:paraId="3F72ECAE" w14:textId="77777777" w:rsidR="00A15990" w:rsidRDefault="00686A62">
            <w:pPr>
              <w:pStyle w:val="P68B1DB1-Normal23"/>
              <w:spacing w:after="0"/>
              <w:jc w:val="center"/>
              <w:rPr>
                <w:rFonts w:eastAsia="Calibri" w:cs="Calibri"/>
                <w:noProof/>
              </w:rPr>
            </w:pPr>
            <w:r>
              <w:rPr>
                <w:noProof/>
              </w:rPr>
              <w:t>RE-C06-i07</w:t>
            </w:r>
          </w:p>
        </w:tc>
        <w:tc>
          <w:tcPr>
            <w:tcW w:w="1520" w:type="dxa"/>
            <w:shd w:val="clear" w:color="auto" w:fill="C4EFCE"/>
            <w:vAlign w:val="center"/>
            <w:hideMark/>
          </w:tcPr>
          <w:p w14:paraId="36EEB3BA"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E71C6ED" w14:textId="77777777" w:rsidR="00A15990" w:rsidRDefault="00686A62">
            <w:pPr>
              <w:pStyle w:val="P68B1DB1-Normal23"/>
              <w:spacing w:after="0"/>
              <w:jc w:val="both"/>
              <w:rPr>
                <w:rFonts w:eastAsia="Calibri" w:cs="Calibri"/>
                <w:noProof/>
              </w:rPr>
            </w:pPr>
            <w:r>
              <w:rPr>
                <w:noProof/>
              </w:rPr>
              <w:t xml:space="preserve">Inovarea și modernizarea pedagogică în învățământul superior </w:t>
            </w:r>
          </w:p>
        </w:tc>
      </w:tr>
      <w:tr w:rsidR="00A15990" w14:paraId="71CB9782" w14:textId="77777777">
        <w:trPr>
          <w:trHeight w:val="440"/>
        </w:trPr>
        <w:tc>
          <w:tcPr>
            <w:tcW w:w="1200" w:type="dxa"/>
            <w:shd w:val="clear" w:color="auto" w:fill="C4EFCE"/>
            <w:vAlign w:val="center"/>
            <w:hideMark/>
          </w:tcPr>
          <w:p w14:paraId="2D7720E1" w14:textId="77777777" w:rsidR="00A15990" w:rsidRDefault="00686A62">
            <w:pPr>
              <w:pStyle w:val="P68B1DB1-Normal23"/>
              <w:spacing w:after="0"/>
              <w:jc w:val="center"/>
              <w:rPr>
                <w:rFonts w:eastAsia="Calibri" w:cs="Calibri"/>
                <w:noProof/>
              </w:rPr>
            </w:pPr>
            <w:r>
              <w:rPr>
                <w:noProof/>
              </w:rPr>
              <w:t>6.26</w:t>
            </w:r>
          </w:p>
        </w:tc>
        <w:tc>
          <w:tcPr>
            <w:tcW w:w="1760" w:type="dxa"/>
            <w:shd w:val="clear" w:color="auto" w:fill="C4EFCE"/>
            <w:vAlign w:val="center"/>
            <w:hideMark/>
          </w:tcPr>
          <w:p w14:paraId="4E35273D" w14:textId="0EFE6435" w:rsidR="00A15990" w:rsidRDefault="00686A62">
            <w:pPr>
              <w:pStyle w:val="P68B1DB1-Normal23"/>
              <w:spacing w:after="0"/>
              <w:jc w:val="center"/>
              <w:rPr>
                <w:rFonts w:eastAsia="Calibri" w:cs="Calibri"/>
                <w:noProof/>
              </w:rPr>
            </w:pPr>
            <w:r>
              <w:rPr>
                <w:noProof/>
              </w:rPr>
              <w:t>RE-C06-i08-RAM</w:t>
            </w:r>
          </w:p>
        </w:tc>
        <w:tc>
          <w:tcPr>
            <w:tcW w:w="1520" w:type="dxa"/>
            <w:shd w:val="clear" w:color="auto" w:fill="C4EFCE"/>
            <w:vAlign w:val="center"/>
            <w:hideMark/>
          </w:tcPr>
          <w:p w14:paraId="682F1E48"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2A9A92A" w14:textId="77777777" w:rsidR="00A15990" w:rsidRDefault="00686A62">
            <w:pPr>
              <w:pStyle w:val="P68B1DB1-Normal23"/>
              <w:spacing w:after="0"/>
              <w:jc w:val="both"/>
              <w:rPr>
                <w:rFonts w:eastAsia="Calibri" w:cs="Calibri"/>
                <w:noProof/>
              </w:rPr>
            </w:pPr>
            <w:r>
              <w:rPr>
                <w:noProof/>
              </w:rPr>
              <w:t>Contract semnat pentru extinderea clădirii CITMA</w:t>
            </w:r>
          </w:p>
        </w:tc>
      </w:tr>
      <w:tr w:rsidR="00A15990" w14:paraId="1641F158" w14:textId="77777777">
        <w:trPr>
          <w:trHeight w:val="440"/>
        </w:trPr>
        <w:tc>
          <w:tcPr>
            <w:tcW w:w="1200" w:type="dxa"/>
            <w:shd w:val="clear" w:color="auto" w:fill="C4EFCE"/>
            <w:vAlign w:val="center"/>
            <w:hideMark/>
          </w:tcPr>
          <w:p w14:paraId="2A803BC2" w14:textId="77777777" w:rsidR="00A15990" w:rsidRDefault="00686A62">
            <w:pPr>
              <w:pStyle w:val="P68B1DB1-Normal23"/>
              <w:spacing w:after="0"/>
              <w:jc w:val="center"/>
              <w:rPr>
                <w:rFonts w:eastAsia="Calibri" w:cs="Calibri"/>
                <w:noProof/>
              </w:rPr>
            </w:pPr>
            <w:r>
              <w:rPr>
                <w:noProof/>
              </w:rPr>
              <w:t>7.2</w:t>
            </w:r>
          </w:p>
        </w:tc>
        <w:tc>
          <w:tcPr>
            <w:tcW w:w="1760" w:type="dxa"/>
            <w:shd w:val="clear" w:color="auto" w:fill="C4EFCE"/>
            <w:vAlign w:val="center"/>
            <w:hideMark/>
          </w:tcPr>
          <w:p w14:paraId="148139C0" w14:textId="77777777" w:rsidR="00A15990" w:rsidRDefault="00686A62">
            <w:pPr>
              <w:pStyle w:val="P68B1DB1-Normal23"/>
              <w:spacing w:after="0"/>
              <w:jc w:val="center"/>
              <w:rPr>
                <w:rFonts w:eastAsia="Calibri" w:cs="Calibri"/>
                <w:noProof/>
              </w:rPr>
            </w:pPr>
            <w:r>
              <w:rPr>
                <w:noProof/>
              </w:rPr>
              <w:t>RE-C07-i00</w:t>
            </w:r>
          </w:p>
        </w:tc>
        <w:tc>
          <w:tcPr>
            <w:tcW w:w="1520" w:type="dxa"/>
            <w:shd w:val="clear" w:color="auto" w:fill="C4EFCE"/>
            <w:vAlign w:val="center"/>
            <w:hideMark/>
          </w:tcPr>
          <w:p w14:paraId="3C913E09"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B05BD75" w14:textId="4917198F" w:rsidR="00A15990" w:rsidRDefault="00686A62">
            <w:pPr>
              <w:pStyle w:val="P68B1DB1-Normal23"/>
              <w:spacing w:after="0"/>
              <w:jc w:val="both"/>
              <w:rPr>
                <w:rFonts w:eastAsia="Calibri" w:cs="Calibri"/>
                <w:noProof/>
              </w:rPr>
            </w:pPr>
            <w:r>
              <w:rPr>
                <w:noProof/>
              </w:rPr>
              <w:t>Puncte de reîncărcare a vehiculelor electrice accesibile publicului</w:t>
            </w:r>
          </w:p>
        </w:tc>
      </w:tr>
      <w:tr w:rsidR="00A15990" w14:paraId="409538B8" w14:textId="77777777">
        <w:trPr>
          <w:trHeight w:val="440"/>
        </w:trPr>
        <w:tc>
          <w:tcPr>
            <w:tcW w:w="1200" w:type="dxa"/>
            <w:shd w:val="clear" w:color="auto" w:fill="C4EFCE"/>
            <w:vAlign w:val="center"/>
            <w:hideMark/>
          </w:tcPr>
          <w:p w14:paraId="7AD48D83" w14:textId="77777777" w:rsidR="00A15990" w:rsidRDefault="00686A62">
            <w:pPr>
              <w:pStyle w:val="P68B1DB1-Normal23"/>
              <w:spacing w:after="0"/>
              <w:jc w:val="center"/>
              <w:rPr>
                <w:rFonts w:eastAsia="Calibri" w:cs="Calibri"/>
                <w:noProof/>
              </w:rPr>
            </w:pPr>
            <w:r>
              <w:rPr>
                <w:noProof/>
              </w:rPr>
              <w:t>8.13</w:t>
            </w:r>
          </w:p>
        </w:tc>
        <w:tc>
          <w:tcPr>
            <w:tcW w:w="1760" w:type="dxa"/>
            <w:shd w:val="clear" w:color="auto" w:fill="C4EFCE"/>
            <w:vAlign w:val="center"/>
            <w:hideMark/>
          </w:tcPr>
          <w:p w14:paraId="4745E4E8" w14:textId="77777777" w:rsidR="00A15990" w:rsidRDefault="00686A62">
            <w:pPr>
              <w:pStyle w:val="P68B1DB1-Normal23"/>
              <w:spacing w:after="0"/>
              <w:jc w:val="center"/>
              <w:rPr>
                <w:rFonts w:eastAsia="Calibri" w:cs="Calibri"/>
                <w:noProof/>
              </w:rPr>
            </w:pPr>
            <w:r>
              <w:rPr>
                <w:noProof/>
              </w:rPr>
              <w:t>RE-C08-i05</w:t>
            </w:r>
          </w:p>
        </w:tc>
        <w:tc>
          <w:tcPr>
            <w:tcW w:w="1520" w:type="dxa"/>
            <w:shd w:val="clear" w:color="auto" w:fill="C4EFCE"/>
            <w:vAlign w:val="center"/>
            <w:hideMark/>
          </w:tcPr>
          <w:p w14:paraId="5F6B7E1B"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9D1CC3E" w14:textId="77777777" w:rsidR="00A15990" w:rsidRDefault="00686A62">
            <w:pPr>
              <w:pStyle w:val="P68B1DB1-Normal23"/>
              <w:spacing w:after="0"/>
              <w:jc w:val="both"/>
              <w:rPr>
                <w:rFonts w:eastAsia="Calibri" w:cs="Calibri"/>
                <w:noProof/>
              </w:rPr>
            </w:pPr>
            <w:r>
              <w:rPr>
                <w:noProof/>
              </w:rPr>
              <w:t>Consolidarea entităților Ministerului Afacerilor Interne (MAI) cu vehicule și echipamente operaționale</w:t>
            </w:r>
          </w:p>
        </w:tc>
      </w:tr>
      <w:tr w:rsidR="00A15990" w14:paraId="46442EA5" w14:textId="77777777">
        <w:trPr>
          <w:trHeight w:val="440"/>
        </w:trPr>
        <w:tc>
          <w:tcPr>
            <w:tcW w:w="1200" w:type="dxa"/>
            <w:shd w:val="clear" w:color="auto" w:fill="C4EFCE"/>
            <w:vAlign w:val="center"/>
            <w:hideMark/>
          </w:tcPr>
          <w:p w14:paraId="37ADCEA6" w14:textId="77777777" w:rsidR="00A15990" w:rsidRDefault="00686A62">
            <w:pPr>
              <w:pStyle w:val="P68B1DB1-Normal23"/>
              <w:spacing w:after="0"/>
              <w:jc w:val="center"/>
              <w:rPr>
                <w:rFonts w:eastAsia="Calibri" w:cs="Calibri"/>
                <w:noProof/>
              </w:rPr>
            </w:pPr>
            <w:r>
              <w:rPr>
                <w:noProof/>
              </w:rPr>
              <w:t>9.1</w:t>
            </w:r>
          </w:p>
        </w:tc>
        <w:tc>
          <w:tcPr>
            <w:tcW w:w="1760" w:type="dxa"/>
            <w:shd w:val="clear" w:color="auto" w:fill="C4EFCE"/>
            <w:vAlign w:val="center"/>
            <w:hideMark/>
          </w:tcPr>
          <w:p w14:paraId="21DD8E0C" w14:textId="77777777" w:rsidR="00A15990" w:rsidRDefault="00686A62">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4B9F30BC"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51D75FD" w14:textId="77777777" w:rsidR="00A15990" w:rsidRDefault="00686A62">
            <w:pPr>
              <w:pStyle w:val="P68B1DB1-Normal23"/>
              <w:spacing w:after="0"/>
              <w:jc w:val="both"/>
              <w:rPr>
                <w:rFonts w:eastAsia="Calibri" w:cs="Calibri"/>
                <w:noProof/>
              </w:rPr>
            </w:pPr>
            <w:r>
              <w:rPr>
                <w:noProof/>
              </w:rPr>
              <w:t>Puncte suplimentare de monitorizare a resurselor de apă subterană instalate (SM3)</w:t>
            </w:r>
          </w:p>
        </w:tc>
      </w:tr>
      <w:tr w:rsidR="00A15990" w14:paraId="19B5815B" w14:textId="77777777">
        <w:trPr>
          <w:trHeight w:val="440"/>
        </w:trPr>
        <w:tc>
          <w:tcPr>
            <w:tcW w:w="1200" w:type="dxa"/>
            <w:shd w:val="clear" w:color="auto" w:fill="C4EFCE"/>
            <w:vAlign w:val="center"/>
            <w:hideMark/>
          </w:tcPr>
          <w:p w14:paraId="40BE5193" w14:textId="77777777" w:rsidR="00A15990" w:rsidRDefault="00686A62">
            <w:pPr>
              <w:pStyle w:val="P68B1DB1-Normal23"/>
              <w:spacing w:after="0"/>
              <w:jc w:val="center"/>
              <w:rPr>
                <w:rFonts w:eastAsia="Calibri" w:cs="Calibri"/>
                <w:noProof/>
              </w:rPr>
            </w:pPr>
            <w:r>
              <w:rPr>
                <w:noProof/>
              </w:rPr>
              <w:t>9.5</w:t>
            </w:r>
          </w:p>
        </w:tc>
        <w:tc>
          <w:tcPr>
            <w:tcW w:w="1760" w:type="dxa"/>
            <w:shd w:val="clear" w:color="auto" w:fill="C4EFCE"/>
            <w:vAlign w:val="center"/>
            <w:hideMark/>
          </w:tcPr>
          <w:p w14:paraId="604C41E0" w14:textId="77777777" w:rsidR="00A15990" w:rsidRDefault="00686A62">
            <w:pPr>
              <w:pStyle w:val="P68B1DB1-Normal23"/>
              <w:spacing w:after="0"/>
              <w:jc w:val="center"/>
              <w:rPr>
                <w:rFonts w:eastAsia="Calibri" w:cs="Calibri"/>
                <w:noProof/>
              </w:rPr>
            </w:pPr>
            <w:r>
              <w:rPr>
                <w:noProof/>
              </w:rPr>
              <w:t>RE-C09-i01</w:t>
            </w:r>
          </w:p>
        </w:tc>
        <w:tc>
          <w:tcPr>
            <w:tcW w:w="1520" w:type="dxa"/>
            <w:shd w:val="clear" w:color="auto" w:fill="C4EFCE"/>
            <w:vAlign w:val="center"/>
            <w:hideMark/>
          </w:tcPr>
          <w:p w14:paraId="68882788"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A618198" w14:textId="77777777" w:rsidR="00A15990" w:rsidRDefault="00686A62">
            <w:pPr>
              <w:pStyle w:val="P68B1DB1-Normal23"/>
              <w:spacing w:after="0"/>
              <w:jc w:val="both"/>
              <w:rPr>
                <w:rFonts w:eastAsia="Calibri" w:cs="Calibri"/>
                <w:noProof/>
              </w:rPr>
            </w:pPr>
            <w:r>
              <w:rPr>
                <w:noProof/>
              </w:rPr>
              <w:t>Adoptarea unui proiect actualizat (dacă este necesar) al măsurii privind captarea în Guadiana, care să includă pe deplin orice rezultat și condiție din evaluarea impactului asupra mediului (SM5)</w:t>
            </w:r>
          </w:p>
        </w:tc>
      </w:tr>
      <w:tr w:rsidR="00A15990" w14:paraId="61BA2CC6" w14:textId="77777777">
        <w:trPr>
          <w:trHeight w:val="440"/>
        </w:trPr>
        <w:tc>
          <w:tcPr>
            <w:tcW w:w="1200" w:type="dxa"/>
            <w:shd w:val="clear" w:color="auto" w:fill="C4EFCE"/>
            <w:vAlign w:val="center"/>
            <w:hideMark/>
          </w:tcPr>
          <w:p w14:paraId="6330516E" w14:textId="77777777" w:rsidR="00A15990" w:rsidRDefault="00686A62">
            <w:pPr>
              <w:pStyle w:val="P68B1DB1-Normal23"/>
              <w:spacing w:after="0"/>
              <w:jc w:val="center"/>
              <w:rPr>
                <w:rFonts w:eastAsia="Calibri" w:cs="Calibri"/>
                <w:noProof/>
              </w:rPr>
            </w:pPr>
            <w:r>
              <w:rPr>
                <w:noProof/>
              </w:rPr>
              <w:t>9.7</w:t>
            </w:r>
          </w:p>
        </w:tc>
        <w:tc>
          <w:tcPr>
            <w:tcW w:w="1760" w:type="dxa"/>
            <w:shd w:val="clear" w:color="auto" w:fill="C4EFCE"/>
            <w:vAlign w:val="center"/>
            <w:hideMark/>
          </w:tcPr>
          <w:p w14:paraId="4FB0CCD7" w14:textId="77777777" w:rsidR="00A15990" w:rsidRDefault="00686A62">
            <w:pPr>
              <w:pStyle w:val="P68B1DB1-Normal23"/>
              <w:spacing w:after="0"/>
              <w:jc w:val="center"/>
              <w:rPr>
                <w:rFonts w:eastAsia="Calibri" w:cs="Calibri"/>
                <w:noProof/>
              </w:rPr>
            </w:pPr>
            <w:r>
              <w:rPr>
                <w:noProof/>
              </w:rPr>
              <w:t xml:space="preserve">RE-C09-i01  </w:t>
            </w:r>
          </w:p>
        </w:tc>
        <w:tc>
          <w:tcPr>
            <w:tcW w:w="1520" w:type="dxa"/>
            <w:shd w:val="clear" w:color="auto" w:fill="C4EFCE"/>
            <w:vAlign w:val="center"/>
            <w:hideMark/>
          </w:tcPr>
          <w:p w14:paraId="4CAF32D0"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83D462D" w14:textId="77777777" w:rsidR="00A15990" w:rsidRDefault="00686A62">
            <w:pPr>
              <w:pStyle w:val="P68B1DB1-Normal23"/>
              <w:spacing w:after="0"/>
              <w:jc w:val="both"/>
              <w:rPr>
                <w:rFonts w:eastAsia="Calibri" w:cs="Calibri"/>
                <w:noProof/>
              </w:rPr>
            </w:pPr>
            <w:r>
              <w:rPr>
                <w:noProof/>
              </w:rPr>
              <w:t>Adoptarea unui proiect actualizat (dacă este necesar) al măsurii de desalinizare, care să includă pe deplin orice rezultat și condiție din evaluarea impactului asupra mediului (SM6)</w:t>
            </w:r>
          </w:p>
        </w:tc>
      </w:tr>
      <w:tr w:rsidR="00A15990" w14:paraId="0AB93700" w14:textId="77777777">
        <w:trPr>
          <w:trHeight w:val="440"/>
        </w:trPr>
        <w:tc>
          <w:tcPr>
            <w:tcW w:w="1200" w:type="dxa"/>
            <w:shd w:val="clear" w:color="auto" w:fill="C4EFCE"/>
            <w:vAlign w:val="center"/>
            <w:hideMark/>
          </w:tcPr>
          <w:p w14:paraId="3E548EA8" w14:textId="77777777" w:rsidR="00A15990" w:rsidRDefault="00686A62">
            <w:pPr>
              <w:pStyle w:val="P68B1DB1-Normal23"/>
              <w:spacing w:after="0"/>
              <w:jc w:val="center"/>
              <w:rPr>
                <w:rFonts w:eastAsia="Calibri" w:cs="Calibri"/>
                <w:noProof/>
              </w:rPr>
            </w:pPr>
            <w:r>
              <w:rPr>
                <w:noProof/>
              </w:rPr>
              <w:t>10.15</w:t>
            </w:r>
          </w:p>
        </w:tc>
        <w:tc>
          <w:tcPr>
            <w:tcW w:w="1760" w:type="dxa"/>
            <w:shd w:val="clear" w:color="auto" w:fill="C4EFCE"/>
            <w:vAlign w:val="center"/>
            <w:hideMark/>
          </w:tcPr>
          <w:p w14:paraId="4CF19DFE" w14:textId="77777777" w:rsidR="00A15990" w:rsidRDefault="00686A62">
            <w:pPr>
              <w:pStyle w:val="P68B1DB1-Normal23"/>
              <w:spacing w:after="0"/>
              <w:jc w:val="center"/>
              <w:rPr>
                <w:rFonts w:eastAsia="Calibri" w:cs="Calibri"/>
                <w:noProof/>
              </w:rPr>
            </w:pPr>
            <w:r>
              <w:rPr>
                <w:noProof/>
              </w:rPr>
              <w:t>TC-C10-i06-RAM</w:t>
            </w:r>
          </w:p>
        </w:tc>
        <w:tc>
          <w:tcPr>
            <w:tcW w:w="1520" w:type="dxa"/>
            <w:shd w:val="clear" w:color="auto" w:fill="C4EFCE"/>
            <w:vAlign w:val="center"/>
            <w:hideMark/>
          </w:tcPr>
          <w:p w14:paraId="6C4706BE"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BDA8F52" w14:textId="77777777" w:rsidR="00A15990" w:rsidRDefault="00686A62">
            <w:pPr>
              <w:pStyle w:val="P68B1DB1-Normal23"/>
              <w:spacing w:after="0"/>
              <w:jc w:val="both"/>
              <w:rPr>
                <w:rFonts w:eastAsia="Calibri" w:cs="Calibri"/>
                <w:noProof/>
              </w:rPr>
            </w:pPr>
            <w:r>
              <w:rPr>
                <w:noProof/>
              </w:rPr>
              <w:t>Livrarea a două vehicule autonome fără pilot</w:t>
            </w:r>
          </w:p>
        </w:tc>
      </w:tr>
      <w:tr w:rsidR="00A15990" w14:paraId="0980B6CB" w14:textId="77777777">
        <w:trPr>
          <w:trHeight w:val="440"/>
        </w:trPr>
        <w:tc>
          <w:tcPr>
            <w:tcW w:w="1200" w:type="dxa"/>
            <w:shd w:val="clear" w:color="auto" w:fill="C4EFCE"/>
            <w:vAlign w:val="center"/>
            <w:hideMark/>
          </w:tcPr>
          <w:p w14:paraId="7E7FB85D" w14:textId="77777777" w:rsidR="00A15990" w:rsidRDefault="00686A62">
            <w:pPr>
              <w:pStyle w:val="P68B1DB1-Normal23"/>
              <w:spacing w:after="0"/>
              <w:jc w:val="center"/>
              <w:rPr>
                <w:rFonts w:eastAsia="Calibri" w:cs="Calibri"/>
                <w:noProof/>
              </w:rPr>
            </w:pPr>
            <w:r>
              <w:rPr>
                <w:noProof/>
              </w:rPr>
              <w:t>14.4</w:t>
            </w:r>
          </w:p>
        </w:tc>
        <w:tc>
          <w:tcPr>
            <w:tcW w:w="1760" w:type="dxa"/>
            <w:shd w:val="clear" w:color="auto" w:fill="C4EFCE"/>
            <w:vAlign w:val="center"/>
            <w:hideMark/>
          </w:tcPr>
          <w:p w14:paraId="04D0BEED" w14:textId="77777777" w:rsidR="00A15990" w:rsidRDefault="00686A62">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57393661"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8E80E7D" w14:textId="77777777" w:rsidR="00A15990" w:rsidRDefault="00686A62">
            <w:pPr>
              <w:pStyle w:val="P68B1DB1-Normal23"/>
              <w:spacing w:after="0"/>
              <w:jc w:val="both"/>
              <w:rPr>
                <w:rFonts w:eastAsia="Calibri" w:cs="Calibri"/>
                <w:noProof/>
              </w:rPr>
            </w:pPr>
            <w:r>
              <w:rPr>
                <w:noProof/>
              </w:rPr>
              <w:t>Instalarea unui nou compensator sincron</w:t>
            </w:r>
          </w:p>
        </w:tc>
      </w:tr>
      <w:tr w:rsidR="00A15990" w14:paraId="5A41BED8" w14:textId="77777777">
        <w:trPr>
          <w:trHeight w:val="440"/>
        </w:trPr>
        <w:tc>
          <w:tcPr>
            <w:tcW w:w="1200" w:type="dxa"/>
            <w:shd w:val="clear" w:color="auto" w:fill="C4EFCE"/>
            <w:vAlign w:val="center"/>
            <w:hideMark/>
          </w:tcPr>
          <w:p w14:paraId="29F13402" w14:textId="77777777" w:rsidR="00A15990" w:rsidRDefault="00686A62">
            <w:pPr>
              <w:pStyle w:val="P68B1DB1-Normal23"/>
              <w:spacing w:after="0"/>
              <w:jc w:val="center"/>
              <w:rPr>
                <w:rFonts w:eastAsia="Calibri" w:cs="Calibri"/>
                <w:noProof/>
              </w:rPr>
            </w:pPr>
            <w:r>
              <w:rPr>
                <w:noProof/>
              </w:rPr>
              <w:t>14.6</w:t>
            </w:r>
          </w:p>
        </w:tc>
        <w:tc>
          <w:tcPr>
            <w:tcW w:w="1760" w:type="dxa"/>
            <w:shd w:val="clear" w:color="auto" w:fill="C4EFCE"/>
            <w:vAlign w:val="center"/>
            <w:hideMark/>
          </w:tcPr>
          <w:p w14:paraId="2564F54A" w14:textId="77777777" w:rsidR="00A15990" w:rsidRDefault="00686A62">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2D22D314"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2C086CC6" w14:textId="77777777" w:rsidR="00A15990" w:rsidRDefault="00686A62">
            <w:pPr>
              <w:pStyle w:val="P68B1DB1-Normal23"/>
              <w:spacing w:after="0"/>
              <w:jc w:val="both"/>
              <w:rPr>
                <w:rFonts w:eastAsia="Calibri" w:cs="Calibri"/>
                <w:noProof/>
              </w:rPr>
            </w:pPr>
            <w:r>
              <w:rPr>
                <w:noProof/>
              </w:rPr>
              <w:t>Capacitatea instalată renovată de producere a energiei hidroelectrice</w:t>
            </w:r>
          </w:p>
        </w:tc>
      </w:tr>
      <w:tr w:rsidR="00A15990" w14:paraId="67DAD308" w14:textId="77777777">
        <w:trPr>
          <w:trHeight w:val="440"/>
        </w:trPr>
        <w:tc>
          <w:tcPr>
            <w:tcW w:w="1200" w:type="dxa"/>
            <w:shd w:val="clear" w:color="auto" w:fill="C4EFCE"/>
            <w:vAlign w:val="center"/>
            <w:hideMark/>
          </w:tcPr>
          <w:p w14:paraId="27435949" w14:textId="77777777" w:rsidR="00A15990" w:rsidRDefault="00686A62">
            <w:pPr>
              <w:pStyle w:val="P68B1DB1-Normal23"/>
              <w:spacing w:after="0"/>
              <w:jc w:val="center"/>
              <w:rPr>
                <w:rFonts w:eastAsia="Calibri" w:cs="Calibri"/>
                <w:noProof/>
              </w:rPr>
            </w:pPr>
            <w:r>
              <w:rPr>
                <w:noProof/>
              </w:rPr>
              <w:t>14.7</w:t>
            </w:r>
          </w:p>
        </w:tc>
        <w:tc>
          <w:tcPr>
            <w:tcW w:w="1760" w:type="dxa"/>
            <w:shd w:val="clear" w:color="auto" w:fill="C4EFCE"/>
            <w:vAlign w:val="center"/>
            <w:hideMark/>
          </w:tcPr>
          <w:p w14:paraId="5DC4FFD0" w14:textId="77777777" w:rsidR="00A15990" w:rsidRDefault="00686A62">
            <w:pPr>
              <w:pStyle w:val="P68B1DB1-Normal23"/>
              <w:spacing w:after="0"/>
              <w:jc w:val="center"/>
              <w:rPr>
                <w:rFonts w:eastAsia="Calibri" w:cs="Calibri"/>
                <w:noProof/>
              </w:rPr>
            </w:pPr>
            <w:r>
              <w:rPr>
                <w:noProof/>
              </w:rPr>
              <w:t>TC-C14-i02-RAM</w:t>
            </w:r>
          </w:p>
        </w:tc>
        <w:tc>
          <w:tcPr>
            <w:tcW w:w="1520" w:type="dxa"/>
            <w:shd w:val="clear" w:color="auto" w:fill="C4EFCE"/>
            <w:vAlign w:val="center"/>
            <w:hideMark/>
          </w:tcPr>
          <w:p w14:paraId="6996B48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98F423" w14:textId="77777777" w:rsidR="00A15990" w:rsidRDefault="00686A62">
            <w:pPr>
              <w:pStyle w:val="P68B1DB1-Normal23"/>
              <w:spacing w:after="0"/>
              <w:jc w:val="both"/>
              <w:rPr>
                <w:rFonts w:eastAsia="Calibri" w:cs="Calibri"/>
                <w:noProof/>
              </w:rPr>
            </w:pPr>
            <w:r>
              <w:rPr>
                <w:noProof/>
              </w:rPr>
              <w:t>Capacitate instalată suplimentară în sistemul de stocare a bateriilor</w:t>
            </w:r>
          </w:p>
        </w:tc>
      </w:tr>
      <w:tr w:rsidR="00A15990" w14:paraId="33AF3466" w14:textId="77777777">
        <w:trPr>
          <w:trHeight w:val="440"/>
        </w:trPr>
        <w:tc>
          <w:tcPr>
            <w:tcW w:w="1200" w:type="dxa"/>
            <w:shd w:val="clear" w:color="auto" w:fill="C4EFCE"/>
            <w:vAlign w:val="center"/>
            <w:hideMark/>
          </w:tcPr>
          <w:p w14:paraId="50DEBE76" w14:textId="77777777" w:rsidR="00A15990" w:rsidRDefault="00686A62">
            <w:pPr>
              <w:pStyle w:val="P68B1DB1-Normal23"/>
              <w:spacing w:after="0"/>
              <w:jc w:val="center"/>
              <w:rPr>
                <w:rFonts w:eastAsia="Calibri" w:cs="Calibri"/>
                <w:noProof/>
              </w:rPr>
            </w:pPr>
            <w:r>
              <w:rPr>
                <w:noProof/>
              </w:rPr>
              <w:t>15.5</w:t>
            </w:r>
          </w:p>
        </w:tc>
        <w:tc>
          <w:tcPr>
            <w:tcW w:w="1760" w:type="dxa"/>
            <w:shd w:val="clear" w:color="auto" w:fill="C4EFCE"/>
            <w:vAlign w:val="center"/>
            <w:hideMark/>
          </w:tcPr>
          <w:p w14:paraId="0C3D8592" w14:textId="77777777" w:rsidR="00A15990" w:rsidRDefault="00686A62">
            <w:pPr>
              <w:pStyle w:val="P68B1DB1-Normal23"/>
              <w:spacing w:after="0"/>
              <w:jc w:val="center"/>
              <w:rPr>
                <w:rFonts w:eastAsia="Calibri" w:cs="Calibri"/>
                <w:noProof/>
              </w:rPr>
            </w:pPr>
            <w:r>
              <w:rPr>
                <w:noProof/>
              </w:rPr>
              <w:t>TC-C15-I02</w:t>
            </w:r>
          </w:p>
        </w:tc>
        <w:tc>
          <w:tcPr>
            <w:tcW w:w="1520" w:type="dxa"/>
            <w:shd w:val="clear" w:color="auto" w:fill="C4EFCE"/>
            <w:vAlign w:val="center"/>
            <w:hideMark/>
          </w:tcPr>
          <w:p w14:paraId="2F39D734"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901C353" w14:textId="77777777" w:rsidR="00A15990" w:rsidRDefault="00686A62">
            <w:pPr>
              <w:pStyle w:val="P68B1DB1-Normal23"/>
              <w:spacing w:after="0"/>
              <w:jc w:val="both"/>
              <w:rPr>
                <w:rFonts w:eastAsia="Calibri" w:cs="Calibri"/>
                <w:noProof/>
              </w:rPr>
            </w:pPr>
            <w:r>
              <w:rPr>
                <w:noProof/>
              </w:rPr>
              <w:t>Raport intermediar privind extinderea rețelei de metrou Porto</w:t>
            </w:r>
          </w:p>
        </w:tc>
      </w:tr>
      <w:tr w:rsidR="00A15990" w14:paraId="7CD1B8EB" w14:textId="77777777">
        <w:trPr>
          <w:trHeight w:val="440"/>
        </w:trPr>
        <w:tc>
          <w:tcPr>
            <w:tcW w:w="1200" w:type="dxa"/>
            <w:shd w:val="clear" w:color="auto" w:fill="C4EFCE"/>
            <w:vAlign w:val="center"/>
            <w:hideMark/>
          </w:tcPr>
          <w:p w14:paraId="637A0073" w14:textId="77777777" w:rsidR="00A15990" w:rsidRDefault="00686A62">
            <w:pPr>
              <w:pStyle w:val="P68B1DB1-Normal23"/>
              <w:spacing w:after="0"/>
              <w:jc w:val="center"/>
              <w:rPr>
                <w:rFonts w:eastAsia="Calibri" w:cs="Calibri"/>
                <w:noProof/>
              </w:rPr>
            </w:pPr>
            <w:r>
              <w:rPr>
                <w:noProof/>
              </w:rPr>
              <w:t>15.11</w:t>
            </w:r>
          </w:p>
        </w:tc>
        <w:tc>
          <w:tcPr>
            <w:tcW w:w="1760" w:type="dxa"/>
            <w:shd w:val="clear" w:color="auto" w:fill="C4EFCE"/>
            <w:vAlign w:val="center"/>
            <w:hideMark/>
          </w:tcPr>
          <w:p w14:paraId="5A701BFC" w14:textId="77777777" w:rsidR="00A15990" w:rsidRDefault="00686A62">
            <w:pPr>
              <w:pStyle w:val="P68B1DB1-Normal23"/>
              <w:spacing w:after="0"/>
              <w:jc w:val="center"/>
              <w:rPr>
                <w:rFonts w:eastAsia="Calibri" w:cs="Calibri"/>
                <w:noProof/>
              </w:rPr>
            </w:pPr>
            <w:r>
              <w:rPr>
                <w:noProof/>
              </w:rPr>
              <w:t>TC-C15-I04</w:t>
            </w:r>
          </w:p>
        </w:tc>
        <w:tc>
          <w:tcPr>
            <w:tcW w:w="1520" w:type="dxa"/>
            <w:shd w:val="clear" w:color="auto" w:fill="C4EFCE"/>
            <w:vAlign w:val="center"/>
            <w:hideMark/>
          </w:tcPr>
          <w:p w14:paraId="19EE7515"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0E54A2" w14:textId="77777777" w:rsidR="00A15990" w:rsidRDefault="00686A62">
            <w:pPr>
              <w:pStyle w:val="P68B1DB1-Normal23"/>
              <w:spacing w:after="0"/>
              <w:jc w:val="both"/>
              <w:rPr>
                <w:rFonts w:eastAsia="Calibri" w:cs="Calibri"/>
                <w:noProof/>
              </w:rPr>
            </w:pPr>
            <w:r>
              <w:rPr>
                <w:noProof/>
              </w:rPr>
              <w:t>Finalizarea construcției unei linii de tranzit rapid cu autobuzul între Praça do Império și Praça Albuquerque Mouzinho în Porto</w:t>
            </w:r>
          </w:p>
        </w:tc>
      </w:tr>
      <w:tr w:rsidR="00A15990" w14:paraId="2779212F" w14:textId="77777777">
        <w:trPr>
          <w:trHeight w:val="440"/>
        </w:trPr>
        <w:tc>
          <w:tcPr>
            <w:tcW w:w="1200" w:type="dxa"/>
            <w:shd w:val="clear" w:color="auto" w:fill="C4EFCE"/>
            <w:vAlign w:val="center"/>
            <w:hideMark/>
          </w:tcPr>
          <w:p w14:paraId="14B00922" w14:textId="77777777" w:rsidR="00A15990" w:rsidRDefault="00686A62">
            <w:pPr>
              <w:pStyle w:val="P68B1DB1-Normal23"/>
              <w:spacing w:after="0"/>
              <w:jc w:val="center"/>
              <w:rPr>
                <w:rFonts w:eastAsia="Calibri" w:cs="Calibri"/>
                <w:noProof/>
              </w:rPr>
            </w:pPr>
            <w:r>
              <w:rPr>
                <w:noProof/>
              </w:rPr>
              <w:t>15.15</w:t>
            </w:r>
          </w:p>
        </w:tc>
        <w:tc>
          <w:tcPr>
            <w:tcW w:w="1760" w:type="dxa"/>
            <w:shd w:val="clear" w:color="auto" w:fill="C4EFCE"/>
            <w:vAlign w:val="center"/>
            <w:hideMark/>
          </w:tcPr>
          <w:p w14:paraId="405B1745" w14:textId="77777777" w:rsidR="00A15990" w:rsidRDefault="00686A62">
            <w:pPr>
              <w:pStyle w:val="P68B1DB1-Normal23"/>
              <w:spacing w:after="0"/>
              <w:jc w:val="center"/>
              <w:rPr>
                <w:rFonts w:eastAsia="Calibri" w:cs="Calibri"/>
                <w:noProof/>
              </w:rPr>
            </w:pPr>
            <w:r>
              <w:rPr>
                <w:noProof/>
              </w:rPr>
              <w:t>TC-C15-I06</w:t>
            </w:r>
          </w:p>
        </w:tc>
        <w:tc>
          <w:tcPr>
            <w:tcW w:w="1520" w:type="dxa"/>
            <w:shd w:val="clear" w:color="auto" w:fill="C4EFCE"/>
            <w:vAlign w:val="center"/>
            <w:hideMark/>
          </w:tcPr>
          <w:p w14:paraId="01989B92"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94D9EC" w14:textId="77777777" w:rsidR="00A15990" w:rsidRDefault="00686A62">
            <w:pPr>
              <w:pStyle w:val="P68B1DB1-Normal23"/>
              <w:spacing w:after="0"/>
              <w:jc w:val="both"/>
              <w:rPr>
                <w:rFonts w:eastAsia="Calibri" w:cs="Calibri"/>
                <w:noProof/>
              </w:rPr>
            </w:pPr>
            <w:r>
              <w:rPr>
                <w:noProof/>
              </w:rPr>
              <w:t>Semnarea contractului pentru sistemele de semnalizare electronică</w:t>
            </w:r>
          </w:p>
        </w:tc>
      </w:tr>
      <w:tr w:rsidR="00A15990" w14:paraId="56D38DB6" w14:textId="77777777">
        <w:trPr>
          <w:trHeight w:val="440"/>
        </w:trPr>
        <w:tc>
          <w:tcPr>
            <w:tcW w:w="1200" w:type="dxa"/>
            <w:shd w:val="clear" w:color="auto" w:fill="C4EFCE"/>
            <w:vAlign w:val="center"/>
            <w:hideMark/>
          </w:tcPr>
          <w:p w14:paraId="6CFABCF9" w14:textId="77777777" w:rsidR="00A15990" w:rsidRDefault="00686A62">
            <w:pPr>
              <w:pStyle w:val="P68B1DB1-Normal23"/>
              <w:spacing w:after="0"/>
              <w:jc w:val="center"/>
              <w:rPr>
                <w:rFonts w:eastAsia="Calibri" w:cs="Calibri"/>
                <w:noProof/>
              </w:rPr>
            </w:pPr>
            <w:r>
              <w:rPr>
                <w:noProof/>
              </w:rPr>
              <w:t>16.5</w:t>
            </w:r>
          </w:p>
        </w:tc>
        <w:tc>
          <w:tcPr>
            <w:tcW w:w="1760" w:type="dxa"/>
            <w:shd w:val="clear" w:color="auto" w:fill="C4EFCE"/>
            <w:vAlign w:val="center"/>
            <w:hideMark/>
          </w:tcPr>
          <w:p w14:paraId="6A307F6F" w14:textId="77777777" w:rsidR="00A15990" w:rsidRDefault="00686A62">
            <w:pPr>
              <w:pStyle w:val="P68B1DB1-Normal23"/>
              <w:spacing w:after="0"/>
              <w:jc w:val="center"/>
              <w:rPr>
                <w:rFonts w:eastAsia="Calibri" w:cs="Calibri"/>
                <w:noProof/>
              </w:rPr>
            </w:pPr>
            <w:r>
              <w:rPr>
                <w:noProof/>
              </w:rPr>
              <w:t>TD-C16-i02</w:t>
            </w:r>
          </w:p>
        </w:tc>
        <w:tc>
          <w:tcPr>
            <w:tcW w:w="1520" w:type="dxa"/>
            <w:shd w:val="clear" w:color="auto" w:fill="C4EFCE"/>
            <w:vAlign w:val="center"/>
            <w:hideMark/>
          </w:tcPr>
          <w:p w14:paraId="6195C394"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497CE114" w14:textId="77777777" w:rsidR="00A15990" w:rsidRDefault="00686A62">
            <w:pPr>
              <w:pStyle w:val="P68B1DB1-Normal23"/>
              <w:spacing w:after="0"/>
              <w:jc w:val="both"/>
              <w:rPr>
                <w:rFonts w:eastAsia="Calibri" w:cs="Calibri"/>
                <w:noProof/>
              </w:rPr>
            </w:pPr>
            <w:r>
              <w:rPr>
                <w:noProof/>
              </w:rPr>
              <w:t>IMM-uri sprijinite de acceleratori ai comerțului digital</w:t>
            </w:r>
          </w:p>
        </w:tc>
      </w:tr>
      <w:tr w:rsidR="00A15990" w14:paraId="56167A7A" w14:textId="77777777">
        <w:trPr>
          <w:trHeight w:val="440"/>
        </w:trPr>
        <w:tc>
          <w:tcPr>
            <w:tcW w:w="1200" w:type="dxa"/>
            <w:shd w:val="clear" w:color="auto" w:fill="C4EFCE"/>
            <w:vAlign w:val="center"/>
            <w:hideMark/>
          </w:tcPr>
          <w:p w14:paraId="0CF069F8" w14:textId="77777777" w:rsidR="00A15990" w:rsidRDefault="00686A62">
            <w:pPr>
              <w:pStyle w:val="P68B1DB1-Normal23"/>
              <w:spacing w:after="0"/>
              <w:jc w:val="center"/>
              <w:rPr>
                <w:rFonts w:eastAsia="Calibri" w:cs="Calibri"/>
                <w:noProof/>
              </w:rPr>
            </w:pPr>
            <w:r>
              <w:rPr>
                <w:noProof/>
              </w:rPr>
              <w:t>17.5</w:t>
            </w:r>
          </w:p>
        </w:tc>
        <w:tc>
          <w:tcPr>
            <w:tcW w:w="1760" w:type="dxa"/>
            <w:shd w:val="clear" w:color="auto" w:fill="C4EFCE"/>
            <w:vAlign w:val="center"/>
            <w:hideMark/>
          </w:tcPr>
          <w:p w14:paraId="7E1E0351" w14:textId="77777777" w:rsidR="00A15990" w:rsidRDefault="00686A62">
            <w:pPr>
              <w:pStyle w:val="P68B1DB1-Normal23"/>
              <w:spacing w:after="0"/>
              <w:jc w:val="center"/>
              <w:rPr>
                <w:rFonts w:eastAsia="Calibri" w:cs="Calibri"/>
                <w:noProof/>
              </w:rPr>
            </w:pPr>
            <w:r>
              <w:rPr>
                <w:noProof/>
              </w:rPr>
              <w:t>TD-C17-r32</w:t>
            </w:r>
          </w:p>
        </w:tc>
        <w:tc>
          <w:tcPr>
            <w:tcW w:w="1520" w:type="dxa"/>
            <w:shd w:val="clear" w:color="auto" w:fill="C4EFCE"/>
            <w:vAlign w:val="center"/>
            <w:hideMark/>
          </w:tcPr>
          <w:p w14:paraId="60722B6A"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6F87E6B" w14:textId="77777777" w:rsidR="00A15990" w:rsidRDefault="00686A62">
            <w:pPr>
              <w:pStyle w:val="P68B1DB1-Normal23"/>
              <w:spacing w:after="0"/>
              <w:jc w:val="both"/>
              <w:rPr>
                <w:rFonts w:eastAsia="Calibri" w:cs="Calibri"/>
                <w:noProof/>
              </w:rPr>
            </w:pPr>
            <w:r>
              <w:rPr>
                <w:noProof/>
              </w:rPr>
              <w:t>Punerea în aplicare a mecanismelor de integrare a analizelor cheltuielilor în procesul bugetar obișnuit, inclusiv evaluarea ex post a economiilor de eficiență</w:t>
            </w:r>
          </w:p>
        </w:tc>
      </w:tr>
      <w:tr w:rsidR="00A15990" w14:paraId="17788C3A" w14:textId="77777777">
        <w:trPr>
          <w:trHeight w:val="440"/>
        </w:trPr>
        <w:tc>
          <w:tcPr>
            <w:tcW w:w="1200" w:type="dxa"/>
            <w:shd w:val="clear" w:color="auto" w:fill="C4EFCE"/>
            <w:vAlign w:val="center"/>
            <w:hideMark/>
          </w:tcPr>
          <w:p w14:paraId="37658F95" w14:textId="77777777" w:rsidR="00A15990" w:rsidRDefault="00686A62">
            <w:pPr>
              <w:pStyle w:val="P68B1DB1-Normal23"/>
              <w:spacing w:after="0"/>
              <w:jc w:val="center"/>
              <w:rPr>
                <w:rFonts w:eastAsia="Calibri" w:cs="Calibri"/>
                <w:noProof/>
              </w:rPr>
            </w:pPr>
            <w:r>
              <w:rPr>
                <w:noProof/>
              </w:rPr>
              <w:t>17.10</w:t>
            </w:r>
          </w:p>
        </w:tc>
        <w:tc>
          <w:tcPr>
            <w:tcW w:w="1760" w:type="dxa"/>
            <w:shd w:val="clear" w:color="auto" w:fill="C4EFCE"/>
            <w:vAlign w:val="center"/>
            <w:hideMark/>
          </w:tcPr>
          <w:p w14:paraId="4E422B3C" w14:textId="77777777" w:rsidR="00A15990" w:rsidRDefault="00686A62">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5B816A0C"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0ECE329E" w14:textId="77777777" w:rsidR="00A15990" w:rsidRDefault="00686A62">
            <w:pPr>
              <w:pStyle w:val="P68B1DB1-Normal23"/>
              <w:spacing w:after="0"/>
              <w:jc w:val="both"/>
              <w:rPr>
                <w:rFonts w:eastAsia="Calibri" w:cs="Calibri"/>
                <w:noProof/>
              </w:rPr>
            </w:pPr>
            <w:r>
              <w:rPr>
                <w:noProof/>
              </w:rPr>
              <w:t>Punerea în funcțiune a sistemului de informații pentru reproiectarea și punerea în aplicare a procesului bugetar, incluzând întocmirea bugetului pentru programe</w:t>
            </w:r>
          </w:p>
        </w:tc>
      </w:tr>
      <w:tr w:rsidR="00A15990" w14:paraId="7961C854" w14:textId="77777777">
        <w:trPr>
          <w:trHeight w:val="440"/>
        </w:trPr>
        <w:tc>
          <w:tcPr>
            <w:tcW w:w="1200" w:type="dxa"/>
            <w:shd w:val="clear" w:color="auto" w:fill="C4EFCE"/>
            <w:vAlign w:val="center"/>
            <w:hideMark/>
          </w:tcPr>
          <w:p w14:paraId="06A842B9" w14:textId="77777777" w:rsidR="00A15990" w:rsidRDefault="00686A62">
            <w:pPr>
              <w:pStyle w:val="P68B1DB1-Normal23"/>
              <w:spacing w:after="0"/>
              <w:jc w:val="center"/>
              <w:rPr>
                <w:rFonts w:eastAsia="Calibri" w:cs="Calibri"/>
                <w:noProof/>
              </w:rPr>
            </w:pPr>
            <w:r>
              <w:rPr>
                <w:noProof/>
              </w:rPr>
              <w:t>17.12</w:t>
            </w:r>
          </w:p>
        </w:tc>
        <w:tc>
          <w:tcPr>
            <w:tcW w:w="1760" w:type="dxa"/>
            <w:shd w:val="clear" w:color="auto" w:fill="C4EFCE"/>
            <w:vAlign w:val="center"/>
            <w:hideMark/>
          </w:tcPr>
          <w:p w14:paraId="001468C9" w14:textId="77777777" w:rsidR="00A15990" w:rsidRDefault="00686A62">
            <w:pPr>
              <w:pStyle w:val="P68B1DB1-Normal23"/>
              <w:spacing w:after="0"/>
              <w:jc w:val="center"/>
              <w:rPr>
                <w:rFonts w:eastAsia="Calibri" w:cs="Calibri"/>
                <w:noProof/>
              </w:rPr>
            </w:pPr>
            <w:r>
              <w:rPr>
                <w:noProof/>
              </w:rPr>
              <w:t>TD-C17-i01</w:t>
            </w:r>
          </w:p>
        </w:tc>
        <w:tc>
          <w:tcPr>
            <w:tcW w:w="1520" w:type="dxa"/>
            <w:shd w:val="clear" w:color="auto" w:fill="C4EFCE"/>
            <w:vAlign w:val="center"/>
            <w:hideMark/>
          </w:tcPr>
          <w:p w14:paraId="2A0495A0"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CECF438" w14:textId="77777777" w:rsidR="00A15990" w:rsidRDefault="00686A62">
            <w:pPr>
              <w:pStyle w:val="P68B1DB1-Normal23"/>
              <w:spacing w:after="0"/>
              <w:jc w:val="both"/>
              <w:rPr>
                <w:rFonts w:eastAsia="Calibri" w:cs="Calibri"/>
                <w:noProof/>
              </w:rPr>
            </w:pPr>
            <w:r>
              <w:rPr>
                <w:noProof/>
              </w:rPr>
              <w:t>Finalizarea modernizării și simplificării sistemelor de informații ale sistemului central național de achiziții publice</w:t>
            </w:r>
          </w:p>
        </w:tc>
      </w:tr>
      <w:tr w:rsidR="00A15990" w14:paraId="3B8303FF" w14:textId="77777777">
        <w:trPr>
          <w:trHeight w:val="440"/>
        </w:trPr>
        <w:tc>
          <w:tcPr>
            <w:tcW w:w="1200" w:type="dxa"/>
            <w:shd w:val="clear" w:color="auto" w:fill="C4EFCE"/>
            <w:vAlign w:val="center"/>
            <w:hideMark/>
          </w:tcPr>
          <w:p w14:paraId="374F435D" w14:textId="77777777" w:rsidR="00A15990" w:rsidRDefault="00686A62">
            <w:pPr>
              <w:pStyle w:val="P68B1DB1-Normal23"/>
              <w:spacing w:after="0"/>
              <w:jc w:val="center"/>
              <w:rPr>
                <w:rFonts w:eastAsia="Calibri" w:cs="Calibri"/>
                <w:noProof/>
              </w:rPr>
            </w:pPr>
            <w:r>
              <w:rPr>
                <w:noProof/>
              </w:rPr>
              <w:t>19.14</w:t>
            </w:r>
          </w:p>
        </w:tc>
        <w:tc>
          <w:tcPr>
            <w:tcW w:w="1760" w:type="dxa"/>
            <w:shd w:val="clear" w:color="auto" w:fill="C4EFCE"/>
            <w:vAlign w:val="center"/>
            <w:hideMark/>
          </w:tcPr>
          <w:p w14:paraId="76D82292" w14:textId="77777777" w:rsidR="00A15990" w:rsidRDefault="00686A62">
            <w:pPr>
              <w:pStyle w:val="P68B1DB1-Normal23"/>
              <w:spacing w:after="0"/>
              <w:jc w:val="center"/>
              <w:rPr>
                <w:rFonts w:eastAsia="Calibri" w:cs="Calibri"/>
                <w:noProof/>
              </w:rPr>
            </w:pPr>
            <w:r>
              <w:rPr>
                <w:noProof/>
              </w:rPr>
              <w:t>TD-C19-i04</w:t>
            </w:r>
          </w:p>
        </w:tc>
        <w:tc>
          <w:tcPr>
            <w:tcW w:w="1520" w:type="dxa"/>
            <w:shd w:val="clear" w:color="auto" w:fill="C4EFCE"/>
            <w:vAlign w:val="center"/>
            <w:hideMark/>
          </w:tcPr>
          <w:p w14:paraId="5CB3286F"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0230BA8" w14:textId="77777777" w:rsidR="00A15990" w:rsidRDefault="00686A62">
            <w:pPr>
              <w:pStyle w:val="P68B1DB1-Normal23"/>
              <w:spacing w:after="0"/>
              <w:jc w:val="both"/>
              <w:rPr>
                <w:rFonts w:eastAsia="Calibri" w:cs="Calibri"/>
                <w:noProof/>
              </w:rPr>
            </w:pPr>
            <w:r>
              <w:rPr>
                <w:noProof/>
              </w:rPr>
              <w:t>Modernizarea sistemului informatic al forțelor și serviciilor de securitate</w:t>
            </w:r>
          </w:p>
        </w:tc>
      </w:tr>
      <w:tr w:rsidR="00A15990" w14:paraId="388D9F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C3D30EB" w14:textId="77777777" w:rsidR="00A15990" w:rsidRDefault="00686A62">
            <w:pPr>
              <w:pStyle w:val="P68B1DB1-Normal23"/>
              <w:spacing w:after="0"/>
              <w:jc w:val="center"/>
              <w:rPr>
                <w:rFonts w:eastAsia="Calibri" w:cs="Calibri"/>
                <w:noProof/>
              </w:rPr>
            </w:pPr>
            <w:r>
              <w:rPr>
                <w:noProof/>
              </w:rPr>
              <w:t>19.25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28A74B2" w14:textId="77777777" w:rsidR="00A15990" w:rsidRDefault="00686A62">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4ABBBE3" w14:textId="77777777" w:rsidR="00A15990" w:rsidRDefault="00686A62">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B53CA88" w14:textId="79A90FE7" w:rsidR="00A15990" w:rsidRDefault="00686A62">
            <w:pPr>
              <w:pStyle w:val="P68B1DB1-Normal23"/>
              <w:spacing w:after="0"/>
              <w:jc w:val="both"/>
              <w:rPr>
                <w:rFonts w:eastAsia="Calibri" w:cs="Calibri"/>
                <w:noProof/>
              </w:rPr>
            </w:pPr>
            <w:r>
              <w:rPr>
                <w:noProof/>
              </w:rPr>
              <w:t>Semnarea protocom-urilor pentru înființarea de noi magazine și spații pentru cetățeni</w:t>
            </w:r>
          </w:p>
        </w:tc>
      </w:tr>
      <w:tr w:rsidR="00A15990" w14:paraId="355D6EE4" w14:textId="77777777">
        <w:trPr>
          <w:trHeight w:val="440"/>
        </w:trPr>
        <w:tc>
          <w:tcPr>
            <w:tcW w:w="1200" w:type="dxa"/>
            <w:shd w:val="clear" w:color="auto" w:fill="C4EFCE"/>
            <w:vAlign w:val="center"/>
            <w:hideMark/>
          </w:tcPr>
          <w:p w14:paraId="2C38072A" w14:textId="77777777" w:rsidR="00A15990" w:rsidRDefault="00686A62">
            <w:pPr>
              <w:pStyle w:val="P68B1DB1-Normal23"/>
              <w:spacing w:after="0"/>
              <w:jc w:val="center"/>
              <w:rPr>
                <w:rFonts w:eastAsia="Calibri" w:cs="Calibri"/>
                <w:noProof/>
              </w:rPr>
            </w:pPr>
            <w:r>
              <w:rPr>
                <w:noProof/>
              </w:rPr>
              <w:t>19.28</w:t>
            </w:r>
          </w:p>
        </w:tc>
        <w:tc>
          <w:tcPr>
            <w:tcW w:w="1760" w:type="dxa"/>
            <w:shd w:val="clear" w:color="auto" w:fill="C4EFCE"/>
            <w:vAlign w:val="center"/>
            <w:hideMark/>
          </w:tcPr>
          <w:p w14:paraId="7C77969E" w14:textId="77777777" w:rsidR="00A15990" w:rsidRDefault="00686A62">
            <w:pPr>
              <w:pStyle w:val="P68B1DB1-Normal23"/>
              <w:spacing w:after="0"/>
              <w:jc w:val="center"/>
              <w:rPr>
                <w:rFonts w:eastAsia="Calibri" w:cs="Calibri"/>
                <w:noProof/>
              </w:rPr>
            </w:pPr>
            <w:r>
              <w:rPr>
                <w:noProof/>
              </w:rPr>
              <w:t>TD-C19-i05-RAM</w:t>
            </w:r>
          </w:p>
        </w:tc>
        <w:tc>
          <w:tcPr>
            <w:tcW w:w="1520" w:type="dxa"/>
            <w:shd w:val="clear" w:color="auto" w:fill="C4EFCE"/>
            <w:vAlign w:val="center"/>
            <w:hideMark/>
          </w:tcPr>
          <w:p w14:paraId="12DA2CBA"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56F2A2D3" w14:textId="77777777" w:rsidR="00A15990" w:rsidRDefault="00686A62">
            <w:pPr>
              <w:pStyle w:val="P68B1DB1-Normal23"/>
              <w:spacing w:after="0"/>
              <w:jc w:val="both"/>
              <w:rPr>
                <w:rFonts w:eastAsia="Calibri" w:cs="Calibri"/>
                <w:noProof/>
              </w:rPr>
            </w:pPr>
            <w:r>
              <w:rPr>
                <w:noProof/>
              </w:rPr>
              <w:t>Prototip funcțional pentru o soluție centralizată de gestionare a datelor</w:t>
            </w:r>
          </w:p>
        </w:tc>
      </w:tr>
      <w:tr w:rsidR="00A15990" w14:paraId="0C5EE933" w14:textId="77777777">
        <w:trPr>
          <w:trHeight w:val="440"/>
        </w:trPr>
        <w:tc>
          <w:tcPr>
            <w:tcW w:w="1200" w:type="dxa"/>
            <w:shd w:val="clear" w:color="auto" w:fill="C4EFCE"/>
            <w:vAlign w:val="center"/>
            <w:hideMark/>
          </w:tcPr>
          <w:p w14:paraId="5C73EC6E" w14:textId="77777777" w:rsidR="00A15990" w:rsidRDefault="00686A62">
            <w:pPr>
              <w:pStyle w:val="P68B1DB1-Normal23"/>
              <w:spacing w:after="0"/>
              <w:jc w:val="center"/>
              <w:rPr>
                <w:rFonts w:eastAsia="Calibri" w:cs="Calibri"/>
                <w:noProof/>
              </w:rPr>
            </w:pPr>
            <w:r>
              <w:rPr>
                <w:noProof/>
              </w:rPr>
              <w:t>20.4</w:t>
            </w:r>
          </w:p>
        </w:tc>
        <w:tc>
          <w:tcPr>
            <w:tcW w:w="1760" w:type="dxa"/>
            <w:shd w:val="clear" w:color="auto" w:fill="C4EFCE"/>
            <w:vAlign w:val="center"/>
            <w:hideMark/>
          </w:tcPr>
          <w:p w14:paraId="66421C5D" w14:textId="77777777" w:rsidR="00A15990" w:rsidRDefault="00686A62">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114704E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C943269" w14:textId="77777777" w:rsidR="00A15990" w:rsidRDefault="00686A62">
            <w:pPr>
              <w:pStyle w:val="P68B1DB1-Normal23"/>
              <w:spacing w:after="0"/>
              <w:jc w:val="both"/>
              <w:rPr>
                <w:rFonts w:eastAsia="Calibri" w:cs="Calibri"/>
                <w:noProof/>
              </w:rPr>
            </w:pPr>
            <w:r>
              <w:rPr>
                <w:noProof/>
              </w:rPr>
              <w:t>Modernizarea conectivității școlilor primare și secundare</w:t>
            </w:r>
          </w:p>
        </w:tc>
      </w:tr>
      <w:tr w:rsidR="00A15990" w14:paraId="71AD5736" w14:textId="77777777">
        <w:trPr>
          <w:trHeight w:val="440"/>
        </w:trPr>
        <w:tc>
          <w:tcPr>
            <w:tcW w:w="1200" w:type="dxa"/>
            <w:shd w:val="clear" w:color="auto" w:fill="C4EFCE"/>
            <w:vAlign w:val="center"/>
            <w:hideMark/>
          </w:tcPr>
          <w:p w14:paraId="3024F12A" w14:textId="77777777" w:rsidR="00A15990" w:rsidRDefault="00686A62">
            <w:pPr>
              <w:pStyle w:val="P68B1DB1-Normal23"/>
              <w:spacing w:after="0"/>
              <w:jc w:val="center"/>
              <w:rPr>
                <w:rFonts w:eastAsia="Calibri" w:cs="Calibri"/>
                <w:noProof/>
              </w:rPr>
            </w:pPr>
            <w:r>
              <w:rPr>
                <w:noProof/>
              </w:rPr>
              <w:t>20.5</w:t>
            </w:r>
          </w:p>
        </w:tc>
        <w:tc>
          <w:tcPr>
            <w:tcW w:w="1760" w:type="dxa"/>
            <w:shd w:val="clear" w:color="auto" w:fill="C4EFCE"/>
            <w:vAlign w:val="center"/>
            <w:hideMark/>
          </w:tcPr>
          <w:p w14:paraId="1444B579" w14:textId="77777777" w:rsidR="00A15990" w:rsidRDefault="00686A62">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2AF294F0"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7487495" w14:textId="77777777" w:rsidR="00A15990" w:rsidRDefault="00686A62">
            <w:pPr>
              <w:pStyle w:val="P68B1DB1-Normal23"/>
              <w:spacing w:after="0"/>
              <w:jc w:val="both"/>
              <w:rPr>
                <w:rFonts w:eastAsia="Calibri" w:cs="Calibri"/>
                <w:noProof/>
              </w:rPr>
            </w:pPr>
            <w:r>
              <w:rPr>
                <w:noProof/>
              </w:rPr>
              <w:t>Laboratoare de educație digitală instalate</w:t>
            </w:r>
          </w:p>
        </w:tc>
      </w:tr>
      <w:tr w:rsidR="00A15990" w14:paraId="5D89430C" w14:textId="77777777">
        <w:trPr>
          <w:trHeight w:val="440"/>
        </w:trPr>
        <w:tc>
          <w:tcPr>
            <w:tcW w:w="1200" w:type="dxa"/>
            <w:shd w:val="clear" w:color="auto" w:fill="C4EFCE"/>
            <w:vAlign w:val="center"/>
            <w:hideMark/>
          </w:tcPr>
          <w:p w14:paraId="21F79FB7" w14:textId="77777777" w:rsidR="00A15990" w:rsidRDefault="00686A62">
            <w:pPr>
              <w:pStyle w:val="P68B1DB1-Normal23"/>
              <w:spacing w:after="0"/>
              <w:jc w:val="center"/>
              <w:rPr>
                <w:rFonts w:eastAsia="Calibri" w:cs="Calibri"/>
                <w:noProof/>
              </w:rPr>
            </w:pPr>
            <w:r>
              <w:rPr>
                <w:noProof/>
              </w:rPr>
              <w:t>20.7</w:t>
            </w:r>
          </w:p>
        </w:tc>
        <w:tc>
          <w:tcPr>
            <w:tcW w:w="1760" w:type="dxa"/>
            <w:shd w:val="clear" w:color="auto" w:fill="C4EFCE"/>
            <w:vAlign w:val="center"/>
            <w:hideMark/>
          </w:tcPr>
          <w:p w14:paraId="33B6F4F1" w14:textId="77777777" w:rsidR="00A15990" w:rsidRDefault="00686A62">
            <w:pPr>
              <w:pStyle w:val="P68B1DB1-Normal23"/>
              <w:spacing w:after="0"/>
              <w:jc w:val="center"/>
              <w:rPr>
                <w:rFonts w:eastAsia="Calibri" w:cs="Calibri"/>
                <w:noProof/>
              </w:rPr>
            </w:pPr>
            <w:r>
              <w:rPr>
                <w:noProof/>
              </w:rPr>
              <w:t>TD-C20-i01</w:t>
            </w:r>
          </w:p>
        </w:tc>
        <w:tc>
          <w:tcPr>
            <w:tcW w:w="1520" w:type="dxa"/>
            <w:shd w:val="clear" w:color="auto" w:fill="C4EFCE"/>
            <w:vAlign w:val="center"/>
            <w:hideMark/>
          </w:tcPr>
          <w:p w14:paraId="0CDF83A4"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C9E5FE" w14:textId="77777777" w:rsidR="00A15990" w:rsidRDefault="00686A62">
            <w:pPr>
              <w:pStyle w:val="P68B1DB1-Normal23"/>
              <w:spacing w:after="0"/>
              <w:jc w:val="both"/>
              <w:rPr>
                <w:rFonts w:eastAsia="Calibri" w:cs="Calibri"/>
                <w:noProof/>
              </w:rPr>
            </w:pPr>
            <w:r>
              <w:rPr>
                <w:noProof/>
              </w:rPr>
              <w:t>Responsabilizarea conducerii școlilor</w:t>
            </w:r>
          </w:p>
        </w:tc>
      </w:tr>
      <w:tr w:rsidR="00A15990" w14:paraId="095F7BC5" w14:textId="77777777">
        <w:trPr>
          <w:trHeight w:val="440"/>
        </w:trPr>
        <w:tc>
          <w:tcPr>
            <w:tcW w:w="1200" w:type="dxa"/>
            <w:shd w:val="clear" w:color="auto" w:fill="C4EFCE"/>
            <w:vAlign w:val="center"/>
            <w:hideMark/>
          </w:tcPr>
          <w:p w14:paraId="75DE1446" w14:textId="77777777" w:rsidR="00A15990" w:rsidRDefault="00686A62">
            <w:pPr>
              <w:pStyle w:val="P68B1DB1-Normal23"/>
              <w:spacing w:after="0"/>
              <w:jc w:val="center"/>
              <w:rPr>
                <w:rFonts w:eastAsia="Calibri" w:cs="Calibri"/>
                <w:noProof/>
              </w:rPr>
            </w:pPr>
            <w:r>
              <w:rPr>
                <w:noProof/>
              </w:rPr>
              <w:t>20.15</w:t>
            </w:r>
          </w:p>
        </w:tc>
        <w:tc>
          <w:tcPr>
            <w:tcW w:w="1760" w:type="dxa"/>
            <w:shd w:val="clear" w:color="auto" w:fill="C4EFCE"/>
            <w:vAlign w:val="center"/>
            <w:hideMark/>
          </w:tcPr>
          <w:p w14:paraId="63BCB75D" w14:textId="77777777" w:rsidR="00A15990" w:rsidRDefault="00686A62">
            <w:pPr>
              <w:pStyle w:val="P68B1DB1-Normal23"/>
              <w:spacing w:after="0"/>
              <w:jc w:val="center"/>
              <w:rPr>
                <w:rFonts w:eastAsia="Calibri" w:cs="Calibri"/>
                <w:noProof/>
              </w:rPr>
            </w:pPr>
            <w:r>
              <w:rPr>
                <w:noProof/>
              </w:rPr>
              <w:t>TD-C20-i03-RAM</w:t>
            </w:r>
          </w:p>
        </w:tc>
        <w:tc>
          <w:tcPr>
            <w:tcW w:w="1520" w:type="dxa"/>
            <w:shd w:val="clear" w:color="auto" w:fill="C4EFCE"/>
            <w:vAlign w:val="center"/>
            <w:hideMark/>
          </w:tcPr>
          <w:p w14:paraId="59D36764"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E3243CB" w14:textId="77777777" w:rsidR="00A15990" w:rsidRDefault="00686A62">
            <w:pPr>
              <w:pStyle w:val="P68B1DB1-Normal23"/>
              <w:spacing w:after="0"/>
              <w:jc w:val="both"/>
              <w:rPr>
                <w:rFonts w:eastAsia="Calibri" w:cs="Calibri"/>
                <w:noProof/>
              </w:rPr>
            </w:pPr>
            <w:r>
              <w:rPr>
                <w:noProof/>
              </w:rPr>
              <w:t>Conexiunea școlilor în ARM</w:t>
            </w:r>
          </w:p>
        </w:tc>
      </w:tr>
      <w:tr w:rsidR="00A15990" w14:paraId="66DB9AD9" w14:textId="77777777">
        <w:trPr>
          <w:trHeight w:val="440"/>
        </w:trPr>
        <w:tc>
          <w:tcPr>
            <w:tcW w:w="1200" w:type="dxa"/>
            <w:shd w:val="clear" w:color="auto" w:fill="C4EFCE"/>
            <w:vAlign w:val="center"/>
            <w:hideMark/>
          </w:tcPr>
          <w:p w14:paraId="2F1BF0CF" w14:textId="77777777" w:rsidR="00A15990" w:rsidRDefault="00686A62">
            <w:pPr>
              <w:pStyle w:val="P68B1DB1-Normal23"/>
              <w:spacing w:after="0"/>
              <w:jc w:val="center"/>
              <w:rPr>
                <w:rFonts w:eastAsia="Calibri" w:cs="Calibri"/>
                <w:noProof/>
              </w:rPr>
            </w:pPr>
            <w:r>
              <w:rPr>
                <w:noProof/>
              </w:rPr>
              <w:t>21.10</w:t>
            </w:r>
          </w:p>
        </w:tc>
        <w:tc>
          <w:tcPr>
            <w:tcW w:w="1760" w:type="dxa"/>
            <w:shd w:val="clear" w:color="auto" w:fill="C4EFCE"/>
            <w:vAlign w:val="center"/>
            <w:hideMark/>
          </w:tcPr>
          <w:p w14:paraId="5DF21089" w14:textId="77777777" w:rsidR="00A15990" w:rsidRDefault="00686A62">
            <w:pPr>
              <w:pStyle w:val="P68B1DB1-Normal23"/>
              <w:spacing w:after="0"/>
              <w:jc w:val="center"/>
              <w:rPr>
                <w:rFonts w:eastAsia="Calibri" w:cs="Calibri"/>
                <w:noProof/>
              </w:rPr>
            </w:pPr>
            <w:r>
              <w:rPr>
                <w:noProof/>
              </w:rPr>
              <w:t>RP-C21-r44</w:t>
            </w:r>
          </w:p>
        </w:tc>
        <w:tc>
          <w:tcPr>
            <w:tcW w:w="1520" w:type="dxa"/>
            <w:shd w:val="clear" w:color="auto" w:fill="C4EFCE"/>
            <w:vAlign w:val="center"/>
            <w:hideMark/>
          </w:tcPr>
          <w:p w14:paraId="2A7141B8"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5F3038A" w14:textId="77777777" w:rsidR="00A15990" w:rsidRDefault="00686A62">
            <w:pPr>
              <w:pStyle w:val="P68B1DB1-Normal23"/>
              <w:spacing w:after="0"/>
              <w:jc w:val="both"/>
              <w:rPr>
                <w:rFonts w:eastAsia="Calibri" w:cs="Calibri"/>
                <w:noProof/>
              </w:rPr>
            </w:pPr>
            <w:r>
              <w:rPr>
                <w:noProof/>
              </w:rPr>
              <w:t>Acțiuni de consolidare a capacităților</w:t>
            </w:r>
          </w:p>
        </w:tc>
      </w:tr>
      <w:tr w:rsidR="00A15990" w14:paraId="17B29DAC" w14:textId="77777777">
        <w:trPr>
          <w:trHeight w:val="440"/>
        </w:trPr>
        <w:tc>
          <w:tcPr>
            <w:tcW w:w="1200" w:type="dxa"/>
            <w:shd w:val="clear" w:color="auto" w:fill="C4EFCE"/>
            <w:vAlign w:val="center"/>
            <w:hideMark/>
          </w:tcPr>
          <w:p w14:paraId="11D06F3F" w14:textId="77777777" w:rsidR="00A15990" w:rsidRDefault="00686A62">
            <w:pPr>
              <w:pStyle w:val="P68B1DB1-Normal23"/>
              <w:spacing w:after="0"/>
              <w:jc w:val="center"/>
              <w:rPr>
                <w:rFonts w:eastAsia="Calibri" w:cs="Calibri"/>
                <w:noProof/>
              </w:rPr>
            </w:pPr>
            <w:r>
              <w:rPr>
                <w:noProof/>
              </w:rPr>
              <w:t>21.14</w:t>
            </w:r>
          </w:p>
        </w:tc>
        <w:tc>
          <w:tcPr>
            <w:tcW w:w="1760" w:type="dxa"/>
            <w:shd w:val="clear" w:color="auto" w:fill="C4EFCE"/>
            <w:vAlign w:val="center"/>
            <w:hideMark/>
          </w:tcPr>
          <w:p w14:paraId="04487365" w14:textId="1CEA46B2" w:rsidR="00A15990" w:rsidRDefault="00686A62">
            <w:pPr>
              <w:pStyle w:val="P68B1DB1-Normal23"/>
              <w:spacing w:after="0"/>
              <w:jc w:val="center"/>
              <w:rPr>
                <w:rFonts w:eastAsia="Calibri" w:cs="Calibri"/>
                <w:noProof/>
              </w:rPr>
            </w:pPr>
            <w:r>
              <w:rPr>
                <w:noProof/>
              </w:rPr>
              <w:t>RP-C21-r45</w:t>
            </w:r>
          </w:p>
        </w:tc>
        <w:tc>
          <w:tcPr>
            <w:tcW w:w="1520" w:type="dxa"/>
            <w:shd w:val="clear" w:color="auto" w:fill="C4EFCE"/>
            <w:vAlign w:val="center"/>
            <w:hideMark/>
          </w:tcPr>
          <w:p w14:paraId="6A7FA34F"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DA901B0" w14:textId="77777777" w:rsidR="00A15990" w:rsidRDefault="00686A62">
            <w:pPr>
              <w:pStyle w:val="P68B1DB1-Normal23"/>
              <w:spacing w:after="0"/>
              <w:jc w:val="both"/>
              <w:rPr>
                <w:rFonts w:eastAsia="Calibri" w:cs="Calibri"/>
                <w:noProof/>
              </w:rPr>
            </w:pPr>
            <w:r>
              <w:rPr>
                <w:noProof/>
              </w:rPr>
              <w:t>Acțiuni de formare în domeniul competențelor verzi</w:t>
            </w:r>
          </w:p>
        </w:tc>
      </w:tr>
      <w:tr w:rsidR="00A15990" w14:paraId="7B6DBAA0" w14:textId="77777777">
        <w:trPr>
          <w:trHeight w:val="440"/>
        </w:trPr>
        <w:tc>
          <w:tcPr>
            <w:tcW w:w="1200" w:type="dxa"/>
            <w:shd w:val="clear" w:color="auto" w:fill="C4EFCE"/>
            <w:vAlign w:val="center"/>
            <w:hideMark/>
          </w:tcPr>
          <w:p w14:paraId="3A579611" w14:textId="77777777" w:rsidR="00A15990" w:rsidRDefault="00686A62">
            <w:pPr>
              <w:pStyle w:val="P68B1DB1-Normal23"/>
              <w:spacing w:after="0"/>
              <w:jc w:val="center"/>
              <w:rPr>
                <w:rFonts w:eastAsia="Calibri" w:cs="Calibri"/>
                <w:noProof/>
              </w:rPr>
            </w:pPr>
            <w:r>
              <w:rPr>
                <w:noProof/>
              </w:rPr>
              <w:t>21.30</w:t>
            </w:r>
          </w:p>
        </w:tc>
        <w:tc>
          <w:tcPr>
            <w:tcW w:w="1760" w:type="dxa"/>
            <w:shd w:val="clear" w:color="auto" w:fill="C4EFCE"/>
            <w:vAlign w:val="center"/>
            <w:hideMark/>
          </w:tcPr>
          <w:p w14:paraId="4D24E80F" w14:textId="66AD4A61" w:rsidR="00A15990" w:rsidRDefault="00686A62">
            <w:pPr>
              <w:pStyle w:val="P68B1DB1-Normal23"/>
              <w:spacing w:after="0"/>
              <w:jc w:val="center"/>
              <w:rPr>
                <w:rFonts w:eastAsia="Calibri" w:cs="Calibri"/>
                <w:noProof/>
              </w:rPr>
            </w:pPr>
            <w:r>
              <w:rPr>
                <w:noProof/>
              </w:rPr>
              <w:t>RP-C21-i9</w:t>
            </w:r>
          </w:p>
        </w:tc>
        <w:tc>
          <w:tcPr>
            <w:tcW w:w="1520" w:type="dxa"/>
            <w:shd w:val="clear" w:color="auto" w:fill="C4EFCE"/>
            <w:vAlign w:val="center"/>
            <w:hideMark/>
          </w:tcPr>
          <w:p w14:paraId="1BE77825"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9F8DE1D" w14:textId="77777777" w:rsidR="00A15990" w:rsidRDefault="00686A62">
            <w:pPr>
              <w:pStyle w:val="P68B1DB1-Normal23"/>
              <w:spacing w:after="0"/>
              <w:jc w:val="both"/>
              <w:rPr>
                <w:rFonts w:eastAsia="Calibri" w:cs="Calibri"/>
                <w:noProof/>
              </w:rPr>
            </w:pPr>
            <w:r>
              <w:rPr>
                <w:noProof/>
              </w:rPr>
              <w:t>Punerea în funcțiune a modulelor primei faze a platformei digitale One – Stop -Shop pentru autorizarea și monitorizarea proiectelor în domeniul energiei din surse regenerabile</w:t>
            </w:r>
          </w:p>
        </w:tc>
      </w:tr>
      <w:tr w:rsidR="00A15990" w14:paraId="7AEA5439" w14:textId="77777777">
        <w:trPr>
          <w:trHeight w:val="440"/>
        </w:trPr>
        <w:tc>
          <w:tcPr>
            <w:tcW w:w="1200" w:type="dxa"/>
            <w:shd w:val="clear" w:color="auto" w:fill="C4EFCE"/>
            <w:vAlign w:val="center"/>
            <w:hideMark/>
          </w:tcPr>
          <w:p w14:paraId="3B9D7FE4" w14:textId="77777777" w:rsidR="00A15990" w:rsidRDefault="00686A62">
            <w:pPr>
              <w:pStyle w:val="P68B1DB1-Normal23"/>
              <w:spacing w:after="0"/>
              <w:jc w:val="center"/>
              <w:rPr>
                <w:rFonts w:eastAsia="Calibri" w:cs="Calibri"/>
                <w:noProof/>
              </w:rPr>
            </w:pPr>
            <w:r>
              <w:rPr>
                <w:noProof/>
              </w:rPr>
              <w:t>21.38</w:t>
            </w:r>
          </w:p>
        </w:tc>
        <w:tc>
          <w:tcPr>
            <w:tcW w:w="1760" w:type="dxa"/>
            <w:shd w:val="clear" w:color="auto" w:fill="C4EFCE"/>
            <w:vAlign w:val="center"/>
            <w:hideMark/>
          </w:tcPr>
          <w:p w14:paraId="244019BC" w14:textId="436D4207" w:rsidR="00A15990" w:rsidRDefault="00686A62">
            <w:pPr>
              <w:pStyle w:val="P68B1DB1-Normal23"/>
              <w:spacing w:after="0"/>
              <w:jc w:val="center"/>
              <w:rPr>
                <w:rFonts w:eastAsia="Calibri" w:cs="Calibri"/>
                <w:noProof/>
              </w:rPr>
            </w:pPr>
            <w:r>
              <w:rPr>
                <w:noProof/>
              </w:rPr>
              <w:t>RP-C21-i14</w:t>
            </w:r>
          </w:p>
        </w:tc>
        <w:tc>
          <w:tcPr>
            <w:tcW w:w="1520" w:type="dxa"/>
            <w:shd w:val="clear" w:color="auto" w:fill="C4EFCE"/>
            <w:vAlign w:val="center"/>
            <w:hideMark/>
          </w:tcPr>
          <w:p w14:paraId="4A27F4D9"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9E90178" w14:textId="77777777" w:rsidR="00A15990" w:rsidRDefault="00686A62">
            <w:pPr>
              <w:pStyle w:val="P68B1DB1-Normal23"/>
              <w:spacing w:after="0"/>
              <w:jc w:val="both"/>
              <w:rPr>
                <w:rFonts w:eastAsia="Calibri" w:cs="Calibri"/>
                <w:noProof/>
              </w:rPr>
            </w:pPr>
            <w:r>
              <w:rPr>
                <w:noProof/>
              </w:rPr>
              <w:t>Semnarea contractului pentru construirea a două linii de tranzit rapid cu autobuzul în Braga</w:t>
            </w:r>
          </w:p>
        </w:tc>
      </w:tr>
      <w:tr w:rsidR="00A15990" w14:paraId="385E0783" w14:textId="77777777">
        <w:trPr>
          <w:trHeight w:val="440"/>
        </w:trPr>
        <w:tc>
          <w:tcPr>
            <w:tcW w:w="1200" w:type="dxa"/>
            <w:shd w:val="clear" w:color="auto" w:fill="C4EFCE"/>
            <w:vAlign w:val="center"/>
            <w:hideMark/>
          </w:tcPr>
          <w:p w14:paraId="0AAE03D3" w14:textId="77777777" w:rsidR="00A15990" w:rsidRDefault="00686A62">
            <w:pPr>
              <w:pStyle w:val="P68B1DB1-Normal23"/>
              <w:spacing w:after="0"/>
              <w:jc w:val="center"/>
              <w:rPr>
                <w:rFonts w:eastAsia="Calibri" w:cs="Calibri"/>
                <w:noProof/>
              </w:rPr>
            </w:pPr>
            <w:r>
              <w:rPr>
                <w:noProof/>
              </w:rPr>
              <w:t>21.42</w:t>
            </w:r>
          </w:p>
        </w:tc>
        <w:tc>
          <w:tcPr>
            <w:tcW w:w="1760" w:type="dxa"/>
            <w:shd w:val="clear" w:color="auto" w:fill="C4EFCE"/>
            <w:vAlign w:val="center"/>
            <w:hideMark/>
          </w:tcPr>
          <w:p w14:paraId="50D56588" w14:textId="707B6BFA" w:rsidR="00A15990" w:rsidRDefault="00686A62">
            <w:pPr>
              <w:pStyle w:val="P68B1DB1-Normal23"/>
              <w:spacing w:after="0"/>
              <w:jc w:val="center"/>
              <w:rPr>
                <w:rFonts w:eastAsia="Calibri" w:cs="Calibri"/>
                <w:noProof/>
              </w:rPr>
            </w:pPr>
            <w:r>
              <w:rPr>
                <w:noProof/>
              </w:rPr>
              <w:t>RP-C21-i16</w:t>
            </w:r>
          </w:p>
        </w:tc>
        <w:tc>
          <w:tcPr>
            <w:tcW w:w="1520" w:type="dxa"/>
            <w:shd w:val="clear" w:color="auto" w:fill="C4EFCE"/>
            <w:vAlign w:val="center"/>
          </w:tcPr>
          <w:p w14:paraId="25A4EEDF" w14:textId="77777777" w:rsidR="00A15990" w:rsidRDefault="00686A62">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tcPr>
          <w:p w14:paraId="436C9A08" w14:textId="77777777" w:rsidR="00A15990" w:rsidRDefault="00686A62">
            <w:pPr>
              <w:pStyle w:val="P68B1DB1-Normal23"/>
              <w:spacing w:after="0" w:line="240" w:lineRule="auto"/>
              <w:rPr>
                <w:rFonts w:cs="Calibri"/>
                <w:i/>
                <w:noProof/>
              </w:rPr>
            </w:pPr>
            <w:r>
              <w:rPr>
                <w:noProof/>
              </w:rPr>
              <w:t>Semnarea contractului pentru punerea în aplicare a proiectului</w:t>
            </w:r>
          </w:p>
        </w:tc>
      </w:tr>
      <w:tr w:rsidR="00A15990" w14:paraId="4F03A3E2" w14:textId="77777777">
        <w:trPr>
          <w:trHeight w:val="440"/>
        </w:trPr>
        <w:tc>
          <w:tcPr>
            <w:tcW w:w="1200" w:type="dxa"/>
            <w:shd w:val="clear" w:color="auto" w:fill="C4EFCE"/>
            <w:vAlign w:val="center"/>
          </w:tcPr>
          <w:p w14:paraId="0A5307EE" w14:textId="77777777" w:rsidR="00A15990" w:rsidRDefault="00A15990">
            <w:pPr>
              <w:spacing w:after="0"/>
              <w:jc w:val="center"/>
              <w:rPr>
                <w:rFonts w:ascii="Calibri" w:eastAsia="Calibri" w:hAnsi="Calibri" w:cs="Calibri"/>
                <w:noProof/>
                <w:sz w:val="18"/>
              </w:rPr>
            </w:pPr>
          </w:p>
        </w:tc>
        <w:tc>
          <w:tcPr>
            <w:tcW w:w="1760" w:type="dxa"/>
            <w:shd w:val="clear" w:color="auto" w:fill="C4EFCE"/>
            <w:vAlign w:val="center"/>
          </w:tcPr>
          <w:p w14:paraId="2E63F90C" w14:textId="77777777" w:rsidR="00A15990" w:rsidRDefault="00A15990">
            <w:pPr>
              <w:spacing w:after="0"/>
              <w:jc w:val="center"/>
              <w:rPr>
                <w:rFonts w:ascii="Calibri" w:eastAsia="Calibri" w:hAnsi="Calibri" w:cs="Calibri"/>
                <w:noProof/>
                <w:sz w:val="18"/>
              </w:rPr>
            </w:pPr>
          </w:p>
        </w:tc>
        <w:tc>
          <w:tcPr>
            <w:tcW w:w="1520" w:type="dxa"/>
            <w:shd w:val="clear" w:color="auto" w:fill="C4EFCE"/>
            <w:vAlign w:val="center"/>
          </w:tcPr>
          <w:p w14:paraId="4C56150E" w14:textId="77777777" w:rsidR="00A15990" w:rsidRDefault="00686A62">
            <w:pPr>
              <w:pStyle w:val="P68B1DB1-Normal24"/>
              <w:spacing w:after="0"/>
              <w:jc w:val="center"/>
              <w:rPr>
                <w:rFonts w:eastAsia="Calibri" w:cs="Calibri"/>
                <w:noProof/>
                <w:sz w:val="18"/>
              </w:rPr>
            </w:pPr>
            <w:r>
              <w:rPr>
                <w:noProof/>
              </w:rPr>
              <w:t>Valoarea tranșelor</w:t>
            </w:r>
          </w:p>
        </w:tc>
        <w:tc>
          <w:tcPr>
            <w:tcW w:w="5060" w:type="dxa"/>
            <w:shd w:val="clear" w:color="auto" w:fill="C4EFCE"/>
            <w:vAlign w:val="center"/>
          </w:tcPr>
          <w:p w14:paraId="1D728FCE" w14:textId="4021B04F" w:rsidR="00A15990" w:rsidRDefault="00686A62">
            <w:pPr>
              <w:pStyle w:val="P68B1DB1-Normal25"/>
              <w:spacing w:after="0"/>
              <w:jc w:val="center"/>
              <w:rPr>
                <w:rFonts w:eastAsia="Calibri" w:cs="Calibri"/>
                <w:noProof/>
                <w:sz w:val="18"/>
              </w:rPr>
            </w:pPr>
            <w:r>
              <w:rPr>
                <w:noProof/>
              </w:rPr>
              <w:t xml:space="preserve">2 023 192 454 MIL. </w:t>
            </w:r>
          </w:p>
        </w:tc>
      </w:tr>
    </w:tbl>
    <w:p w14:paraId="59B2EAF8" w14:textId="77777777" w:rsidR="00A15990" w:rsidRDefault="00A15990">
      <w:pPr>
        <w:keepNext/>
        <w:spacing w:before="40" w:after="160" w:line="259" w:lineRule="auto"/>
        <w:ind w:left="360"/>
        <w:contextualSpacing/>
        <w:jc w:val="both"/>
        <w:rPr>
          <w:rFonts w:ascii="Times New Roman" w:eastAsiaTheme="minorEastAsia" w:hAnsi="Times New Roman" w:cs="Times New Roman"/>
          <w:noProof/>
          <w:sz w:val="24"/>
        </w:rPr>
      </w:pPr>
    </w:p>
    <w:p w14:paraId="3FED0C14"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opta cerere de plată (sprijin nerambursabil): </w:t>
      </w:r>
    </w:p>
    <w:p w14:paraId="03F528E5"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A15990" w14:paraId="51282D2E" w14:textId="77777777">
        <w:trPr>
          <w:trHeight w:val="509"/>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2E938F"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DFC1E5"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1E4C39" w14:textId="5C01C61C"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5F2557"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43E0E792"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D5A2EDB" w14:textId="77777777" w:rsidR="00A15990" w:rsidRDefault="00A15990">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57C445AC" w14:textId="77777777" w:rsidR="00A15990" w:rsidRDefault="00A15990">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1FB1C794" w14:textId="77777777" w:rsidR="00A15990" w:rsidRDefault="00A15990">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0242486B" w14:textId="77777777" w:rsidR="00A15990" w:rsidRDefault="00A15990">
            <w:pPr>
              <w:spacing w:after="0" w:line="240" w:lineRule="auto"/>
              <w:rPr>
                <w:rFonts w:ascii="Times New Roman" w:eastAsia="Times New Roman" w:hAnsi="Times New Roman" w:cs="Times New Roman"/>
                <w:b/>
                <w:noProof/>
                <w:sz w:val="20"/>
              </w:rPr>
            </w:pPr>
          </w:p>
        </w:tc>
      </w:tr>
      <w:tr w:rsidR="00A15990" w14:paraId="47702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6209672" w14:textId="77777777" w:rsidR="00A15990" w:rsidRDefault="00686A62">
            <w:pPr>
              <w:pStyle w:val="P68B1DB1-Normal23"/>
              <w:spacing w:after="0"/>
              <w:jc w:val="center"/>
              <w:rPr>
                <w:rFonts w:eastAsia="Calibri" w:cs="Calibri"/>
                <w:noProof/>
                <w:sz w:val="20"/>
              </w:rPr>
            </w:pPr>
            <w:r>
              <w:rPr>
                <w:noProof/>
              </w:rPr>
              <w:t>1.34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B386C0E" w14:textId="77777777" w:rsidR="00A15990" w:rsidRDefault="00686A62">
            <w:pPr>
              <w:pStyle w:val="P68B1DB1-Normal23"/>
              <w:spacing w:after="0"/>
              <w:jc w:val="center"/>
              <w:rPr>
                <w:rFonts w:eastAsia="Calibri" w:cs="Calibri"/>
                <w:noProof/>
                <w:sz w:val="20"/>
              </w:rPr>
            </w:pPr>
            <w:r>
              <w:rPr>
                <w:noProof/>
              </w:rPr>
              <w:t>RE-C01-i06</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E962A5B"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E3B3A8" w14:textId="77777777" w:rsidR="00A15990" w:rsidRDefault="00686A62">
            <w:pPr>
              <w:pStyle w:val="P68B1DB1-Normal23"/>
              <w:spacing w:after="0"/>
              <w:jc w:val="both"/>
              <w:rPr>
                <w:rFonts w:eastAsia="Calibri" w:cs="Calibri"/>
                <w:noProof/>
                <w:sz w:val="20"/>
              </w:rPr>
            </w:pPr>
            <w:r>
              <w:rPr>
                <w:noProof/>
              </w:rPr>
              <w:t>Punerea în aplicare a modulelor administrative din domeniul tehnologiei informației, a modulelor clinice de bază și a modulelor clinice de urgență</w:t>
            </w:r>
          </w:p>
        </w:tc>
      </w:tr>
      <w:tr w:rsidR="00A15990" w14:paraId="2D80F58A"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33ED31DD" w14:textId="77777777" w:rsidR="00A15990" w:rsidRDefault="00686A62">
            <w:pPr>
              <w:pStyle w:val="P68B1DB1-Normal23"/>
              <w:spacing w:after="0"/>
              <w:jc w:val="center"/>
              <w:rPr>
                <w:rFonts w:eastAsia="Calibri" w:cs="Calibri"/>
                <w:noProof/>
                <w:sz w:val="20"/>
              </w:rPr>
            </w:pPr>
            <w:r>
              <w:rPr>
                <w:noProof/>
              </w:rPr>
              <w:t>2.29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9EA7AE" w14:textId="77777777" w:rsidR="00A15990" w:rsidRDefault="00686A62">
            <w:pPr>
              <w:pStyle w:val="P68B1DB1-Normal23"/>
              <w:spacing w:after="0"/>
              <w:jc w:val="center"/>
              <w:rPr>
                <w:rFonts w:eastAsia="Calibri" w:cs="Calibri"/>
                <w:noProof/>
                <w:sz w:val="20"/>
              </w:rPr>
            </w:pPr>
            <w:r>
              <w:rPr>
                <w:noProof/>
              </w:rPr>
              <w:t>RE-C02-i01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A93811F"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47CD63F8" w14:textId="77777777" w:rsidR="00A15990" w:rsidRDefault="00686A62">
            <w:pPr>
              <w:pStyle w:val="P68B1DB1-Normal23"/>
              <w:spacing w:after="0"/>
              <w:jc w:val="both"/>
              <w:rPr>
                <w:rFonts w:eastAsia="Calibri" w:cs="Calibri"/>
                <w:noProof/>
                <w:sz w:val="20"/>
              </w:rPr>
            </w:pPr>
            <w:r>
              <w:rPr>
                <w:noProof/>
              </w:rPr>
              <w:t>Program de sprijin pentru accesul la locuințe – locuințe achiziționate, construite (cu eficiență energetică ridicată) sau reabilitate (cu o performanță energetică îmbunătățită) furnizate gospodăriilor</w:t>
            </w:r>
          </w:p>
        </w:tc>
      </w:tr>
      <w:tr w:rsidR="00A15990" w14:paraId="16BAF70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7587DCF" w14:textId="77777777" w:rsidR="00A15990" w:rsidRDefault="00686A62">
            <w:pPr>
              <w:pStyle w:val="P68B1DB1-Normal23"/>
              <w:spacing w:after="0"/>
              <w:jc w:val="center"/>
              <w:rPr>
                <w:rFonts w:eastAsia="Calibri" w:cs="Calibri"/>
                <w:noProof/>
                <w:sz w:val="20"/>
              </w:rPr>
            </w:pPr>
            <w:r>
              <w:rPr>
                <w:noProof/>
              </w:rPr>
              <w:t>3.29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8DF3D66" w14:textId="77777777" w:rsidR="00A15990" w:rsidRDefault="00686A62">
            <w:pPr>
              <w:pStyle w:val="P68B1DB1-Normal23"/>
              <w:spacing w:after="0"/>
              <w:jc w:val="center"/>
              <w:rPr>
                <w:rFonts w:eastAsia="Calibri" w:cs="Calibri"/>
                <w:noProof/>
                <w:sz w:val="20"/>
              </w:rPr>
            </w:pPr>
            <w:r>
              <w:rPr>
                <w:noProof/>
              </w:rPr>
              <w:t>RE-C03-r38</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7434BAC" w14:textId="77777777" w:rsidR="00A15990" w:rsidRDefault="00686A62">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BBAC241" w14:textId="77777777" w:rsidR="00A15990" w:rsidRDefault="00686A62">
            <w:pPr>
              <w:pStyle w:val="P68B1DB1-Normal23"/>
              <w:spacing w:after="0"/>
              <w:jc w:val="both"/>
              <w:rPr>
                <w:rFonts w:eastAsia="Calibri" w:cs="Calibri"/>
                <w:noProof/>
                <w:sz w:val="20"/>
              </w:rPr>
            </w:pPr>
            <w:r>
              <w:rPr>
                <w:noProof/>
              </w:rPr>
              <w:t>Raportul Grupului de lucru privind prestațiile sociale unice</w:t>
            </w:r>
          </w:p>
        </w:tc>
      </w:tr>
      <w:tr w:rsidR="00A15990" w14:paraId="45320B6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DA2AE78" w14:textId="77777777" w:rsidR="00A15990" w:rsidRDefault="00686A62">
            <w:pPr>
              <w:pStyle w:val="P68B1DB1-Normal23"/>
              <w:spacing w:after="0"/>
              <w:jc w:val="center"/>
              <w:rPr>
                <w:rFonts w:eastAsia="Calibri" w:cs="Calibri"/>
                <w:noProof/>
                <w:sz w:val="20"/>
              </w:rPr>
            </w:pPr>
            <w:r>
              <w:rPr>
                <w:noProof/>
              </w:rPr>
              <w:t>6.1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50BE18D" w14:textId="77777777" w:rsidR="00A15990" w:rsidRDefault="00686A62">
            <w:pPr>
              <w:pStyle w:val="P68B1DB1-Normal23"/>
              <w:spacing w:after="0"/>
              <w:jc w:val="center"/>
              <w:rPr>
                <w:rFonts w:eastAsia="Calibri" w:cs="Calibri"/>
                <w:noProof/>
                <w:sz w:val="20"/>
              </w:rPr>
            </w:pPr>
            <w:r>
              <w:rPr>
                <w:noProof/>
              </w:rPr>
              <w:t>RE-C06-i01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3D89B4A"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7CA4126" w14:textId="77777777" w:rsidR="00A15990" w:rsidRDefault="00686A62">
            <w:pPr>
              <w:pStyle w:val="P68B1DB1-Normal23"/>
              <w:spacing w:after="0"/>
              <w:jc w:val="both"/>
              <w:rPr>
                <w:rFonts w:eastAsia="Calibri" w:cs="Calibri"/>
                <w:noProof/>
                <w:sz w:val="20"/>
              </w:rPr>
            </w:pPr>
            <w:r>
              <w:rPr>
                <w:noProof/>
              </w:rPr>
              <w:t>Centre tehnologice specializate renovate sau construite</w:t>
            </w:r>
          </w:p>
        </w:tc>
      </w:tr>
      <w:tr w:rsidR="00A15990" w14:paraId="7C00D43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BED060D" w14:textId="77777777" w:rsidR="00A15990" w:rsidRDefault="00686A62">
            <w:pPr>
              <w:pStyle w:val="P68B1DB1-Normal23"/>
              <w:spacing w:after="0"/>
              <w:jc w:val="center"/>
              <w:rPr>
                <w:rFonts w:eastAsia="Calibri" w:cs="Calibri"/>
                <w:noProof/>
                <w:sz w:val="20"/>
              </w:rPr>
            </w:pPr>
            <w:r>
              <w:rPr>
                <w:noProof/>
              </w:rPr>
              <w:t>6.8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F0DF611" w14:textId="77777777" w:rsidR="00A15990" w:rsidRDefault="00686A62">
            <w:pPr>
              <w:pStyle w:val="P68B1DB1-Normal23"/>
              <w:spacing w:after="0"/>
              <w:jc w:val="center"/>
              <w:rPr>
                <w:rFonts w:eastAsia="Calibri" w:cs="Calibri"/>
                <w:noProof/>
                <w:sz w:val="20"/>
              </w:rPr>
            </w:pPr>
            <w:r>
              <w:rPr>
                <w:noProof/>
              </w:rPr>
              <w:t>RE-C06-i04</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A5BFBF"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B9C680" w14:textId="77777777" w:rsidR="00A15990" w:rsidRDefault="00686A62">
            <w:pPr>
              <w:pStyle w:val="P68B1DB1-Normal23"/>
              <w:spacing w:after="0"/>
              <w:jc w:val="both"/>
              <w:rPr>
                <w:rFonts w:eastAsia="Calibri" w:cs="Calibri"/>
                <w:noProof/>
                <w:sz w:val="20"/>
              </w:rPr>
            </w:pPr>
            <w:r>
              <w:rPr>
                <w:noProof/>
              </w:rPr>
              <w:t>Număr suplimentar de studenți absolvenți ai unor cursuri de învățământ terțiar în domenii STIAM</w:t>
            </w:r>
          </w:p>
        </w:tc>
      </w:tr>
      <w:tr w:rsidR="00A15990" w14:paraId="3AD54D52"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6DB541F" w14:textId="77777777" w:rsidR="00A15990" w:rsidRDefault="00686A62">
            <w:pPr>
              <w:pStyle w:val="P68B1DB1-Normal23"/>
              <w:spacing w:after="0"/>
              <w:jc w:val="center"/>
              <w:rPr>
                <w:rFonts w:eastAsia="Calibri" w:cs="Calibri"/>
                <w:noProof/>
                <w:sz w:val="20"/>
              </w:rPr>
            </w:pPr>
            <w:r>
              <w:rPr>
                <w:noProof/>
              </w:rPr>
              <w:t>8.6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736FE01" w14:textId="77777777" w:rsidR="00A15990" w:rsidRDefault="00686A62">
            <w:pPr>
              <w:pStyle w:val="P68B1DB1-Normal23"/>
              <w:spacing w:after="0"/>
              <w:jc w:val="center"/>
              <w:rPr>
                <w:rFonts w:eastAsia="Calibri" w:cs="Calibri"/>
                <w:noProof/>
                <w:sz w:val="20"/>
              </w:rPr>
            </w:pPr>
            <w:r>
              <w:rPr>
                <w:noProof/>
              </w:rPr>
              <w:t>RE-C08-i02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3BB56E9" w14:textId="77777777" w:rsidR="00A15990" w:rsidRDefault="00686A62">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5020DBA" w14:textId="77777777" w:rsidR="00A15990" w:rsidRDefault="00686A62">
            <w:pPr>
              <w:pStyle w:val="P68B1DB1-Normal23"/>
              <w:spacing w:after="0"/>
              <w:jc w:val="both"/>
              <w:rPr>
                <w:rFonts w:eastAsia="Calibri" w:cs="Calibri"/>
                <w:noProof/>
                <w:sz w:val="20"/>
              </w:rPr>
            </w:pPr>
            <w:r>
              <w:rPr>
                <w:noProof/>
              </w:rPr>
              <w:t>Realizarea cartografierii de referință pentru sistemul de monitorizare a acoperirii terenurilor (Land Cover Monitoring System – SMOS)</w:t>
            </w:r>
          </w:p>
        </w:tc>
      </w:tr>
      <w:tr w:rsidR="00A15990" w14:paraId="039E9D87"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0417D6" w14:textId="77777777" w:rsidR="00A15990" w:rsidRDefault="00686A62">
            <w:pPr>
              <w:pStyle w:val="P68B1DB1-Normal23"/>
              <w:spacing w:after="0"/>
              <w:jc w:val="center"/>
              <w:rPr>
                <w:rFonts w:eastAsia="Calibri" w:cs="Calibri"/>
                <w:noProof/>
                <w:sz w:val="20"/>
              </w:rPr>
            </w:pPr>
            <w:r>
              <w:rPr>
                <w:noProof/>
              </w:rPr>
              <w:t>9.12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4C132670" w14:textId="77777777" w:rsidR="00A15990" w:rsidRDefault="00686A62">
            <w:pPr>
              <w:pStyle w:val="P68B1DB1-Normal23"/>
              <w:spacing w:after="0"/>
              <w:jc w:val="center"/>
              <w:rPr>
                <w:rFonts w:eastAsia="Calibri" w:cs="Calibri"/>
                <w:noProof/>
                <w:sz w:val="20"/>
              </w:rPr>
            </w:pPr>
            <w:r>
              <w:rPr>
                <w:noProof/>
              </w:rPr>
              <w:t>RE-C09-i03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5B66B49"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23E85C5" w14:textId="77777777" w:rsidR="00A15990" w:rsidRDefault="00686A62">
            <w:pPr>
              <w:pStyle w:val="P68B1DB1-Normal23"/>
              <w:spacing w:after="0"/>
              <w:jc w:val="both"/>
              <w:rPr>
                <w:rFonts w:eastAsia="Calibri" w:cs="Calibri"/>
                <w:noProof/>
                <w:sz w:val="20"/>
              </w:rPr>
            </w:pPr>
            <w:r>
              <w:rPr>
                <w:noProof/>
              </w:rPr>
              <w:t>Km suplimentari de conducte renovate sau reabilitate</w:t>
            </w:r>
          </w:p>
        </w:tc>
      </w:tr>
      <w:tr w:rsidR="00A15990" w14:paraId="392112A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70DF80A" w14:textId="77777777" w:rsidR="00A15990" w:rsidRDefault="00686A62">
            <w:pPr>
              <w:pStyle w:val="P68B1DB1-Normal23"/>
              <w:spacing w:after="0"/>
              <w:jc w:val="center"/>
              <w:rPr>
                <w:rFonts w:eastAsia="Calibri" w:cs="Calibri"/>
                <w:noProof/>
                <w:sz w:val="20"/>
              </w:rPr>
            </w:pPr>
            <w:r>
              <w:rPr>
                <w:noProof/>
              </w:rPr>
              <w:t>13.2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DF19A15" w14:textId="77777777" w:rsidR="00A15990" w:rsidRDefault="00686A62">
            <w:pPr>
              <w:pStyle w:val="P68B1DB1-Normal23"/>
              <w:spacing w:after="0"/>
              <w:jc w:val="center"/>
              <w:rPr>
                <w:rFonts w:eastAsia="Calibri" w:cs="Calibri"/>
                <w:noProof/>
                <w:sz w:val="20"/>
              </w:rPr>
            </w:pPr>
            <w:r>
              <w:rPr>
                <w:noProof/>
              </w:rPr>
              <w:t>TC-C13-I01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68B0FA9B"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688B0A90" w14:textId="77777777" w:rsidR="00A15990" w:rsidRDefault="00686A62">
            <w:pPr>
              <w:pStyle w:val="P68B1DB1-Normal23"/>
              <w:spacing w:after="0"/>
              <w:jc w:val="both"/>
              <w:rPr>
                <w:rFonts w:eastAsia="Calibri" w:cs="Calibri"/>
                <w:noProof/>
                <w:sz w:val="20"/>
              </w:rPr>
            </w:pPr>
            <w:r>
              <w:rPr>
                <w:noProof/>
              </w:rPr>
              <w:t>Renovarea clădirilor rezidențiale private din punctul de vedere al eficienței energetice</w:t>
            </w:r>
          </w:p>
        </w:tc>
      </w:tr>
      <w:tr w:rsidR="00A15990" w14:paraId="3F852D0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4D45592" w14:textId="77777777" w:rsidR="00A15990" w:rsidRDefault="00686A62">
            <w:pPr>
              <w:pStyle w:val="P68B1DB1-Normal23"/>
              <w:spacing w:after="0"/>
              <w:jc w:val="center"/>
              <w:rPr>
                <w:rFonts w:eastAsia="Calibri" w:cs="Calibri"/>
                <w:noProof/>
                <w:sz w:val="20"/>
              </w:rPr>
            </w:pPr>
            <w:r>
              <w:rPr>
                <w:noProof/>
              </w:rPr>
              <w:t>13.5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0E3ACE4" w14:textId="77777777" w:rsidR="00A15990" w:rsidRDefault="00686A62">
            <w:pPr>
              <w:pStyle w:val="P68B1DB1-Normal23"/>
              <w:spacing w:after="0"/>
              <w:jc w:val="center"/>
              <w:rPr>
                <w:rFonts w:eastAsia="Calibri" w:cs="Calibri"/>
                <w:noProof/>
                <w:sz w:val="20"/>
              </w:rPr>
            </w:pPr>
            <w:r>
              <w:rPr>
                <w:noProof/>
              </w:rPr>
              <w:t>TC-C13-I02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96C5B0D"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CEDF2B7" w14:textId="77777777" w:rsidR="00A15990" w:rsidRDefault="00686A62">
            <w:pPr>
              <w:pStyle w:val="P68B1DB1-Normal23"/>
              <w:spacing w:after="0"/>
              <w:jc w:val="both"/>
              <w:rPr>
                <w:rFonts w:eastAsia="Calibri" w:cs="Calibri"/>
                <w:noProof/>
                <w:sz w:val="20"/>
              </w:rPr>
            </w:pPr>
            <w:r>
              <w:rPr>
                <w:noProof/>
              </w:rPr>
              <w:t>Renovarea clădirilor administrației centrale din punctul de vedere al eficienței energetice</w:t>
            </w:r>
          </w:p>
        </w:tc>
      </w:tr>
      <w:tr w:rsidR="00A15990" w14:paraId="2194D2E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1D1126" w14:textId="77777777" w:rsidR="00A15990" w:rsidRDefault="00686A62">
            <w:pPr>
              <w:pStyle w:val="P68B1DB1-Normal23"/>
              <w:spacing w:after="0"/>
              <w:jc w:val="center"/>
              <w:rPr>
                <w:rFonts w:eastAsia="Calibri" w:cs="Calibri"/>
                <w:noProof/>
                <w:sz w:val="20"/>
              </w:rPr>
            </w:pPr>
            <w:r>
              <w:rPr>
                <w:noProof/>
              </w:rPr>
              <w:t>13.8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3D27D411" w14:textId="77777777" w:rsidR="00A15990" w:rsidRDefault="00686A62">
            <w:pPr>
              <w:pStyle w:val="P68B1DB1-Normal23"/>
              <w:spacing w:after="0"/>
              <w:jc w:val="center"/>
              <w:rPr>
                <w:rFonts w:eastAsia="Calibri" w:cs="Calibri"/>
                <w:noProof/>
                <w:sz w:val="20"/>
              </w:rPr>
            </w:pPr>
            <w:r>
              <w:rPr>
                <w:noProof/>
              </w:rPr>
              <w:t>TC-C13-I03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BFF745B"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21F9B47" w14:textId="77777777" w:rsidR="00A15990" w:rsidRDefault="00686A62">
            <w:pPr>
              <w:pStyle w:val="P68B1DB1-Normal23"/>
              <w:spacing w:after="0"/>
              <w:jc w:val="both"/>
              <w:rPr>
                <w:rFonts w:eastAsia="Calibri" w:cs="Calibri"/>
                <w:noProof/>
                <w:sz w:val="20"/>
              </w:rPr>
            </w:pPr>
            <w:r>
              <w:rPr>
                <w:noProof/>
              </w:rPr>
              <w:t>Renovarea clădirilor de servicii private din punctul de vedere al eficienței energetice</w:t>
            </w:r>
          </w:p>
        </w:tc>
      </w:tr>
      <w:tr w:rsidR="00A15990" w14:paraId="340E5320"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6CA9A8" w14:textId="77777777" w:rsidR="00A15990" w:rsidRDefault="00686A62">
            <w:pPr>
              <w:pStyle w:val="P68B1DB1-Normal23"/>
              <w:spacing w:after="0"/>
              <w:jc w:val="center"/>
              <w:rPr>
                <w:rFonts w:eastAsia="Calibri" w:cs="Calibri"/>
                <w:noProof/>
                <w:sz w:val="20"/>
              </w:rPr>
            </w:pPr>
            <w:r>
              <w:rPr>
                <w:noProof/>
              </w:rPr>
              <w:t>14.8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4B590E3" w14:textId="77777777" w:rsidR="00A15990" w:rsidRDefault="00686A62">
            <w:pPr>
              <w:pStyle w:val="P68B1DB1-Normal23"/>
              <w:spacing w:after="0"/>
              <w:jc w:val="center"/>
              <w:rPr>
                <w:rFonts w:eastAsia="Calibri" w:cs="Calibri"/>
                <w:noProof/>
                <w:sz w:val="20"/>
              </w:rPr>
            </w:pPr>
            <w:r>
              <w:rPr>
                <w:noProof/>
              </w:rPr>
              <w:t>TC-C14-I02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4841BCD"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B2B37F4" w14:textId="77777777" w:rsidR="00A15990" w:rsidRDefault="00686A62">
            <w:pPr>
              <w:pStyle w:val="P68B1DB1-Normal23"/>
              <w:spacing w:after="0"/>
              <w:jc w:val="both"/>
              <w:rPr>
                <w:rFonts w:eastAsia="Calibri" w:cs="Calibri"/>
                <w:noProof/>
                <w:sz w:val="20"/>
              </w:rPr>
            </w:pPr>
            <w:r>
              <w:rPr>
                <w:noProof/>
              </w:rPr>
              <w:t>Capacitate suplimentară de integrare a energiei electrice instalate noi în sistemul de energie electrică</w:t>
            </w:r>
          </w:p>
        </w:tc>
      </w:tr>
      <w:tr w:rsidR="00A15990" w14:paraId="0BF233C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2497B10B" w14:textId="77777777" w:rsidR="00A15990" w:rsidRDefault="00686A62">
            <w:pPr>
              <w:pStyle w:val="P68B1DB1-Normal23"/>
              <w:spacing w:after="0"/>
              <w:jc w:val="center"/>
              <w:rPr>
                <w:rFonts w:eastAsia="Calibri" w:cs="Calibri"/>
                <w:noProof/>
                <w:sz w:val="20"/>
              </w:rPr>
            </w:pPr>
            <w:r>
              <w:rPr>
                <w:noProof/>
              </w:rPr>
              <w:t>17.24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A6FB23C" w14:textId="52A4CD72" w:rsidR="00A15990" w:rsidRDefault="00686A62">
            <w:pPr>
              <w:pStyle w:val="P68B1DB1-Normal23"/>
              <w:spacing w:after="0"/>
              <w:jc w:val="center"/>
              <w:rPr>
                <w:rFonts w:eastAsia="Calibri" w:cs="Calibri"/>
                <w:noProof/>
                <w:sz w:val="20"/>
              </w:rPr>
            </w:pPr>
            <w:r>
              <w:rPr>
                <w:noProof/>
              </w:rPr>
              <w:t>TD-C17-r40</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A158D53" w14:textId="77777777" w:rsidR="00A15990" w:rsidRDefault="00686A62">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7DB87B7" w14:textId="77777777" w:rsidR="00A15990" w:rsidRDefault="00686A62">
            <w:pPr>
              <w:pStyle w:val="P68B1DB1-Normal23"/>
              <w:spacing w:after="0"/>
              <w:jc w:val="both"/>
              <w:rPr>
                <w:rFonts w:eastAsia="Calibri" w:cs="Calibri"/>
                <w:noProof/>
                <w:sz w:val="20"/>
              </w:rPr>
            </w:pPr>
            <w:r>
              <w:rPr>
                <w:noProof/>
              </w:rPr>
              <w:t>Publicarea de către U-TAX a raportului de evaluare privind avantajele fiscale existente</w:t>
            </w:r>
          </w:p>
        </w:tc>
      </w:tr>
      <w:tr w:rsidR="00A15990" w14:paraId="0AC27CC9"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B9FB6A" w14:textId="77777777" w:rsidR="00A15990" w:rsidRDefault="00686A62">
            <w:pPr>
              <w:pStyle w:val="P68B1DB1-Normal23"/>
              <w:spacing w:after="0"/>
              <w:jc w:val="center"/>
              <w:rPr>
                <w:rFonts w:eastAsia="Calibri" w:cs="Calibri"/>
                <w:noProof/>
                <w:sz w:val="20"/>
              </w:rPr>
            </w:pPr>
            <w:r>
              <w:rPr>
                <w:noProof/>
              </w:rPr>
              <w:t>19.16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AEEF756" w14:textId="77777777" w:rsidR="00A15990" w:rsidRDefault="00686A62">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C937250"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F953943" w14:textId="77777777" w:rsidR="00A15990" w:rsidRDefault="00686A62">
            <w:pPr>
              <w:pStyle w:val="P68B1DB1-Normal23"/>
              <w:spacing w:after="0"/>
              <w:jc w:val="both"/>
              <w:rPr>
                <w:rFonts w:eastAsia="Calibri" w:cs="Calibri"/>
                <w:noProof/>
                <w:sz w:val="20"/>
              </w:rPr>
            </w:pPr>
            <w:r>
              <w:rPr>
                <w:noProof/>
              </w:rPr>
              <w:t>Servicii publice pentru cetățeni, vizitatori și întreprinderi în ARM</w:t>
            </w:r>
          </w:p>
        </w:tc>
      </w:tr>
      <w:tr w:rsidR="00A15990" w14:paraId="57E07F0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239DC65" w14:textId="77777777" w:rsidR="00A15990" w:rsidRDefault="00686A62">
            <w:pPr>
              <w:pStyle w:val="P68B1DB1-Normal23"/>
              <w:spacing w:after="0"/>
              <w:jc w:val="center"/>
              <w:rPr>
                <w:rFonts w:eastAsia="Calibri" w:cs="Calibri"/>
                <w:noProof/>
                <w:sz w:val="20"/>
              </w:rPr>
            </w:pPr>
            <w:r>
              <w:rPr>
                <w:noProof/>
              </w:rPr>
              <w:t>19.17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0C9036E" w14:textId="77777777" w:rsidR="00A15990" w:rsidRDefault="00686A62">
            <w:pPr>
              <w:pStyle w:val="P68B1DB1-Normal23"/>
              <w:spacing w:after="0"/>
              <w:jc w:val="center"/>
              <w:rPr>
                <w:rFonts w:eastAsia="Calibri" w:cs="Calibri"/>
                <w:noProof/>
                <w:sz w:val="20"/>
              </w:rPr>
            </w:pPr>
            <w:r>
              <w:rPr>
                <w:noProof/>
              </w:rPr>
              <w:t>TD-C19-i05-RAM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A956CA7" w14:textId="77777777" w:rsidR="00A15990" w:rsidRDefault="00686A62">
            <w:pPr>
              <w:pStyle w:val="P68B1DB1-Normal23"/>
              <w:spacing w:after="0"/>
              <w:jc w:val="center"/>
              <w:rPr>
                <w:rFonts w:eastAsia="Calibri" w:cs="Calibri"/>
                <w:noProof/>
                <w:sz w:val="20"/>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71760667" w14:textId="77777777" w:rsidR="00A15990" w:rsidRDefault="00686A62">
            <w:pPr>
              <w:pStyle w:val="P68B1DB1-Normal23"/>
              <w:spacing w:after="0"/>
              <w:jc w:val="both"/>
              <w:rPr>
                <w:rFonts w:eastAsia="Calibri" w:cs="Calibri"/>
                <w:noProof/>
                <w:sz w:val="20"/>
              </w:rPr>
            </w:pPr>
            <w:r>
              <w:rPr>
                <w:noProof/>
              </w:rPr>
              <w:t>Modernizarea infrastructurii critice și a arhitecturii informatice a serviciilor publice în cadrul ARM</w:t>
            </w:r>
          </w:p>
        </w:tc>
      </w:tr>
      <w:tr w:rsidR="00A15990" w14:paraId="50C6DABF"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A76E346" w14:textId="77777777" w:rsidR="00A15990" w:rsidRDefault="00686A62">
            <w:pPr>
              <w:pStyle w:val="P68B1DB1-Normal23"/>
              <w:spacing w:after="0"/>
              <w:jc w:val="center"/>
              <w:rPr>
                <w:rFonts w:eastAsia="Calibri" w:cs="Calibri"/>
                <w:noProof/>
              </w:rPr>
            </w:pPr>
            <w:r>
              <w:rPr>
                <w:noProof/>
              </w:rPr>
              <w:t>19.27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DF9CE32" w14:textId="77777777" w:rsidR="00A15990" w:rsidRDefault="00686A62">
            <w:pPr>
              <w:pStyle w:val="P68B1DB1-Normal23"/>
              <w:spacing w:after="0"/>
              <w:jc w:val="center"/>
              <w:rPr>
                <w:rFonts w:eastAsia="Calibri" w:cs="Calibri"/>
                <w:noProof/>
              </w:rPr>
            </w:pPr>
            <w:r>
              <w:rPr>
                <w:noProof/>
              </w:rPr>
              <w:t>TD-C19-i01</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13681EDF"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C750829" w14:textId="5FBBDF08" w:rsidR="00A15990" w:rsidRDefault="00686A62">
            <w:pPr>
              <w:pStyle w:val="P68B1DB1-Normal23"/>
              <w:spacing w:after="0"/>
              <w:jc w:val="both"/>
              <w:rPr>
                <w:rFonts w:eastAsia="Calibri" w:cs="Calibri"/>
                <w:noProof/>
              </w:rPr>
            </w:pPr>
            <w:r>
              <w:rPr>
                <w:noProof/>
              </w:rPr>
              <w:t>Candidatura cetățenilor</w:t>
            </w:r>
          </w:p>
        </w:tc>
      </w:tr>
      <w:tr w:rsidR="00A15990" w14:paraId="308524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70544E" w14:textId="77777777" w:rsidR="00A15990" w:rsidRDefault="00686A62">
            <w:pPr>
              <w:pStyle w:val="P68B1DB1-Normal23"/>
              <w:spacing w:after="0"/>
              <w:jc w:val="center"/>
              <w:rPr>
                <w:rFonts w:eastAsia="Calibri" w:cs="Calibri"/>
                <w:noProof/>
                <w:sz w:val="20"/>
              </w:rPr>
            </w:pPr>
            <w:r>
              <w:rPr>
                <w:noProof/>
              </w:rPr>
              <w:t>19.34</w:t>
            </w:r>
          </w:p>
        </w:tc>
        <w:tc>
          <w:tcPr>
            <w:tcW w:w="1760" w:type="dxa"/>
            <w:tcBorders>
              <w:top w:val="nil"/>
              <w:left w:val="nil"/>
              <w:bottom w:val="single" w:sz="4" w:space="0" w:color="auto"/>
              <w:right w:val="single" w:sz="4" w:space="0" w:color="auto"/>
            </w:tcBorders>
            <w:shd w:val="clear" w:color="auto" w:fill="C4EFCE"/>
            <w:vAlign w:val="center"/>
            <w:hideMark/>
          </w:tcPr>
          <w:p w14:paraId="5A5F2BD8" w14:textId="77777777" w:rsidR="00A15990" w:rsidRDefault="00686A62">
            <w:pPr>
              <w:pStyle w:val="P68B1DB1-Normal23"/>
              <w:spacing w:after="0"/>
              <w:jc w:val="center"/>
              <w:rPr>
                <w:rFonts w:eastAsia="Calibri" w:cs="Calibri"/>
                <w:noProof/>
                <w:sz w:val="20"/>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1021F2E2" w14:textId="77777777" w:rsidR="00A15990" w:rsidRDefault="00686A62">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16F93C9" w14:textId="77777777" w:rsidR="00A15990" w:rsidRDefault="00686A62">
            <w:pPr>
              <w:pStyle w:val="P68B1DB1-Normal23"/>
              <w:spacing w:after="0"/>
              <w:jc w:val="both"/>
              <w:rPr>
                <w:rFonts w:eastAsia="Calibri" w:cs="Calibri"/>
                <w:noProof/>
                <w:sz w:val="20"/>
              </w:rPr>
            </w:pPr>
            <w:r>
              <w:rPr>
                <w:noProof/>
              </w:rPr>
              <w:t>Lansarea Portalului pentru teritorii inteligente</w:t>
            </w:r>
          </w:p>
        </w:tc>
      </w:tr>
      <w:tr w:rsidR="00A15990" w14:paraId="32DC818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DC72C2" w14:textId="77777777" w:rsidR="00A15990" w:rsidRDefault="00686A62">
            <w:pPr>
              <w:pStyle w:val="P68B1DB1-Normal23"/>
              <w:spacing w:after="0"/>
              <w:jc w:val="center"/>
              <w:rPr>
                <w:rFonts w:eastAsia="Calibri" w:cs="Calibri"/>
                <w:noProof/>
                <w:sz w:val="20"/>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6A2B827C" w14:textId="77777777" w:rsidR="00A15990" w:rsidRDefault="00686A62">
            <w:pPr>
              <w:pStyle w:val="P68B1DB1-Normal23"/>
              <w:spacing w:after="0"/>
              <w:jc w:val="center"/>
              <w:rPr>
                <w:rFonts w:eastAsia="Calibri" w:cs="Calibri"/>
                <w:noProof/>
                <w:sz w:val="20"/>
              </w:rPr>
            </w:pPr>
            <w:r>
              <w:rPr>
                <w:noProof/>
              </w:rPr>
              <w:t>RP-C21-r43</w:t>
            </w:r>
          </w:p>
        </w:tc>
        <w:tc>
          <w:tcPr>
            <w:tcW w:w="1520" w:type="dxa"/>
            <w:tcBorders>
              <w:top w:val="nil"/>
              <w:left w:val="nil"/>
              <w:bottom w:val="single" w:sz="4" w:space="0" w:color="auto"/>
              <w:right w:val="single" w:sz="4" w:space="0" w:color="auto"/>
            </w:tcBorders>
            <w:shd w:val="clear" w:color="auto" w:fill="C4EFCE"/>
            <w:vAlign w:val="center"/>
            <w:hideMark/>
          </w:tcPr>
          <w:p w14:paraId="2239B6F9" w14:textId="77777777" w:rsidR="00A15990" w:rsidRDefault="00686A62">
            <w:pPr>
              <w:pStyle w:val="P68B1DB1-Normal23"/>
              <w:spacing w:after="0"/>
              <w:jc w:val="center"/>
              <w:rPr>
                <w:rFonts w:eastAsia="Calibri" w:cs="Calibri"/>
                <w:noProof/>
                <w:sz w:val="20"/>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B2D45D3" w14:textId="77777777" w:rsidR="00A15990" w:rsidRDefault="00686A62">
            <w:pPr>
              <w:pStyle w:val="P68B1DB1-Normal23"/>
              <w:spacing w:after="0"/>
              <w:jc w:val="both"/>
              <w:rPr>
                <w:rFonts w:eastAsia="Calibri" w:cs="Calibri"/>
                <w:noProof/>
                <w:sz w:val="20"/>
              </w:rPr>
            </w:pPr>
            <w:r>
              <w:rPr>
                <w:noProof/>
              </w:rPr>
              <w:t>Lansarea instrumentului de finanțare pentru combaterea sărăciei energetice</w:t>
            </w:r>
          </w:p>
        </w:tc>
      </w:tr>
      <w:tr w:rsidR="00A15990" w14:paraId="5FD1D2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62C627" w14:textId="77777777" w:rsidR="00A15990" w:rsidRDefault="00686A62">
            <w:pPr>
              <w:pStyle w:val="P68B1DB1-Normal23"/>
              <w:spacing w:after="0"/>
              <w:jc w:val="center"/>
              <w:rPr>
                <w:rFonts w:eastAsia="Calibri" w:cs="Calibri"/>
                <w:noProof/>
                <w:sz w:val="20"/>
              </w:rPr>
            </w:pPr>
            <w:r>
              <w:rPr>
                <w:noProof/>
              </w:rPr>
              <w:t>21.11</w:t>
            </w:r>
          </w:p>
        </w:tc>
        <w:tc>
          <w:tcPr>
            <w:tcW w:w="1760" w:type="dxa"/>
            <w:tcBorders>
              <w:top w:val="nil"/>
              <w:left w:val="nil"/>
              <w:bottom w:val="single" w:sz="4" w:space="0" w:color="auto"/>
              <w:right w:val="single" w:sz="4" w:space="0" w:color="auto"/>
            </w:tcBorders>
            <w:shd w:val="clear" w:color="auto" w:fill="C4EFCE"/>
            <w:vAlign w:val="center"/>
            <w:hideMark/>
          </w:tcPr>
          <w:p w14:paraId="7858AE64" w14:textId="77777777" w:rsidR="00A15990" w:rsidRDefault="00686A62">
            <w:pPr>
              <w:pStyle w:val="P68B1DB1-Normal23"/>
              <w:spacing w:after="0"/>
              <w:jc w:val="center"/>
              <w:rPr>
                <w:rFonts w:eastAsia="Calibri" w:cs="Calibri"/>
                <w:noProof/>
                <w:sz w:val="20"/>
              </w:rPr>
            </w:pPr>
            <w:r>
              <w:rPr>
                <w:noProof/>
              </w:rPr>
              <w:t>RP-C21-r44</w:t>
            </w:r>
          </w:p>
        </w:tc>
        <w:tc>
          <w:tcPr>
            <w:tcW w:w="1520" w:type="dxa"/>
            <w:tcBorders>
              <w:top w:val="nil"/>
              <w:left w:val="nil"/>
              <w:bottom w:val="single" w:sz="4" w:space="0" w:color="auto"/>
              <w:right w:val="single" w:sz="4" w:space="0" w:color="auto"/>
            </w:tcBorders>
            <w:shd w:val="clear" w:color="auto" w:fill="C4EFCE"/>
            <w:vAlign w:val="center"/>
            <w:hideMark/>
          </w:tcPr>
          <w:p w14:paraId="7D272590" w14:textId="77777777" w:rsidR="00A15990" w:rsidRDefault="00686A62">
            <w:pPr>
              <w:pStyle w:val="P68B1DB1-Normal23"/>
              <w:spacing w:after="0"/>
              <w:jc w:val="center"/>
              <w:rPr>
                <w:rFonts w:eastAsia="Calibri" w:cs="Calibri"/>
                <w:noProof/>
                <w:sz w:val="20"/>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1D91399" w14:textId="77777777" w:rsidR="00A15990" w:rsidRDefault="00686A62">
            <w:pPr>
              <w:pStyle w:val="P68B1DB1-Normal23"/>
              <w:spacing w:after="0"/>
              <w:jc w:val="both"/>
              <w:rPr>
                <w:rFonts w:eastAsia="Calibri" w:cs="Calibri"/>
                <w:noProof/>
                <w:sz w:val="20"/>
              </w:rPr>
            </w:pPr>
            <w:r>
              <w:rPr>
                <w:noProof/>
              </w:rPr>
              <w:t>Lansarea Espaços Cidadão Energia</w:t>
            </w:r>
          </w:p>
        </w:tc>
      </w:tr>
      <w:tr w:rsidR="00A15990" w14:paraId="47B732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80F8D5" w14:textId="77777777" w:rsidR="00A15990" w:rsidRDefault="00686A62">
            <w:pPr>
              <w:pStyle w:val="P68B1DB1-Normal23"/>
              <w:spacing w:after="0"/>
              <w:jc w:val="center"/>
              <w:rPr>
                <w:rFonts w:eastAsia="Calibri" w:cs="Calibri"/>
                <w:noProof/>
              </w:rPr>
            </w:pPr>
            <w:r>
              <w:rPr>
                <w:noProof/>
              </w:rPr>
              <w:t>21.31</w:t>
            </w:r>
          </w:p>
        </w:tc>
        <w:tc>
          <w:tcPr>
            <w:tcW w:w="1760" w:type="dxa"/>
            <w:tcBorders>
              <w:top w:val="nil"/>
              <w:left w:val="nil"/>
              <w:bottom w:val="single" w:sz="4" w:space="0" w:color="auto"/>
              <w:right w:val="single" w:sz="4" w:space="0" w:color="auto"/>
            </w:tcBorders>
            <w:shd w:val="clear" w:color="auto" w:fill="C4EFCE"/>
            <w:vAlign w:val="center"/>
            <w:hideMark/>
          </w:tcPr>
          <w:p w14:paraId="61D6C730" w14:textId="5CCAB5AE" w:rsidR="00A15990" w:rsidRDefault="00686A62">
            <w:pPr>
              <w:pStyle w:val="P68B1DB1-Normal23"/>
              <w:spacing w:after="0"/>
              <w:jc w:val="center"/>
              <w:rPr>
                <w:rFonts w:eastAsia="Calibri" w:cs="Calibri"/>
                <w:noProof/>
              </w:rPr>
            </w:pPr>
            <w:r>
              <w:rPr>
                <w:noProof/>
              </w:rPr>
              <w:t>RP-C21-i9</w:t>
            </w:r>
          </w:p>
        </w:tc>
        <w:tc>
          <w:tcPr>
            <w:tcW w:w="1520" w:type="dxa"/>
            <w:tcBorders>
              <w:top w:val="nil"/>
              <w:left w:val="nil"/>
              <w:bottom w:val="single" w:sz="4" w:space="0" w:color="auto"/>
              <w:right w:val="single" w:sz="4" w:space="0" w:color="auto"/>
            </w:tcBorders>
            <w:shd w:val="clear" w:color="auto" w:fill="C4EFCE"/>
            <w:vAlign w:val="center"/>
            <w:hideMark/>
          </w:tcPr>
          <w:p w14:paraId="07A4650B"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8C4F9FD" w14:textId="77777777" w:rsidR="00A15990" w:rsidRDefault="00686A62">
            <w:pPr>
              <w:pStyle w:val="P68B1DB1-Normal23"/>
              <w:spacing w:after="0"/>
              <w:jc w:val="both"/>
              <w:rPr>
                <w:rFonts w:eastAsia="Calibri" w:cs="Calibri"/>
                <w:noProof/>
              </w:rPr>
            </w:pPr>
            <w:r>
              <w:rPr>
                <w:noProof/>
              </w:rPr>
              <w:t>Punerea în funcțiune a modulelor celei de a doua faze a platformei digitale One – Stop -Shop pentru autorizarea și monitorizarea proiectelor privind energia din surse regenerabile și finalizarea procesului de dematerializare a documentelor de autorizare existente.</w:t>
            </w:r>
          </w:p>
        </w:tc>
      </w:tr>
      <w:tr w:rsidR="00A15990" w14:paraId="769B3C1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091AEE"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2A5B0B5B" w14:textId="77777777" w:rsidR="00A15990" w:rsidRDefault="00686A62">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01CF754F"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tcBorders>
              <w:top w:val="nil"/>
              <w:left w:val="nil"/>
              <w:bottom w:val="single" w:sz="4" w:space="0" w:color="auto"/>
              <w:right w:val="single" w:sz="4" w:space="0" w:color="auto"/>
            </w:tcBorders>
            <w:shd w:val="clear" w:color="auto" w:fill="C4EFCE"/>
            <w:vAlign w:val="center"/>
            <w:hideMark/>
          </w:tcPr>
          <w:p w14:paraId="0ED4039C" w14:textId="7BBDA010" w:rsidR="00A15990" w:rsidRDefault="00686A62">
            <w:pPr>
              <w:pStyle w:val="P68B1DB1-Normal25"/>
              <w:spacing w:after="0" w:line="240" w:lineRule="auto"/>
              <w:jc w:val="center"/>
              <w:rPr>
                <w:rFonts w:cs="Calibri"/>
                <w:noProof/>
              </w:rPr>
            </w:pPr>
            <w:r>
              <w:rPr>
                <w:noProof/>
              </w:rPr>
              <w:t xml:space="preserve">1 056 518 233 MIL. </w:t>
            </w:r>
          </w:p>
        </w:tc>
      </w:tr>
    </w:tbl>
    <w:p w14:paraId="3C5CDC41"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517A6F5F"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noua cerere de plată (sprijin nerambursabil): </w:t>
      </w:r>
    </w:p>
    <w:p w14:paraId="610F6D78"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A15990" w14:paraId="0D25D50E" w14:textId="77777777">
        <w:trPr>
          <w:trHeight w:val="509"/>
          <w:tblHeader/>
        </w:trPr>
        <w:tc>
          <w:tcPr>
            <w:tcW w:w="1200" w:type="dxa"/>
            <w:vMerge w:val="restart"/>
            <w:tcBorders>
              <w:top w:val="single" w:sz="4" w:space="0" w:color="auto"/>
              <w:left w:val="single" w:sz="4" w:space="0" w:color="auto"/>
              <w:right w:val="single" w:sz="4" w:space="0" w:color="auto"/>
            </w:tcBorders>
            <w:shd w:val="clear" w:color="auto" w:fill="BDD7EE"/>
            <w:vAlign w:val="center"/>
            <w:hideMark/>
          </w:tcPr>
          <w:p w14:paraId="27E78C42"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tcBorders>
              <w:top w:val="single" w:sz="4" w:space="0" w:color="auto"/>
              <w:left w:val="single" w:sz="4" w:space="0" w:color="auto"/>
              <w:right w:val="single" w:sz="4" w:space="0" w:color="auto"/>
            </w:tcBorders>
            <w:shd w:val="clear" w:color="auto" w:fill="BDD7EE"/>
            <w:vAlign w:val="center"/>
            <w:hideMark/>
          </w:tcPr>
          <w:p w14:paraId="78FC7685"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tcBorders>
              <w:top w:val="single" w:sz="4" w:space="0" w:color="auto"/>
              <w:left w:val="single" w:sz="4" w:space="0" w:color="auto"/>
              <w:right w:val="single" w:sz="4" w:space="0" w:color="auto"/>
            </w:tcBorders>
            <w:shd w:val="clear" w:color="auto" w:fill="BDD7EE"/>
            <w:vAlign w:val="center"/>
            <w:hideMark/>
          </w:tcPr>
          <w:p w14:paraId="085BD584" w14:textId="396E153D"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1ACC8B"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1782CE3F" w14:textId="77777777">
        <w:trPr>
          <w:trHeight w:val="509"/>
          <w:tblHead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F6B246B" w14:textId="77777777" w:rsidR="00A15990" w:rsidRDefault="00A15990">
            <w:pPr>
              <w:spacing w:after="0" w:line="240" w:lineRule="auto"/>
              <w:rPr>
                <w:rFonts w:ascii="Times New Roman" w:eastAsia="Times New Roman" w:hAnsi="Times New Roman" w:cs="Times New Roman"/>
                <w:b/>
                <w:noProof/>
                <w:sz w:val="20"/>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C610EC3" w14:textId="77777777" w:rsidR="00A15990" w:rsidRDefault="00A15990">
            <w:pPr>
              <w:spacing w:after="0" w:line="240" w:lineRule="auto"/>
              <w:rPr>
                <w:rFonts w:ascii="Times New Roman" w:eastAsia="Times New Roman" w:hAnsi="Times New Roman" w:cs="Times New Roman"/>
                <w:b/>
                <w:noProof/>
                <w:sz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2802C47" w14:textId="77777777" w:rsidR="00A15990" w:rsidRDefault="00A15990">
            <w:pPr>
              <w:spacing w:after="0" w:line="240" w:lineRule="auto"/>
              <w:rPr>
                <w:rFonts w:ascii="Times New Roman" w:eastAsia="Times New Roman" w:hAnsi="Times New Roman" w:cs="Times New Roman"/>
                <w:b/>
                <w:noProof/>
                <w:sz w:val="2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4A2F66AD" w14:textId="77777777" w:rsidR="00A15990" w:rsidRDefault="00A15990">
            <w:pPr>
              <w:spacing w:after="0" w:line="240" w:lineRule="auto"/>
              <w:rPr>
                <w:rFonts w:ascii="Times New Roman" w:eastAsia="Times New Roman" w:hAnsi="Times New Roman" w:cs="Times New Roman"/>
                <w:b/>
                <w:noProof/>
                <w:sz w:val="20"/>
              </w:rPr>
            </w:pPr>
          </w:p>
        </w:tc>
      </w:tr>
      <w:tr w:rsidR="00A15990" w14:paraId="22F761C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02F00BC" w14:textId="77777777" w:rsidR="00A15990" w:rsidRDefault="00686A62">
            <w:pPr>
              <w:pStyle w:val="P68B1DB1-Normal23"/>
              <w:spacing w:after="0"/>
              <w:jc w:val="center"/>
              <w:rPr>
                <w:rFonts w:eastAsia="Calibri" w:cs="Calibri"/>
                <w:noProof/>
              </w:rPr>
            </w:pPr>
            <w:r>
              <w:rPr>
                <w:noProof/>
              </w:rPr>
              <w:t>1.9</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763BE876" w14:textId="77777777" w:rsidR="00A15990" w:rsidRDefault="00686A62">
            <w:pPr>
              <w:pStyle w:val="P68B1DB1-Normal23"/>
              <w:spacing w:after="0"/>
              <w:jc w:val="center"/>
              <w:rPr>
                <w:rFonts w:eastAsia="Calibri" w:cs="Calibri"/>
                <w:noProof/>
              </w:rPr>
            </w:pPr>
            <w:r>
              <w:rPr>
                <w:noProof/>
              </w:rPr>
              <w:t>RE-C01-r03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351F199"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9AE68CE" w14:textId="77777777" w:rsidR="00A15990" w:rsidRDefault="00686A62">
            <w:pPr>
              <w:pStyle w:val="P68B1DB1-Normal23"/>
              <w:spacing w:after="0"/>
              <w:jc w:val="both"/>
              <w:rPr>
                <w:rFonts w:eastAsia="Calibri" w:cs="Calibri"/>
                <w:noProof/>
              </w:rPr>
            </w:pPr>
            <w:r>
              <w:rPr>
                <w:noProof/>
              </w:rPr>
              <w:t>Înființarea de noi centre integrate de responsabilitate în spitalele Serviciului Național de Sănătate</w:t>
            </w:r>
          </w:p>
        </w:tc>
      </w:tr>
      <w:tr w:rsidR="00A15990" w14:paraId="5CFF73B6"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076FF3CE" w14:textId="77777777" w:rsidR="00A15990" w:rsidRDefault="00686A62">
            <w:pPr>
              <w:pStyle w:val="P68B1DB1-Normal23"/>
              <w:spacing w:after="0"/>
              <w:jc w:val="center"/>
              <w:rPr>
                <w:rFonts w:eastAsia="Calibri" w:cs="Calibri"/>
                <w:noProof/>
              </w:rPr>
            </w:pPr>
            <w:r>
              <w:rPr>
                <w:noProof/>
              </w:rPr>
              <w:t>1.21</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6CE8E2C0" w14:textId="77777777" w:rsidR="00A15990" w:rsidRDefault="00686A62">
            <w:pPr>
              <w:pStyle w:val="P68B1DB1-Normal23"/>
              <w:spacing w:after="0"/>
              <w:jc w:val="center"/>
              <w:rPr>
                <w:rFonts w:eastAsia="Calibri" w:cs="Calibri"/>
                <w:noProof/>
              </w:rPr>
            </w:pPr>
            <w:r>
              <w:rPr>
                <w:noProof/>
              </w:rPr>
              <w:t>RE-C01-i02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4FD371"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3A6F5AE9" w14:textId="77777777" w:rsidR="00A15990" w:rsidRDefault="00686A62">
            <w:pPr>
              <w:pStyle w:val="P68B1DB1-Normal23"/>
              <w:spacing w:after="0"/>
              <w:jc w:val="both"/>
              <w:rPr>
                <w:rFonts w:eastAsia="Calibri" w:cs="Calibri"/>
                <w:noProof/>
              </w:rPr>
            </w:pPr>
            <w:r>
              <w:rPr>
                <w:noProof/>
              </w:rPr>
              <w:t>Consolidarea capacității de răspuns a rețelelor naționale de servicii integrate de îngrijire continuă și de îngrijire paliativă în cadrul îngrijirii spitalicești și ambulatorii</w:t>
            </w:r>
          </w:p>
        </w:tc>
      </w:tr>
      <w:tr w:rsidR="00A15990" w14:paraId="1E600A4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F06E981" w14:textId="77777777" w:rsidR="00A15990" w:rsidRDefault="00686A62">
            <w:pPr>
              <w:pStyle w:val="P68B1DB1-Normal23"/>
              <w:spacing w:after="0"/>
              <w:jc w:val="center"/>
              <w:rPr>
                <w:rFonts w:eastAsia="Calibri" w:cs="Calibri"/>
                <w:noProof/>
              </w:rPr>
            </w:pPr>
            <w:r>
              <w:rPr>
                <w:noProof/>
              </w:rPr>
              <w:t>1.23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738D247" w14:textId="77777777" w:rsidR="00A15990" w:rsidRDefault="00686A62">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9E7D485"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0DD0CD48" w14:textId="77777777" w:rsidR="00A15990" w:rsidRDefault="00686A62">
            <w:pPr>
              <w:pStyle w:val="P68B1DB1-Normal23"/>
              <w:spacing w:after="0"/>
              <w:jc w:val="both"/>
              <w:rPr>
                <w:rFonts w:eastAsia="Calibri" w:cs="Calibri"/>
                <w:noProof/>
              </w:rPr>
            </w:pPr>
            <w:r>
              <w:rPr>
                <w:noProof/>
              </w:rPr>
              <w:t>Renovarea unităților și echipamentelor de psihiatrie criminalistică</w:t>
            </w:r>
          </w:p>
        </w:tc>
      </w:tr>
      <w:tr w:rsidR="00A15990" w14:paraId="5216BA78"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57694A3" w14:textId="77777777" w:rsidR="00A15990" w:rsidRDefault="00686A62">
            <w:pPr>
              <w:pStyle w:val="P68B1DB1-Normal23"/>
              <w:spacing w:after="0"/>
              <w:jc w:val="center"/>
              <w:rPr>
                <w:rFonts w:eastAsia="Calibri" w:cs="Calibri"/>
                <w:noProof/>
              </w:rPr>
            </w:pPr>
            <w:r>
              <w:rPr>
                <w:noProof/>
              </w:rPr>
              <w:t>1.25</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1312B6D" w14:textId="77777777" w:rsidR="00A15990" w:rsidRDefault="00686A62">
            <w:pPr>
              <w:pStyle w:val="P68B1DB1-Normal23"/>
              <w:spacing w:after="0"/>
              <w:jc w:val="center"/>
              <w:rPr>
                <w:rFonts w:eastAsia="Calibri" w:cs="Calibri"/>
                <w:noProof/>
              </w:rPr>
            </w:pPr>
            <w:r>
              <w:rPr>
                <w:noProof/>
              </w:rPr>
              <w:t>RE-C01-i03</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65BB1E4" w14:textId="77777777" w:rsidR="00A15990" w:rsidRDefault="00686A62">
            <w:pPr>
              <w:pStyle w:val="P68B1DB1-Normal23"/>
              <w:spacing w:after="0"/>
              <w:jc w:val="center"/>
              <w:rPr>
                <w:rFonts w:eastAsia="Calibri" w:cs="Calibri"/>
                <w:noProof/>
              </w:rPr>
            </w:pPr>
            <w:r>
              <w:rPr>
                <w:noProof/>
              </w:rPr>
              <w:t>M</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26C441A2" w14:textId="77777777" w:rsidR="00A15990" w:rsidRDefault="00686A62">
            <w:pPr>
              <w:pStyle w:val="P68B1DB1-Normal23"/>
              <w:spacing w:after="0"/>
              <w:jc w:val="both"/>
              <w:rPr>
                <w:rFonts w:eastAsia="Calibri" w:cs="Calibri"/>
                <w:noProof/>
              </w:rPr>
            </w:pPr>
            <w:r>
              <w:rPr>
                <w:noProof/>
              </w:rPr>
              <w:t>Finalizarea consolidării rețelei de îngrijire a sănătății mintale</w:t>
            </w:r>
          </w:p>
        </w:tc>
      </w:tr>
      <w:tr w:rsidR="00A15990" w14:paraId="45D850E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CFC6688" w14:textId="77777777" w:rsidR="00A15990" w:rsidRDefault="00686A62">
            <w:pPr>
              <w:pStyle w:val="P68B1DB1-Normal23"/>
              <w:spacing w:after="0"/>
              <w:jc w:val="center"/>
              <w:rPr>
                <w:rFonts w:eastAsia="Calibri" w:cs="Calibri"/>
                <w:noProof/>
              </w:rPr>
            </w:pPr>
            <w:r>
              <w:rPr>
                <w:noProof/>
              </w:rPr>
              <w:t>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9F6608D" w14:textId="77777777" w:rsidR="00A15990" w:rsidRDefault="00686A62">
            <w:pPr>
              <w:pStyle w:val="P68B1DB1-Normal23"/>
              <w:spacing w:after="0"/>
              <w:jc w:val="center"/>
              <w:rPr>
                <w:rFonts w:eastAsia="Calibri" w:cs="Calibri"/>
                <w:noProof/>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BE2BF56"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54D33655" w14:textId="77777777" w:rsidR="00A15990" w:rsidRDefault="00686A62">
            <w:pPr>
              <w:pStyle w:val="P68B1DB1-Normal23"/>
              <w:spacing w:after="0"/>
              <w:jc w:val="both"/>
              <w:rPr>
                <w:rFonts w:eastAsia="Calibri" w:cs="Calibri"/>
                <w:noProof/>
              </w:rPr>
            </w:pPr>
            <w:r>
              <w:rPr>
                <w:noProof/>
              </w:rPr>
              <w:t>Creșterea numărului de locuri în serviciile integrate de îngrijire continuă în cadrul serviciului regional de sănătate din Madeira</w:t>
            </w:r>
          </w:p>
        </w:tc>
      </w:tr>
      <w:tr w:rsidR="00A15990" w14:paraId="307E282C"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tcPr>
          <w:p w14:paraId="16A417E4" w14:textId="77777777" w:rsidR="00A15990" w:rsidRDefault="00686A62">
            <w:pPr>
              <w:pStyle w:val="P68B1DB1-Normal23"/>
              <w:spacing w:after="0"/>
              <w:jc w:val="center"/>
              <w:rPr>
                <w:rFonts w:eastAsia="Calibri" w:cs="Calibri"/>
                <w:noProof/>
              </w:rPr>
            </w:pPr>
            <w:r>
              <w:rPr>
                <w:noProof/>
              </w:rPr>
              <w:t>1.30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3035503C" w14:textId="77777777" w:rsidR="00A15990" w:rsidRDefault="00686A62">
            <w:pPr>
              <w:pStyle w:val="P68B1DB1-Normal8"/>
              <w:spacing w:after="0"/>
              <w:jc w:val="center"/>
              <w:rPr>
                <w:rFonts w:eastAsia="Calibri" w:cs="Calibri"/>
                <w:noProof/>
                <w:sz w:val="18"/>
              </w:rPr>
            </w:pPr>
            <w:r>
              <w:rPr>
                <w:noProof/>
              </w:rPr>
              <w:t>RE-C01-i05-RAM</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0853CF70"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1249B3A9" w14:textId="77777777" w:rsidR="00A15990" w:rsidRDefault="00686A62">
            <w:pPr>
              <w:pStyle w:val="P68B1DB1-Normal8"/>
              <w:spacing w:after="0"/>
              <w:jc w:val="both"/>
              <w:rPr>
                <w:rFonts w:eastAsia="Calibri" w:cs="Calibri"/>
                <w:noProof/>
                <w:sz w:val="18"/>
              </w:rPr>
            </w:pPr>
            <w:r>
              <w:rPr>
                <w:noProof/>
              </w:rPr>
              <w:t>Creșterea numărului de locuri în serviciile integrate de îngrijire continuă în cadrul serviciului regional de sănătate din Madeira</w:t>
            </w:r>
          </w:p>
        </w:tc>
      </w:tr>
      <w:tr w:rsidR="00A15990" w14:paraId="25064C9E"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2D7E84A" w14:textId="77777777" w:rsidR="00A15990" w:rsidRDefault="00686A62">
            <w:pPr>
              <w:pStyle w:val="P68B1DB1-Normal23"/>
              <w:spacing w:after="0"/>
              <w:jc w:val="center"/>
              <w:rPr>
                <w:rFonts w:eastAsia="Calibri" w:cs="Calibri"/>
                <w:noProof/>
              </w:rPr>
            </w:pPr>
            <w:r>
              <w:rPr>
                <w:noProof/>
              </w:rPr>
              <w:t>1.36</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FF74396" w14:textId="77777777" w:rsidR="00A15990" w:rsidRDefault="00686A62">
            <w:pPr>
              <w:pStyle w:val="P68B1DB1-Normal23"/>
              <w:spacing w:after="0"/>
              <w:jc w:val="center"/>
              <w:rPr>
                <w:rFonts w:eastAsia="Calibri" w:cs="Calibri"/>
                <w:noProof/>
              </w:rPr>
            </w:pPr>
            <w:r>
              <w:rPr>
                <w:noProof/>
              </w:rPr>
              <w:t>RE-C01-i08-RAA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2BE8B021"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hideMark/>
          </w:tcPr>
          <w:p w14:paraId="18B9A547" w14:textId="77777777" w:rsidR="00A15990" w:rsidRDefault="00686A62">
            <w:pPr>
              <w:pStyle w:val="P68B1DB1-Normal23"/>
              <w:spacing w:after="0"/>
              <w:jc w:val="both"/>
              <w:rPr>
                <w:rFonts w:eastAsia="Calibri" w:cs="Calibri"/>
                <w:noProof/>
              </w:rPr>
            </w:pPr>
            <w:r>
              <w:rPr>
                <w:noProof/>
              </w:rPr>
              <w:t>Acces sporit la portalul utilizatorilor serviciului regional de sănătate din Azore</w:t>
            </w:r>
          </w:p>
        </w:tc>
      </w:tr>
      <w:tr w:rsidR="00A15990" w14:paraId="3A971B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B6093C" w14:textId="77777777" w:rsidR="00A15990" w:rsidRDefault="00686A62">
            <w:pPr>
              <w:pStyle w:val="P68B1DB1-Normal23"/>
              <w:spacing w:after="0"/>
              <w:jc w:val="center"/>
              <w:rPr>
                <w:rFonts w:eastAsia="Calibri" w:cs="Calibri"/>
                <w:noProof/>
              </w:rPr>
            </w:pPr>
            <w:r>
              <w:rPr>
                <w:noProof/>
              </w:rPr>
              <w:t>1.38</w:t>
            </w:r>
          </w:p>
        </w:tc>
        <w:tc>
          <w:tcPr>
            <w:tcW w:w="1760" w:type="dxa"/>
            <w:tcBorders>
              <w:top w:val="nil"/>
              <w:left w:val="nil"/>
              <w:bottom w:val="single" w:sz="4" w:space="0" w:color="auto"/>
              <w:right w:val="single" w:sz="4" w:space="0" w:color="auto"/>
            </w:tcBorders>
            <w:shd w:val="clear" w:color="auto" w:fill="C4EFCE"/>
            <w:vAlign w:val="center"/>
            <w:hideMark/>
          </w:tcPr>
          <w:p w14:paraId="4B8D39B5" w14:textId="77777777" w:rsidR="00A15990" w:rsidRDefault="00686A62">
            <w:pPr>
              <w:pStyle w:val="P68B1DB1-Normal23"/>
              <w:spacing w:after="0"/>
              <w:jc w:val="center"/>
              <w:rPr>
                <w:rFonts w:eastAsia="Calibri" w:cs="Calibri"/>
                <w:noProof/>
              </w:rPr>
            </w:pPr>
            <w:r>
              <w:rPr>
                <w:noProof/>
              </w:rPr>
              <w:t>RE-C01-i09</w:t>
            </w:r>
          </w:p>
        </w:tc>
        <w:tc>
          <w:tcPr>
            <w:tcW w:w="1520" w:type="dxa"/>
            <w:tcBorders>
              <w:top w:val="nil"/>
              <w:left w:val="nil"/>
              <w:bottom w:val="single" w:sz="4" w:space="0" w:color="auto"/>
              <w:right w:val="single" w:sz="4" w:space="0" w:color="auto"/>
            </w:tcBorders>
            <w:shd w:val="clear" w:color="auto" w:fill="C4EFCE"/>
            <w:vAlign w:val="center"/>
            <w:hideMark/>
          </w:tcPr>
          <w:p w14:paraId="03EBB8C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1CBD4E" w14:textId="77777777" w:rsidR="00A15990" w:rsidRDefault="00686A62">
            <w:pPr>
              <w:pStyle w:val="P68B1DB1-Normal23"/>
              <w:spacing w:after="0"/>
              <w:jc w:val="both"/>
              <w:rPr>
                <w:rFonts w:eastAsia="Calibri" w:cs="Calibri"/>
                <w:noProof/>
              </w:rPr>
            </w:pPr>
            <w:r>
              <w:rPr>
                <w:noProof/>
              </w:rPr>
              <w:t>Finalizarea punerii în aplicare în școli a programelor „School Sports Community” și „School Sports on Wheels”</w:t>
            </w:r>
          </w:p>
        </w:tc>
      </w:tr>
      <w:tr w:rsidR="00A15990" w14:paraId="6B7A456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010025" w14:textId="77777777" w:rsidR="00A15990" w:rsidRDefault="00686A62">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0B6F6AFA" w14:textId="77777777" w:rsidR="00A15990" w:rsidRDefault="00686A62">
            <w:pPr>
              <w:pStyle w:val="P68B1DB1-Normal23"/>
              <w:spacing w:after="0"/>
              <w:jc w:val="center"/>
              <w:rPr>
                <w:rFonts w:eastAsia="Calibri" w:cs="Calibri"/>
                <w:noProof/>
              </w:rPr>
            </w:pPr>
            <w:r>
              <w:rPr>
                <w:noProof/>
              </w:rPr>
              <w:t>RE-C01-i09</w:t>
            </w:r>
          </w:p>
        </w:tc>
        <w:tc>
          <w:tcPr>
            <w:tcW w:w="1520" w:type="dxa"/>
            <w:tcBorders>
              <w:top w:val="nil"/>
              <w:left w:val="nil"/>
              <w:bottom w:val="single" w:sz="4" w:space="0" w:color="auto"/>
              <w:right w:val="single" w:sz="4" w:space="0" w:color="auto"/>
            </w:tcBorders>
            <w:shd w:val="clear" w:color="auto" w:fill="C4EFCE"/>
            <w:vAlign w:val="center"/>
            <w:hideMark/>
          </w:tcPr>
          <w:p w14:paraId="4C67C300"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3B0AA18" w14:textId="77777777" w:rsidR="00A15990" w:rsidRDefault="00686A62">
            <w:pPr>
              <w:pStyle w:val="P68B1DB1-Normal23"/>
              <w:spacing w:after="0"/>
              <w:jc w:val="both"/>
              <w:rPr>
                <w:rFonts w:eastAsia="Calibri" w:cs="Calibri"/>
                <w:noProof/>
              </w:rPr>
            </w:pPr>
            <w:r>
              <w:rPr>
                <w:noProof/>
              </w:rPr>
              <w:t>Lansarea campaniei naționale pentru sistemul universal de asistență pentru viața activă și platforma tehnologică aferentă</w:t>
            </w:r>
          </w:p>
        </w:tc>
      </w:tr>
      <w:tr w:rsidR="00A15990" w14:paraId="4976BF8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C5E686" w14:textId="77777777" w:rsidR="00A15990" w:rsidRDefault="00686A62">
            <w:pPr>
              <w:pStyle w:val="P68B1DB1-Normal23"/>
              <w:spacing w:after="0"/>
              <w:jc w:val="center"/>
              <w:rPr>
                <w:rFonts w:eastAsia="Calibri" w:cs="Calibri"/>
                <w:noProof/>
              </w:rPr>
            </w:pPr>
            <w:r>
              <w:rPr>
                <w:noProof/>
              </w:rPr>
              <w:t>2.17</w:t>
            </w:r>
          </w:p>
        </w:tc>
        <w:tc>
          <w:tcPr>
            <w:tcW w:w="1760" w:type="dxa"/>
            <w:tcBorders>
              <w:top w:val="nil"/>
              <w:left w:val="nil"/>
              <w:bottom w:val="single" w:sz="4" w:space="0" w:color="auto"/>
              <w:right w:val="single" w:sz="4" w:space="0" w:color="auto"/>
            </w:tcBorders>
            <w:shd w:val="clear" w:color="auto" w:fill="C4EFCE"/>
            <w:vAlign w:val="center"/>
            <w:hideMark/>
          </w:tcPr>
          <w:p w14:paraId="5F2975A0" w14:textId="77777777" w:rsidR="00A15990" w:rsidRDefault="00686A62">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549257E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D42745D" w14:textId="77777777" w:rsidR="00A15990" w:rsidRDefault="00686A62">
            <w:pPr>
              <w:pStyle w:val="P68B1DB1-Normal23"/>
              <w:spacing w:after="0"/>
              <w:jc w:val="both"/>
              <w:rPr>
                <w:rFonts w:eastAsia="Calibri" w:cs="Calibri"/>
                <w:noProof/>
              </w:rPr>
            </w:pPr>
            <w:r>
              <w:rPr>
                <w:noProof/>
              </w:rPr>
              <w:t>Intervenții în parcul imobiliar public al Regiunii Autonome Azore – construcția de clădiri</w:t>
            </w:r>
          </w:p>
        </w:tc>
      </w:tr>
      <w:tr w:rsidR="00A15990" w14:paraId="48998A7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9F1454" w14:textId="77777777" w:rsidR="00A15990" w:rsidRDefault="00686A62">
            <w:pPr>
              <w:pStyle w:val="P68B1DB1-Normal23"/>
              <w:spacing w:after="0"/>
              <w:jc w:val="center"/>
              <w:rPr>
                <w:rFonts w:eastAsia="Calibri" w:cs="Calibri"/>
                <w:noProof/>
              </w:rPr>
            </w:pPr>
            <w:r>
              <w:rPr>
                <w:noProof/>
              </w:rPr>
              <w:t>2.18</w:t>
            </w:r>
          </w:p>
        </w:tc>
        <w:tc>
          <w:tcPr>
            <w:tcW w:w="1760" w:type="dxa"/>
            <w:tcBorders>
              <w:top w:val="nil"/>
              <w:left w:val="nil"/>
              <w:bottom w:val="single" w:sz="4" w:space="0" w:color="auto"/>
              <w:right w:val="single" w:sz="4" w:space="0" w:color="auto"/>
            </w:tcBorders>
            <w:shd w:val="clear" w:color="auto" w:fill="C4EFCE"/>
            <w:vAlign w:val="center"/>
            <w:hideMark/>
          </w:tcPr>
          <w:p w14:paraId="50DBDCBE" w14:textId="77777777" w:rsidR="00A15990" w:rsidRDefault="00686A62">
            <w:pPr>
              <w:pStyle w:val="P68B1DB1-Normal23"/>
              <w:spacing w:after="0"/>
              <w:jc w:val="center"/>
              <w:rPr>
                <w:rFonts w:eastAsia="Calibri" w:cs="Calibri"/>
                <w:noProof/>
              </w:rPr>
            </w:pPr>
            <w:r>
              <w:rPr>
                <w:noProof/>
              </w:rPr>
              <w:t>RE-C02-i04-RAA</w:t>
            </w:r>
          </w:p>
        </w:tc>
        <w:tc>
          <w:tcPr>
            <w:tcW w:w="1520" w:type="dxa"/>
            <w:tcBorders>
              <w:top w:val="nil"/>
              <w:left w:val="nil"/>
              <w:bottom w:val="single" w:sz="4" w:space="0" w:color="auto"/>
              <w:right w:val="single" w:sz="4" w:space="0" w:color="auto"/>
            </w:tcBorders>
            <w:shd w:val="clear" w:color="auto" w:fill="C4EFCE"/>
            <w:vAlign w:val="center"/>
            <w:hideMark/>
          </w:tcPr>
          <w:p w14:paraId="1DB0332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A80A23" w14:textId="77777777" w:rsidR="00A15990" w:rsidRDefault="00686A62">
            <w:pPr>
              <w:pStyle w:val="P68B1DB1-Normal23"/>
              <w:spacing w:after="0"/>
              <w:jc w:val="both"/>
              <w:rPr>
                <w:rFonts w:eastAsia="Calibri" w:cs="Calibri"/>
                <w:noProof/>
              </w:rPr>
            </w:pPr>
            <w:r>
              <w:rPr>
                <w:noProof/>
              </w:rPr>
              <w:t>Intervenții în fondul locativ public al Regiunii Autonome Azore – renovare</w:t>
            </w:r>
          </w:p>
        </w:tc>
      </w:tr>
      <w:tr w:rsidR="00A15990" w14:paraId="42BE288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613E49" w14:textId="77777777" w:rsidR="00A15990" w:rsidRDefault="00686A62">
            <w:pPr>
              <w:pStyle w:val="P68B1DB1-Normal23"/>
              <w:spacing w:after="0"/>
              <w:jc w:val="center"/>
              <w:rPr>
                <w:rFonts w:eastAsia="Calibri" w:cs="Calibri"/>
                <w:noProof/>
              </w:rPr>
            </w:pPr>
            <w:r>
              <w:rPr>
                <w:noProof/>
              </w:rPr>
              <w:t>2.31</w:t>
            </w:r>
          </w:p>
        </w:tc>
        <w:tc>
          <w:tcPr>
            <w:tcW w:w="1760" w:type="dxa"/>
            <w:tcBorders>
              <w:top w:val="nil"/>
              <w:left w:val="nil"/>
              <w:bottom w:val="single" w:sz="4" w:space="0" w:color="auto"/>
              <w:right w:val="single" w:sz="4" w:space="0" w:color="auto"/>
            </w:tcBorders>
            <w:shd w:val="clear" w:color="auto" w:fill="C4EFCE"/>
            <w:vAlign w:val="center"/>
            <w:hideMark/>
          </w:tcPr>
          <w:p w14:paraId="3E9F4E90" w14:textId="77777777" w:rsidR="00A15990" w:rsidRDefault="00686A62">
            <w:pPr>
              <w:pStyle w:val="P68B1DB1-Normal23"/>
              <w:spacing w:after="0"/>
              <w:jc w:val="center"/>
              <w:rPr>
                <w:rFonts w:eastAsia="Calibri" w:cs="Calibri"/>
                <w:noProof/>
              </w:rPr>
            </w:pPr>
            <w:r>
              <w:rPr>
                <w:noProof/>
              </w:rPr>
              <w:t>RE-C02-i08-RAA</w:t>
            </w:r>
          </w:p>
        </w:tc>
        <w:tc>
          <w:tcPr>
            <w:tcW w:w="1520" w:type="dxa"/>
            <w:tcBorders>
              <w:top w:val="nil"/>
              <w:left w:val="nil"/>
              <w:bottom w:val="single" w:sz="4" w:space="0" w:color="auto"/>
              <w:right w:val="single" w:sz="4" w:space="0" w:color="auto"/>
            </w:tcBorders>
            <w:shd w:val="clear" w:color="auto" w:fill="C4EFCE"/>
            <w:vAlign w:val="center"/>
            <w:hideMark/>
          </w:tcPr>
          <w:p w14:paraId="0095AE3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48A3BC" w14:textId="77777777" w:rsidR="00A15990" w:rsidRDefault="00686A62">
            <w:pPr>
              <w:pStyle w:val="P68B1DB1-Normal23"/>
              <w:spacing w:after="0"/>
              <w:jc w:val="both"/>
              <w:rPr>
                <w:rFonts w:eastAsia="Calibri" w:cs="Calibri"/>
                <w:noProof/>
              </w:rPr>
            </w:pPr>
            <w:r>
              <w:rPr>
                <w:noProof/>
              </w:rPr>
              <w:t>Consolidarea fondului de locuințe sociale din Regiunea Autonomă Azore – locuințe construite</w:t>
            </w:r>
          </w:p>
        </w:tc>
      </w:tr>
      <w:tr w:rsidR="00A15990" w14:paraId="4267AE6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1425C875" w14:textId="77777777" w:rsidR="00A15990" w:rsidRDefault="00686A62">
            <w:pPr>
              <w:pStyle w:val="P68B1DB1-Normal23"/>
              <w:spacing w:after="0"/>
              <w:jc w:val="center"/>
              <w:rPr>
                <w:rFonts w:eastAsia="Calibri" w:cs="Calibri"/>
                <w:noProof/>
              </w:rPr>
            </w:pPr>
            <w:r>
              <w:rPr>
                <w:noProof/>
              </w:rPr>
              <w:t>3.7</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0887E09D" w14:textId="77777777" w:rsidR="00A15990" w:rsidRDefault="00686A62">
            <w:pPr>
              <w:pStyle w:val="P68B1DB1-Normal23"/>
              <w:spacing w:after="0"/>
              <w:jc w:val="center"/>
              <w:rPr>
                <w:rFonts w:eastAsia="Calibri" w:cs="Calibri"/>
                <w:noProof/>
              </w:rPr>
            </w:pPr>
            <w:r>
              <w:rPr>
                <w:noProof/>
              </w:rPr>
              <w:t>RE-C03-i02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5FC08BAC"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BB3EDD" w14:textId="77777777" w:rsidR="00A15990" w:rsidRDefault="00686A62">
            <w:pPr>
              <w:pStyle w:val="P68B1DB1-Normal23"/>
              <w:spacing w:after="0"/>
              <w:jc w:val="both"/>
              <w:rPr>
                <w:rFonts w:eastAsia="Calibri" w:cs="Calibri"/>
                <w:noProof/>
              </w:rPr>
            </w:pPr>
            <w:r>
              <w:rPr>
                <w:noProof/>
              </w:rPr>
              <w:t>Locuințe cu accesibilitate îmbunătățită pentru persoanele cu mobilitate redusă</w:t>
            </w:r>
          </w:p>
        </w:tc>
      </w:tr>
      <w:tr w:rsidR="00A15990" w14:paraId="596C5FB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E999017" w14:textId="77777777" w:rsidR="00A15990" w:rsidRDefault="00686A62">
            <w:pPr>
              <w:pStyle w:val="P68B1DB1-Normal23"/>
              <w:spacing w:after="0"/>
              <w:jc w:val="center"/>
              <w:rPr>
                <w:rFonts w:eastAsia="Calibri" w:cs="Calibri"/>
                <w:noProof/>
              </w:rPr>
            </w:pPr>
            <w:r>
              <w:rPr>
                <w:noProof/>
              </w:rPr>
              <w:t>3.8</w:t>
            </w:r>
          </w:p>
        </w:tc>
        <w:tc>
          <w:tcPr>
            <w:tcW w:w="1760" w:type="dxa"/>
            <w:tcBorders>
              <w:top w:val="nil"/>
              <w:left w:val="nil"/>
              <w:bottom w:val="single" w:sz="4" w:space="0" w:color="auto"/>
              <w:right w:val="single" w:sz="4" w:space="0" w:color="auto"/>
            </w:tcBorders>
            <w:shd w:val="clear" w:color="auto" w:fill="C4EFCE"/>
            <w:vAlign w:val="center"/>
            <w:hideMark/>
          </w:tcPr>
          <w:p w14:paraId="04397576" w14:textId="77777777" w:rsidR="00A15990" w:rsidRDefault="00686A62">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2B5BDEB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7B40A8" w14:textId="77777777" w:rsidR="00A15990" w:rsidRDefault="00686A62">
            <w:pPr>
              <w:pStyle w:val="P68B1DB1-Normal23"/>
              <w:spacing w:after="0"/>
              <w:jc w:val="both"/>
              <w:rPr>
                <w:rFonts w:eastAsia="Calibri" w:cs="Calibri"/>
                <w:noProof/>
              </w:rPr>
            </w:pPr>
            <w:r>
              <w:rPr>
                <w:noProof/>
              </w:rPr>
              <w:t>Spațiu public cu o accesibilitate îmbunătățită pentru persoanele cu mobilitate redusă</w:t>
            </w:r>
          </w:p>
        </w:tc>
      </w:tr>
      <w:tr w:rsidR="00A15990" w14:paraId="6076F1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A1FFD3" w14:textId="77777777" w:rsidR="00A15990" w:rsidRDefault="00686A62">
            <w:pPr>
              <w:pStyle w:val="P68B1DB1-Normal23"/>
              <w:spacing w:after="0"/>
              <w:jc w:val="center"/>
              <w:rPr>
                <w:rFonts w:eastAsia="Calibri" w:cs="Calibri"/>
                <w:noProof/>
              </w:rPr>
            </w:pPr>
            <w:r>
              <w:rPr>
                <w:noProof/>
              </w:rPr>
              <w:t>3.9</w:t>
            </w:r>
          </w:p>
        </w:tc>
        <w:tc>
          <w:tcPr>
            <w:tcW w:w="1760" w:type="dxa"/>
            <w:tcBorders>
              <w:top w:val="nil"/>
              <w:left w:val="nil"/>
              <w:bottom w:val="single" w:sz="4" w:space="0" w:color="auto"/>
              <w:right w:val="single" w:sz="4" w:space="0" w:color="auto"/>
            </w:tcBorders>
            <w:shd w:val="clear" w:color="auto" w:fill="C4EFCE"/>
            <w:vAlign w:val="center"/>
            <w:hideMark/>
          </w:tcPr>
          <w:p w14:paraId="3AE00889" w14:textId="77777777" w:rsidR="00A15990" w:rsidRDefault="00686A62">
            <w:pPr>
              <w:pStyle w:val="P68B1DB1-Normal23"/>
              <w:spacing w:after="0"/>
              <w:jc w:val="center"/>
              <w:rPr>
                <w:rFonts w:eastAsia="Calibri" w:cs="Calibri"/>
                <w:noProof/>
              </w:rPr>
            </w:pPr>
            <w:r>
              <w:rPr>
                <w:noProof/>
              </w:rPr>
              <w:t>RE-C03-i02</w:t>
            </w:r>
          </w:p>
        </w:tc>
        <w:tc>
          <w:tcPr>
            <w:tcW w:w="1520" w:type="dxa"/>
            <w:tcBorders>
              <w:top w:val="nil"/>
              <w:left w:val="nil"/>
              <w:bottom w:val="single" w:sz="4" w:space="0" w:color="auto"/>
              <w:right w:val="single" w:sz="4" w:space="0" w:color="auto"/>
            </w:tcBorders>
            <w:shd w:val="clear" w:color="auto" w:fill="C4EFCE"/>
            <w:vAlign w:val="center"/>
            <w:hideMark/>
          </w:tcPr>
          <w:p w14:paraId="3FB4432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818278" w14:textId="77777777" w:rsidR="00A15990" w:rsidRDefault="00686A62">
            <w:pPr>
              <w:pStyle w:val="P68B1DB1-Normal23"/>
              <w:spacing w:after="0"/>
              <w:jc w:val="both"/>
              <w:rPr>
                <w:rFonts w:eastAsia="Calibri" w:cs="Calibri"/>
                <w:noProof/>
              </w:rPr>
            </w:pPr>
            <w:r>
              <w:rPr>
                <w:noProof/>
              </w:rPr>
              <w:t>Servicii publice cu acces îmbunătățit pentru persoanele cu mobilitate redusă</w:t>
            </w:r>
          </w:p>
        </w:tc>
      </w:tr>
      <w:tr w:rsidR="00A15990" w14:paraId="41C932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E259A36" w14:textId="77777777" w:rsidR="00A15990" w:rsidRDefault="00686A62">
            <w:pPr>
              <w:pStyle w:val="P68B1DB1-Normal23"/>
              <w:spacing w:after="0"/>
              <w:jc w:val="center"/>
              <w:rPr>
                <w:rFonts w:eastAsia="Calibri" w:cs="Calibri"/>
                <w:noProof/>
              </w:rPr>
            </w:pPr>
            <w:r>
              <w:rPr>
                <w:noProof/>
              </w:rPr>
              <w:t>3.10</w:t>
            </w:r>
          </w:p>
        </w:tc>
        <w:tc>
          <w:tcPr>
            <w:tcW w:w="1760" w:type="dxa"/>
            <w:tcBorders>
              <w:top w:val="nil"/>
              <w:left w:val="nil"/>
              <w:bottom w:val="single" w:sz="4" w:space="0" w:color="auto"/>
              <w:right w:val="single" w:sz="4" w:space="0" w:color="auto"/>
            </w:tcBorders>
            <w:shd w:val="clear" w:color="auto" w:fill="C4EFCE"/>
            <w:vAlign w:val="center"/>
            <w:hideMark/>
          </w:tcPr>
          <w:p w14:paraId="1399DCCA" w14:textId="77777777" w:rsidR="00A15990" w:rsidRDefault="00686A62">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10B7FCB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65B477" w14:textId="77777777" w:rsidR="00A15990" w:rsidRDefault="00686A62">
            <w:pPr>
              <w:pStyle w:val="P68B1DB1-Normal23"/>
              <w:spacing w:after="0"/>
              <w:jc w:val="both"/>
              <w:rPr>
                <w:rFonts w:eastAsia="Calibri" w:cs="Calibri"/>
                <w:noProof/>
              </w:rPr>
            </w:pPr>
            <w:r>
              <w:rPr>
                <w:noProof/>
              </w:rPr>
              <w:t xml:space="preserve">Locuri noi și reabilitate în centre de îngrijire rezidențiale și nerezidențiale </w:t>
            </w:r>
          </w:p>
        </w:tc>
      </w:tr>
      <w:tr w:rsidR="00A15990" w14:paraId="66BF7C5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EB03473" w14:textId="77777777" w:rsidR="00A15990" w:rsidRDefault="00686A62">
            <w:pPr>
              <w:pStyle w:val="P68B1DB1-Normal23"/>
              <w:spacing w:after="0"/>
              <w:jc w:val="center"/>
              <w:rPr>
                <w:rFonts w:eastAsia="Calibri" w:cs="Calibri"/>
                <w:noProof/>
              </w:rPr>
            </w:pPr>
            <w:r>
              <w:rPr>
                <w:noProof/>
              </w:rPr>
              <w:t>3.12</w:t>
            </w:r>
          </w:p>
        </w:tc>
        <w:tc>
          <w:tcPr>
            <w:tcW w:w="1760" w:type="dxa"/>
            <w:tcBorders>
              <w:top w:val="nil"/>
              <w:left w:val="nil"/>
              <w:bottom w:val="single" w:sz="4" w:space="0" w:color="auto"/>
              <w:right w:val="single" w:sz="4" w:space="0" w:color="auto"/>
            </w:tcBorders>
            <w:shd w:val="clear" w:color="auto" w:fill="C4EFCE"/>
            <w:vAlign w:val="center"/>
            <w:hideMark/>
          </w:tcPr>
          <w:p w14:paraId="28D91185" w14:textId="77777777" w:rsidR="00A15990" w:rsidRDefault="00686A62">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A81EAD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1A230D" w14:textId="77777777" w:rsidR="00A15990" w:rsidRDefault="00686A62">
            <w:pPr>
              <w:pStyle w:val="P68B1DB1-Normal23"/>
              <w:spacing w:after="0"/>
              <w:jc w:val="both"/>
              <w:rPr>
                <w:rFonts w:eastAsia="Calibri" w:cs="Calibri"/>
                <w:noProof/>
              </w:rPr>
            </w:pPr>
            <w:r>
              <w:rPr>
                <w:noProof/>
              </w:rPr>
              <w:t>Formarea persoanelor care provin din familii care beneficiază de venitul de incluziune socială</w:t>
            </w:r>
          </w:p>
        </w:tc>
      </w:tr>
      <w:tr w:rsidR="00A15990" w14:paraId="76CD6A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130966" w14:textId="77777777" w:rsidR="00A15990" w:rsidRDefault="00686A62">
            <w:pPr>
              <w:pStyle w:val="P68B1DB1-Normal23"/>
              <w:spacing w:after="0"/>
              <w:jc w:val="center"/>
              <w:rPr>
                <w:rFonts w:eastAsia="Calibri" w:cs="Calibri"/>
                <w:noProof/>
              </w:rPr>
            </w:pPr>
            <w:r>
              <w:rPr>
                <w:noProof/>
              </w:rPr>
              <w:t>3.14</w:t>
            </w:r>
          </w:p>
        </w:tc>
        <w:tc>
          <w:tcPr>
            <w:tcW w:w="1760" w:type="dxa"/>
            <w:tcBorders>
              <w:top w:val="nil"/>
              <w:left w:val="nil"/>
              <w:bottom w:val="single" w:sz="4" w:space="0" w:color="auto"/>
              <w:right w:val="single" w:sz="4" w:space="0" w:color="auto"/>
            </w:tcBorders>
            <w:shd w:val="clear" w:color="auto" w:fill="C4EFCE"/>
            <w:vAlign w:val="center"/>
            <w:hideMark/>
          </w:tcPr>
          <w:p w14:paraId="045C7370" w14:textId="77777777" w:rsidR="00A15990" w:rsidRDefault="00686A62">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9C539F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E4CE3D6" w14:textId="77777777" w:rsidR="00A15990" w:rsidRDefault="00686A62">
            <w:pPr>
              <w:pStyle w:val="P68B1DB1-Normal23"/>
              <w:spacing w:after="0"/>
              <w:jc w:val="both"/>
              <w:rPr>
                <w:rFonts w:eastAsia="Calibri" w:cs="Calibri"/>
                <w:noProof/>
              </w:rPr>
            </w:pPr>
            <w:r>
              <w:rPr>
                <w:noProof/>
              </w:rPr>
              <w:t>Vehicule achiziționate pentru Instituições Particulares de Solidariedade Social</w:t>
            </w:r>
          </w:p>
        </w:tc>
      </w:tr>
      <w:tr w:rsidR="00A15990" w14:paraId="289CE0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73D27B" w14:textId="77777777" w:rsidR="00A15990" w:rsidRDefault="00686A62">
            <w:pPr>
              <w:pStyle w:val="P68B1DB1-Normal23"/>
              <w:spacing w:after="0"/>
              <w:jc w:val="center"/>
              <w:rPr>
                <w:rFonts w:eastAsia="Calibri" w:cs="Calibri"/>
                <w:noProof/>
              </w:rPr>
            </w:pPr>
            <w:r>
              <w:rPr>
                <w:noProof/>
              </w:rPr>
              <w:t>3.15</w:t>
            </w:r>
          </w:p>
        </w:tc>
        <w:tc>
          <w:tcPr>
            <w:tcW w:w="1760" w:type="dxa"/>
            <w:tcBorders>
              <w:top w:val="nil"/>
              <w:left w:val="nil"/>
              <w:bottom w:val="single" w:sz="4" w:space="0" w:color="auto"/>
              <w:right w:val="single" w:sz="4" w:space="0" w:color="auto"/>
            </w:tcBorders>
            <w:shd w:val="clear" w:color="auto" w:fill="C4EFCE"/>
            <w:vAlign w:val="center"/>
            <w:hideMark/>
          </w:tcPr>
          <w:p w14:paraId="135E8FAE" w14:textId="77777777" w:rsidR="00A15990" w:rsidRDefault="00686A62">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2DBAB54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EC8CE3D" w14:textId="77777777" w:rsidR="00A15990" w:rsidRDefault="00686A62">
            <w:pPr>
              <w:pStyle w:val="P68B1DB1-Normal23"/>
              <w:spacing w:after="0"/>
              <w:jc w:val="both"/>
              <w:rPr>
                <w:rFonts w:eastAsia="Calibri" w:cs="Calibri"/>
                <w:noProof/>
              </w:rPr>
            </w:pPr>
            <w:r>
              <w:rPr>
                <w:noProof/>
              </w:rPr>
              <w:t>Proiectul „Îmbătrânirea în practică”</w:t>
            </w:r>
          </w:p>
        </w:tc>
      </w:tr>
      <w:tr w:rsidR="00A15990" w14:paraId="02338D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5DE03A" w14:textId="77777777" w:rsidR="00A15990" w:rsidRDefault="00686A62">
            <w:pPr>
              <w:pStyle w:val="P68B1DB1-Normal23"/>
              <w:spacing w:after="0"/>
              <w:jc w:val="center"/>
              <w:rPr>
                <w:rFonts w:eastAsia="Calibri" w:cs="Calibri"/>
                <w:noProof/>
              </w:rPr>
            </w:pPr>
            <w:r>
              <w:rPr>
                <w:noProof/>
              </w:rPr>
              <w:t>3.16</w:t>
            </w:r>
          </w:p>
        </w:tc>
        <w:tc>
          <w:tcPr>
            <w:tcW w:w="1760" w:type="dxa"/>
            <w:tcBorders>
              <w:top w:val="nil"/>
              <w:left w:val="nil"/>
              <w:bottom w:val="single" w:sz="4" w:space="0" w:color="auto"/>
              <w:right w:val="single" w:sz="4" w:space="0" w:color="auto"/>
            </w:tcBorders>
            <w:shd w:val="clear" w:color="auto" w:fill="C4EFCE"/>
            <w:vAlign w:val="center"/>
            <w:hideMark/>
          </w:tcPr>
          <w:p w14:paraId="1D6FD45C" w14:textId="77777777" w:rsidR="00A15990" w:rsidRDefault="00686A62">
            <w:pPr>
              <w:pStyle w:val="P68B1DB1-Normal23"/>
              <w:spacing w:after="0"/>
              <w:jc w:val="center"/>
              <w:rPr>
                <w:rFonts w:eastAsia="Calibri" w:cs="Calibri"/>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632853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B2E81BA" w14:textId="77777777" w:rsidR="00A15990" w:rsidRDefault="00686A62">
            <w:pPr>
              <w:pStyle w:val="P68B1DB1-Normal23"/>
              <w:spacing w:after="0"/>
              <w:jc w:val="both"/>
              <w:rPr>
                <w:rFonts w:eastAsia="Calibri" w:cs="Calibri"/>
                <w:noProof/>
              </w:rPr>
            </w:pPr>
            <w:r>
              <w:rPr>
                <w:noProof/>
              </w:rPr>
              <w:t>Măsuri de combatere a părăsirii timpurii a școlii în rândul copiilor și al tinerilor.</w:t>
            </w:r>
          </w:p>
        </w:tc>
      </w:tr>
      <w:tr w:rsidR="00A15990" w14:paraId="5AD9EF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B99BDB" w14:textId="77777777" w:rsidR="00A15990" w:rsidRDefault="00686A62">
            <w:pPr>
              <w:pStyle w:val="P68B1DB1-Normal23"/>
              <w:spacing w:after="0"/>
              <w:jc w:val="center"/>
              <w:rPr>
                <w:rFonts w:eastAsia="Calibri" w:cs="Calibri"/>
                <w:noProof/>
              </w:rPr>
            </w:pPr>
            <w:r>
              <w:rPr>
                <w:noProof/>
              </w:rPr>
              <w:t>3.19</w:t>
            </w:r>
          </w:p>
        </w:tc>
        <w:tc>
          <w:tcPr>
            <w:tcW w:w="1760" w:type="dxa"/>
            <w:tcBorders>
              <w:top w:val="nil"/>
              <w:left w:val="nil"/>
              <w:bottom w:val="single" w:sz="4" w:space="0" w:color="auto"/>
              <w:right w:val="single" w:sz="4" w:space="0" w:color="auto"/>
            </w:tcBorders>
            <w:shd w:val="clear" w:color="auto" w:fill="C4EFCE"/>
            <w:vAlign w:val="center"/>
            <w:hideMark/>
          </w:tcPr>
          <w:p w14:paraId="019CDFE1" w14:textId="77777777" w:rsidR="00A15990" w:rsidRDefault="00686A62">
            <w:pPr>
              <w:pStyle w:val="P68B1DB1-Normal23"/>
              <w:spacing w:after="0"/>
              <w:jc w:val="center"/>
              <w:rPr>
                <w:rFonts w:eastAsia="Calibri" w:cs="Calibri"/>
                <w:noProof/>
              </w:rPr>
            </w:pPr>
            <w:r>
              <w:rPr>
                <w:noProof/>
              </w:rPr>
              <w:t>RE-C03-i05</w:t>
            </w:r>
          </w:p>
        </w:tc>
        <w:tc>
          <w:tcPr>
            <w:tcW w:w="1520" w:type="dxa"/>
            <w:tcBorders>
              <w:top w:val="nil"/>
              <w:left w:val="nil"/>
              <w:bottom w:val="single" w:sz="4" w:space="0" w:color="auto"/>
              <w:right w:val="single" w:sz="4" w:space="0" w:color="auto"/>
            </w:tcBorders>
            <w:shd w:val="clear" w:color="auto" w:fill="C4EFCE"/>
            <w:vAlign w:val="center"/>
            <w:hideMark/>
          </w:tcPr>
          <w:p w14:paraId="7A45718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5207FF6" w14:textId="77777777" w:rsidR="00A15990" w:rsidRDefault="00686A62">
            <w:pPr>
              <w:pStyle w:val="P68B1DB1-Normal23"/>
              <w:spacing w:after="0"/>
              <w:jc w:val="both"/>
              <w:rPr>
                <w:rFonts w:eastAsia="Calibri" w:cs="Calibri"/>
                <w:noProof/>
              </w:rPr>
            </w:pPr>
            <w:r>
              <w:rPr>
                <w:noProof/>
              </w:rPr>
              <w:t>Centrul de apel pentru limbajul portughez al semnelor</w:t>
            </w:r>
          </w:p>
        </w:tc>
      </w:tr>
      <w:tr w:rsidR="00A15990" w14:paraId="1BA193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5D0CFAD" w14:textId="77777777" w:rsidR="00A15990" w:rsidRDefault="00686A62">
            <w:pPr>
              <w:pStyle w:val="P68B1DB1-Normal23"/>
              <w:spacing w:after="0"/>
              <w:jc w:val="center"/>
              <w:rPr>
                <w:rFonts w:eastAsia="Calibri" w:cs="Calibri"/>
                <w:noProof/>
              </w:rPr>
            </w:pPr>
            <w:r>
              <w:rPr>
                <w:noProof/>
              </w:rPr>
              <w:t>3.26</w:t>
            </w:r>
          </w:p>
        </w:tc>
        <w:tc>
          <w:tcPr>
            <w:tcW w:w="1760" w:type="dxa"/>
            <w:tcBorders>
              <w:top w:val="nil"/>
              <w:left w:val="nil"/>
              <w:bottom w:val="single" w:sz="4" w:space="0" w:color="auto"/>
              <w:right w:val="single" w:sz="4" w:space="0" w:color="auto"/>
            </w:tcBorders>
            <w:shd w:val="clear" w:color="auto" w:fill="C4EFCE"/>
            <w:vAlign w:val="center"/>
            <w:hideMark/>
          </w:tcPr>
          <w:p w14:paraId="66BC21FF" w14:textId="77777777" w:rsidR="00A15990" w:rsidRDefault="00686A62">
            <w:pPr>
              <w:pStyle w:val="P68B1DB1-Normal23"/>
              <w:spacing w:after="0"/>
              <w:jc w:val="center"/>
              <w:rPr>
                <w:rFonts w:eastAsia="Calibri" w:cs="Calibri"/>
                <w:noProof/>
              </w:rPr>
            </w:pPr>
            <w:r>
              <w:rPr>
                <w:noProof/>
              </w:rPr>
              <w:t>RE-C03-i06</w:t>
            </w:r>
          </w:p>
        </w:tc>
        <w:tc>
          <w:tcPr>
            <w:tcW w:w="1520" w:type="dxa"/>
            <w:tcBorders>
              <w:top w:val="nil"/>
              <w:left w:val="nil"/>
              <w:bottom w:val="single" w:sz="4" w:space="0" w:color="auto"/>
              <w:right w:val="single" w:sz="4" w:space="0" w:color="auto"/>
            </w:tcBorders>
            <w:shd w:val="clear" w:color="auto" w:fill="C4EFCE"/>
            <w:vAlign w:val="center"/>
            <w:hideMark/>
          </w:tcPr>
          <w:p w14:paraId="5A71211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0FF11C" w14:textId="77777777" w:rsidR="00A15990" w:rsidRDefault="00686A62">
            <w:pPr>
              <w:pStyle w:val="P68B1DB1-Normal23"/>
              <w:spacing w:after="0"/>
              <w:jc w:val="both"/>
              <w:rPr>
                <w:rFonts w:eastAsia="Calibri" w:cs="Calibri"/>
                <w:noProof/>
              </w:rPr>
            </w:pPr>
            <w:r>
              <w:rPr>
                <w:noProof/>
              </w:rPr>
              <w:t>Punerea în aplicare integrală a cel puțin 90 % din măsuri</w:t>
            </w:r>
          </w:p>
        </w:tc>
      </w:tr>
      <w:tr w:rsidR="00A15990" w14:paraId="4169E8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091E41C" w14:textId="77777777" w:rsidR="00A15990" w:rsidRDefault="00686A62">
            <w:pPr>
              <w:pStyle w:val="P68B1DB1-Normal23"/>
              <w:spacing w:after="0"/>
              <w:jc w:val="center"/>
              <w:rPr>
                <w:rFonts w:eastAsia="Calibri" w:cs="Calibri"/>
                <w:noProof/>
              </w:rPr>
            </w:pPr>
            <w:r>
              <w:rPr>
                <w:noProof/>
              </w:rPr>
              <w:t>3.27</w:t>
            </w:r>
          </w:p>
        </w:tc>
        <w:tc>
          <w:tcPr>
            <w:tcW w:w="1760" w:type="dxa"/>
            <w:tcBorders>
              <w:top w:val="nil"/>
              <w:left w:val="nil"/>
              <w:bottom w:val="single" w:sz="4" w:space="0" w:color="auto"/>
              <w:right w:val="single" w:sz="4" w:space="0" w:color="auto"/>
            </w:tcBorders>
            <w:shd w:val="clear" w:color="auto" w:fill="C4EFCE"/>
            <w:vAlign w:val="center"/>
            <w:hideMark/>
          </w:tcPr>
          <w:p w14:paraId="17E8CFFB" w14:textId="77777777" w:rsidR="00A15990" w:rsidRDefault="00686A62">
            <w:pPr>
              <w:pStyle w:val="P68B1DB1-Normal23"/>
              <w:spacing w:after="0"/>
              <w:jc w:val="center"/>
              <w:rPr>
                <w:rFonts w:eastAsia="Calibri" w:cs="Calibri"/>
                <w:noProof/>
              </w:rPr>
            </w:pPr>
            <w:r>
              <w:rPr>
                <w:noProof/>
              </w:rPr>
              <w:t>RE-C03-i03-RAM</w:t>
            </w:r>
          </w:p>
        </w:tc>
        <w:tc>
          <w:tcPr>
            <w:tcW w:w="1520" w:type="dxa"/>
            <w:tcBorders>
              <w:top w:val="nil"/>
              <w:left w:val="nil"/>
              <w:bottom w:val="single" w:sz="4" w:space="0" w:color="auto"/>
              <w:right w:val="single" w:sz="4" w:space="0" w:color="auto"/>
            </w:tcBorders>
            <w:shd w:val="clear" w:color="auto" w:fill="C4EFCE"/>
            <w:vAlign w:val="center"/>
            <w:hideMark/>
          </w:tcPr>
          <w:p w14:paraId="597F807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6F21A2" w14:textId="77777777" w:rsidR="00A15990" w:rsidRDefault="00686A62">
            <w:pPr>
              <w:pStyle w:val="P68B1DB1-Normal23"/>
              <w:spacing w:after="0"/>
              <w:jc w:val="both"/>
              <w:rPr>
                <w:rFonts w:eastAsia="Calibri" w:cs="Calibri"/>
                <w:noProof/>
              </w:rPr>
            </w:pPr>
            <w:r>
              <w:rPr>
                <w:noProof/>
              </w:rPr>
              <w:t>Numărul de locuri din centrele de îngrijire care sprijină persoanele fără adăpost</w:t>
            </w:r>
          </w:p>
        </w:tc>
      </w:tr>
      <w:tr w:rsidR="00A15990" w14:paraId="54E515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7005D2F" w14:textId="77777777" w:rsidR="00A15990" w:rsidRDefault="00686A62">
            <w:pPr>
              <w:pStyle w:val="P68B1DB1-Normal23"/>
              <w:spacing w:after="0"/>
              <w:jc w:val="center"/>
              <w:rPr>
                <w:rFonts w:eastAsia="Calibri" w:cs="Calibri"/>
                <w:noProof/>
              </w:rPr>
            </w:pPr>
            <w:r>
              <w:rPr>
                <w:noProof/>
              </w:rPr>
              <w:t>4.2</w:t>
            </w:r>
          </w:p>
        </w:tc>
        <w:tc>
          <w:tcPr>
            <w:tcW w:w="1760" w:type="dxa"/>
            <w:tcBorders>
              <w:top w:val="nil"/>
              <w:left w:val="nil"/>
              <w:bottom w:val="single" w:sz="4" w:space="0" w:color="auto"/>
              <w:right w:val="single" w:sz="4" w:space="0" w:color="auto"/>
            </w:tcBorders>
            <w:shd w:val="clear" w:color="auto" w:fill="C4EFCE"/>
            <w:vAlign w:val="center"/>
            <w:hideMark/>
          </w:tcPr>
          <w:p w14:paraId="04039DCF" w14:textId="77777777" w:rsidR="00A15990" w:rsidRDefault="00686A62">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19C9B77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90ED1B" w14:textId="77777777" w:rsidR="00A15990" w:rsidRDefault="00686A62">
            <w:pPr>
              <w:pStyle w:val="P68B1DB1-Normal23"/>
              <w:spacing w:after="0"/>
              <w:jc w:val="both"/>
              <w:rPr>
                <w:rFonts w:eastAsia="Calibri" w:cs="Calibri"/>
                <w:noProof/>
              </w:rPr>
            </w:pPr>
            <w:r>
              <w:rPr>
                <w:noProof/>
              </w:rPr>
              <w:t>Sprijin financiar pentru tranziția digitală a librăriilor</w:t>
            </w:r>
          </w:p>
        </w:tc>
      </w:tr>
      <w:tr w:rsidR="00A15990" w14:paraId="53B3FF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799066" w14:textId="77777777" w:rsidR="00A15990" w:rsidRDefault="00686A62">
            <w:pPr>
              <w:pStyle w:val="P68B1DB1-Normal23"/>
              <w:spacing w:after="0"/>
              <w:jc w:val="center"/>
              <w:rPr>
                <w:rFonts w:eastAsia="Calibri" w:cs="Calibri"/>
                <w:noProof/>
              </w:rPr>
            </w:pPr>
            <w:r>
              <w:rPr>
                <w:noProof/>
              </w:rPr>
              <w:t>4.3</w:t>
            </w:r>
          </w:p>
        </w:tc>
        <w:tc>
          <w:tcPr>
            <w:tcW w:w="1760" w:type="dxa"/>
            <w:tcBorders>
              <w:top w:val="nil"/>
              <w:left w:val="nil"/>
              <w:bottom w:val="single" w:sz="4" w:space="0" w:color="auto"/>
              <w:right w:val="single" w:sz="4" w:space="0" w:color="auto"/>
            </w:tcBorders>
            <w:shd w:val="clear" w:color="auto" w:fill="C4EFCE"/>
            <w:vAlign w:val="center"/>
            <w:hideMark/>
          </w:tcPr>
          <w:p w14:paraId="19A59DC1" w14:textId="77777777" w:rsidR="00A15990" w:rsidRDefault="00686A62">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01A1C2F8"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5C14D01" w14:textId="77777777" w:rsidR="00A15990" w:rsidRDefault="00686A62">
            <w:pPr>
              <w:pStyle w:val="P68B1DB1-Normal23"/>
              <w:spacing w:after="0"/>
              <w:jc w:val="both"/>
              <w:rPr>
                <w:rFonts w:eastAsia="Calibri" w:cs="Calibri"/>
                <w:noProof/>
              </w:rPr>
            </w:pPr>
            <w:r>
              <w:rPr>
                <w:noProof/>
              </w:rPr>
              <w:t>Digitalizarea și virtualizarea colecțiilor publice</w:t>
            </w:r>
          </w:p>
        </w:tc>
      </w:tr>
      <w:tr w:rsidR="00A15990" w14:paraId="056817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6ED163" w14:textId="77777777" w:rsidR="00A15990" w:rsidRDefault="00686A62">
            <w:pPr>
              <w:pStyle w:val="P68B1DB1-Normal23"/>
              <w:spacing w:after="0"/>
              <w:jc w:val="center"/>
              <w:rPr>
                <w:rFonts w:eastAsia="Calibri" w:cs="Calibri"/>
                <w:noProof/>
              </w:rPr>
            </w:pPr>
            <w:r>
              <w:rPr>
                <w:noProof/>
              </w:rPr>
              <w:t>4.5</w:t>
            </w:r>
          </w:p>
        </w:tc>
        <w:tc>
          <w:tcPr>
            <w:tcW w:w="1760" w:type="dxa"/>
            <w:tcBorders>
              <w:top w:val="nil"/>
              <w:left w:val="nil"/>
              <w:bottom w:val="single" w:sz="4" w:space="0" w:color="auto"/>
              <w:right w:val="single" w:sz="4" w:space="0" w:color="auto"/>
            </w:tcBorders>
            <w:shd w:val="clear" w:color="auto" w:fill="C4EFCE"/>
            <w:vAlign w:val="center"/>
            <w:hideMark/>
          </w:tcPr>
          <w:p w14:paraId="2563A114" w14:textId="77777777" w:rsidR="00A15990" w:rsidRDefault="00686A62">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7A27352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2E5462" w14:textId="77777777" w:rsidR="00A15990" w:rsidRDefault="00686A62">
            <w:pPr>
              <w:pStyle w:val="P68B1DB1-Normal23"/>
              <w:spacing w:after="0"/>
              <w:jc w:val="both"/>
              <w:rPr>
                <w:rFonts w:eastAsia="Calibri" w:cs="Calibri"/>
                <w:noProof/>
              </w:rPr>
            </w:pPr>
            <w:r>
              <w:rPr>
                <w:noProof/>
              </w:rPr>
              <w:t>Sprijin financiar pentru traducerea și editarea operelor literare</w:t>
            </w:r>
          </w:p>
        </w:tc>
      </w:tr>
      <w:tr w:rsidR="00A15990" w14:paraId="7117E24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53E8A8" w14:textId="77777777" w:rsidR="00A15990" w:rsidRDefault="00686A62">
            <w:pPr>
              <w:pStyle w:val="P68B1DB1-Normal23"/>
              <w:spacing w:after="0"/>
              <w:jc w:val="center"/>
              <w:rPr>
                <w:rFonts w:eastAsia="Calibri" w:cs="Calibri"/>
                <w:noProof/>
              </w:rPr>
            </w:pPr>
            <w:r>
              <w:rPr>
                <w:noProof/>
              </w:rPr>
              <w:t>4.11</w:t>
            </w:r>
          </w:p>
        </w:tc>
        <w:tc>
          <w:tcPr>
            <w:tcW w:w="1760" w:type="dxa"/>
            <w:tcBorders>
              <w:top w:val="nil"/>
              <w:left w:val="nil"/>
              <w:bottom w:val="single" w:sz="4" w:space="0" w:color="auto"/>
              <w:right w:val="single" w:sz="4" w:space="0" w:color="auto"/>
            </w:tcBorders>
            <w:shd w:val="clear" w:color="auto" w:fill="C4EFCE"/>
            <w:vAlign w:val="center"/>
            <w:hideMark/>
          </w:tcPr>
          <w:p w14:paraId="7F112129" w14:textId="77777777" w:rsidR="00A15990" w:rsidRDefault="00686A62">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4F32219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13ECBA9" w14:textId="77777777" w:rsidR="00A15990" w:rsidRDefault="00686A62">
            <w:pPr>
              <w:pStyle w:val="P68B1DB1-Normal23"/>
              <w:spacing w:after="0"/>
              <w:jc w:val="both"/>
              <w:rPr>
                <w:rFonts w:eastAsia="Calibri" w:cs="Calibri"/>
                <w:noProof/>
              </w:rPr>
            </w:pPr>
            <w:r>
              <w:rPr>
                <w:noProof/>
              </w:rPr>
              <w:t>Instalarea de laboratoare și rute ale inițiativei privind centrele tehnologice „Saber Fazer” și crearea de activități pedagogice și informative privind tehnicile tradiționale.</w:t>
            </w:r>
          </w:p>
        </w:tc>
      </w:tr>
      <w:tr w:rsidR="00A15990" w14:paraId="54F146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503CAB" w14:textId="77777777" w:rsidR="00A15990" w:rsidRDefault="00686A62">
            <w:pPr>
              <w:pStyle w:val="P68B1DB1-Normal23"/>
              <w:spacing w:after="0"/>
              <w:jc w:val="center"/>
              <w:rPr>
                <w:rFonts w:eastAsia="Calibri" w:cs="Calibri"/>
                <w:noProof/>
              </w:rPr>
            </w:pPr>
            <w:r>
              <w:rPr>
                <w:noProof/>
              </w:rPr>
              <w:t>5.6</w:t>
            </w:r>
          </w:p>
        </w:tc>
        <w:tc>
          <w:tcPr>
            <w:tcW w:w="1760" w:type="dxa"/>
            <w:tcBorders>
              <w:top w:val="nil"/>
              <w:left w:val="nil"/>
              <w:bottom w:val="single" w:sz="4" w:space="0" w:color="auto"/>
              <w:right w:val="single" w:sz="4" w:space="0" w:color="auto"/>
            </w:tcBorders>
            <w:shd w:val="clear" w:color="auto" w:fill="C4EFCE"/>
            <w:vAlign w:val="center"/>
            <w:hideMark/>
          </w:tcPr>
          <w:p w14:paraId="6D345099" w14:textId="77777777" w:rsidR="00A15990" w:rsidRDefault="00686A62">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0B04EDA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1ED57F" w14:textId="77777777" w:rsidR="00A15990" w:rsidRDefault="00686A62">
            <w:pPr>
              <w:pStyle w:val="P68B1DB1-Normal23"/>
              <w:spacing w:after="0"/>
              <w:jc w:val="both"/>
              <w:rPr>
                <w:rFonts w:eastAsia="Calibri" w:cs="Calibri"/>
                <w:noProof/>
              </w:rPr>
            </w:pPr>
            <w:r>
              <w:rPr>
                <w:noProof/>
              </w:rPr>
              <w:t>Finalizarea punerii în aplicare a contractelor din 6 (pacte de inovare sau proiecte de mobilizare)</w:t>
            </w:r>
          </w:p>
        </w:tc>
      </w:tr>
      <w:tr w:rsidR="00A15990" w14:paraId="56FFCB9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1EDCEE" w14:textId="77777777" w:rsidR="00A15990" w:rsidRDefault="00686A62">
            <w:pPr>
              <w:pStyle w:val="P68B1DB1-Normal23"/>
              <w:spacing w:after="0"/>
              <w:jc w:val="center"/>
              <w:rPr>
                <w:rFonts w:eastAsia="Calibri" w:cs="Calibri"/>
                <w:noProof/>
              </w:rPr>
            </w:pPr>
            <w:r>
              <w:rPr>
                <w:noProof/>
              </w:rPr>
              <w:t>5.8</w:t>
            </w:r>
          </w:p>
        </w:tc>
        <w:tc>
          <w:tcPr>
            <w:tcW w:w="1760" w:type="dxa"/>
            <w:tcBorders>
              <w:top w:val="nil"/>
              <w:left w:val="nil"/>
              <w:bottom w:val="single" w:sz="4" w:space="0" w:color="auto"/>
              <w:right w:val="single" w:sz="4" w:space="0" w:color="auto"/>
            </w:tcBorders>
            <w:shd w:val="clear" w:color="auto" w:fill="C4EFCE"/>
            <w:vAlign w:val="center"/>
            <w:hideMark/>
          </w:tcPr>
          <w:p w14:paraId="060E7E77" w14:textId="77777777" w:rsidR="00A15990" w:rsidRDefault="00686A62">
            <w:pPr>
              <w:pStyle w:val="P68B1DB1-Normal23"/>
              <w:spacing w:after="0"/>
              <w:jc w:val="center"/>
              <w:rPr>
                <w:rFonts w:eastAsia="Calibri" w:cs="Calibri"/>
                <w:noProof/>
              </w:rPr>
            </w:pPr>
            <w:r>
              <w:rPr>
                <w:noProof/>
              </w:rPr>
              <w:t>RE-C05-i01</w:t>
            </w:r>
          </w:p>
        </w:tc>
        <w:tc>
          <w:tcPr>
            <w:tcW w:w="1520" w:type="dxa"/>
            <w:tcBorders>
              <w:top w:val="nil"/>
              <w:left w:val="nil"/>
              <w:bottom w:val="single" w:sz="4" w:space="0" w:color="auto"/>
              <w:right w:val="single" w:sz="4" w:space="0" w:color="auto"/>
            </w:tcBorders>
            <w:shd w:val="clear" w:color="auto" w:fill="C4EFCE"/>
            <w:vAlign w:val="center"/>
            <w:hideMark/>
          </w:tcPr>
          <w:p w14:paraId="7516533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82BFAA" w14:textId="77777777" w:rsidR="00A15990" w:rsidRDefault="00686A62">
            <w:pPr>
              <w:pStyle w:val="P68B1DB1-Normal23"/>
              <w:spacing w:after="0"/>
              <w:jc w:val="both"/>
              <w:rPr>
                <w:rFonts w:eastAsia="Calibri" w:cs="Calibri"/>
                <w:noProof/>
              </w:rPr>
            </w:pPr>
            <w:r>
              <w:rPr>
                <w:noProof/>
              </w:rPr>
              <w:t>Produse, procese sau servicii (SPC) finalizate relevante pentru economia cu emisii scăzute de dioxid de carbon, reziliența și adaptarea la schimbările climatice</w:t>
            </w:r>
          </w:p>
        </w:tc>
      </w:tr>
      <w:tr w:rsidR="00A15990" w14:paraId="5DA861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E31B91E" w14:textId="77777777" w:rsidR="00A15990" w:rsidRDefault="00686A62">
            <w:pPr>
              <w:pStyle w:val="P68B1DB1-Normal23"/>
              <w:spacing w:after="0"/>
              <w:jc w:val="center"/>
              <w:rPr>
                <w:rFonts w:eastAsia="Calibri" w:cs="Calibri"/>
                <w:noProof/>
              </w:rPr>
            </w:pPr>
            <w:r>
              <w:rPr>
                <w:noProof/>
              </w:rPr>
              <w:t>5.10</w:t>
            </w:r>
          </w:p>
        </w:tc>
        <w:tc>
          <w:tcPr>
            <w:tcW w:w="1760" w:type="dxa"/>
            <w:tcBorders>
              <w:top w:val="nil"/>
              <w:left w:val="nil"/>
              <w:bottom w:val="single" w:sz="4" w:space="0" w:color="auto"/>
              <w:right w:val="single" w:sz="4" w:space="0" w:color="auto"/>
            </w:tcBorders>
            <w:shd w:val="clear" w:color="auto" w:fill="C4EFCE"/>
            <w:vAlign w:val="center"/>
            <w:hideMark/>
          </w:tcPr>
          <w:p w14:paraId="44979142" w14:textId="77777777" w:rsidR="00A15990" w:rsidRDefault="00686A62">
            <w:pPr>
              <w:pStyle w:val="P68B1DB1-Normal23"/>
              <w:spacing w:after="0"/>
              <w:jc w:val="center"/>
              <w:rPr>
                <w:rFonts w:eastAsia="Calibri" w:cs="Calibri"/>
                <w:noProof/>
              </w:rPr>
            </w:pPr>
            <w:r>
              <w:rPr>
                <w:noProof/>
              </w:rPr>
              <w:t>RE-C05-i02</w:t>
            </w:r>
          </w:p>
        </w:tc>
        <w:tc>
          <w:tcPr>
            <w:tcW w:w="1520" w:type="dxa"/>
            <w:tcBorders>
              <w:top w:val="nil"/>
              <w:left w:val="nil"/>
              <w:bottom w:val="single" w:sz="4" w:space="0" w:color="auto"/>
              <w:right w:val="single" w:sz="4" w:space="0" w:color="auto"/>
            </w:tcBorders>
            <w:shd w:val="clear" w:color="auto" w:fill="C4EFCE"/>
            <w:vAlign w:val="center"/>
            <w:hideMark/>
          </w:tcPr>
          <w:p w14:paraId="05AC774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467D021" w14:textId="77777777" w:rsidR="00A15990" w:rsidRDefault="00686A62">
            <w:pPr>
              <w:pStyle w:val="P68B1DB1-Normal23"/>
              <w:spacing w:after="0"/>
              <w:jc w:val="both"/>
              <w:rPr>
                <w:rFonts w:eastAsia="Calibri" w:cs="Calibri"/>
                <w:noProof/>
              </w:rPr>
            </w:pPr>
            <w:r>
              <w:rPr>
                <w:noProof/>
              </w:rPr>
              <w:t>Societăți care beneficiază de serviciile furnizate de entitățile de interfață, inclusiv laboratoarele de colaborare – Colabs</w:t>
            </w:r>
          </w:p>
        </w:tc>
      </w:tr>
      <w:tr w:rsidR="00A15990" w14:paraId="13B590C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BD9B58" w14:textId="77777777" w:rsidR="00A15990" w:rsidRDefault="00686A62">
            <w:pPr>
              <w:pStyle w:val="P68B1DB1-Normal23"/>
              <w:spacing w:after="0"/>
              <w:jc w:val="center"/>
              <w:rPr>
                <w:rFonts w:eastAsia="Calibri" w:cs="Calibri"/>
                <w:noProof/>
              </w:rPr>
            </w:pPr>
            <w:r>
              <w:rPr>
                <w:noProof/>
              </w:rPr>
              <w:t>5.12</w:t>
            </w:r>
          </w:p>
        </w:tc>
        <w:tc>
          <w:tcPr>
            <w:tcW w:w="1760" w:type="dxa"/>
            <w:tcBorders>
              <w:top w:val="nil"/>
              <w:left w:val="nil"/>
              <w:bottom w:val="single" w:sz="4" w:space="0" w:color="auto"/>
              <w:right w:val="single" w:sz="4" w:space="0" w:color="auto"/>
            </w:tcBorders>
            <w:shd w:val="clear" w:color="auto" w:fill="C4EFCE"/>
            <w:vAlign w:val="center"/>
            <w:hideMark/>
          </w:tcPr>
          <w:p w14:paraId="47FD4194" w14:textId="77777777" w:rsidR="00A15990" w:rsidRDefault="00686A62">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59C9B6F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7CE04C" w14:textId="77777777" w:rsidR="00A15990" w:rsidRDefault="00686A62">
            <w:pPr>
              <w:pStyle w:val="P68B1DB1-Normal23"/>
              <w:spacing w:after="0"/>
              <w:jc w:val="both"/>
              <w:rPr>
                <w:rFonts w:eastAsia="Calibri" w:cs="Calibri"/>
                <w:noProof/>
              </w:rPr>
            </w:pPr>
            <w:r>
              <w:rPr>
                <w:noProof/>
              </w:rPr>
              <w:t>Finalizarea proiectelor de inovare și cercetare axate pe aspectele ecologice ale Agendei de inovare pentru agricultură 2030</w:t>
            </w:r>
          </w:p>
        </w:tc>
      </w:tr>
      <w:tr w:rsidR="00A15990" w14:paraId="67C701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7804C4E" w14:textId="77777777" w:rsidR="00A15990" w:rsidRDefault="00686A62">
            <w:pPr>
              <w:pStyle w:val="P68B1DB1-Normal23"/>
              <w:spacing w:after="0"/>
              <w:jc w:val="center"/>
              <w:rPr>
                <w:rFonts w:eastAsia="Calibri" w:cs="Calibri"/>
                <w:noProof/>
              </w:rPr>
            </w:pPr>
            <w:r>
              <w:rPr>
                <w:noProof/>
              </w:rPr>
              <w:t>5.13</w:t>
            </w:r>
          </w:p>
        </w:tc>
        <w:tc>
          <w:tcPr>
            <w:tcW w:w="1760" w:type="dxa"/>
            <w:tcBorders>
              <w:top w:val="nil"/>
              <w:left w:val="nil"/>
              <w:bottom w:val="single" w:sz="4" w:space="0" w:color="auto"/>
              <w:right w:val="single" w:sz="4" w:space="0" w:color="auto"/>
            </w:tcBorders>
            <w:shd w:val="clear" w:color="auto" w:fill="C4EFCE"/>
            <w:vAlign w:val="center"/>
            <w:hideMark/>
          </w:tcPr>
          <w:p w14:paraId="4FFC2BA5" w14:textId="77777777" w:rsidR="00A15990" w:rsidRDefault="00686A62">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1823349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A4F13A" w14:textId="2A433732" w:rsidR="00A15990" w:rsidRDefault="00686A62">
            <w:pPr>
              <w:pStyle w:val="P68B1DB1-Normal23"/>
              <w:spacing w:after="0"/>
              <w:jc w:val="both"/>
              <w:rPr>
                <w:rFonts w:eastAsia="Calibri" w:cs="Calibri"/>
                <w:noProof/>
              </w:rPr>
            </w:pPr>
            <w:r>
              <w:rPr>
                <w:noProof/>
              </w:rPr>
              <w:t>Finalizarea a 5 proiecte de structurare axate pe aspectele digitale ale Agendei de inovare pentru agricultură 2030</w:t>
            </w:r>
          </w:p>
        </w:tc>
      </w:tr>
      <w:tr w:rsidR="00A15990" w14:paraId="26F745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88FE5F" w14:textId="77777777" w:rsidR="00A15990" w:rsidRDefault="00686A62">
            <w:pPr>
              <w:pStyle w:val="P68B1DB1-Normal23"/>
              <w:spacing w:after="0"/>
              <w:jc w:val="center"/>
              <w:rPr>
                <w:rFonts w:eastAsia="Calibri" w:cs="Calibri"/>
                <w:noProof/>
              </w:rPr>
            </w:pPr>
            <w:r>
              <w:rPr>
                <w:noProof/>
              </w:rPr>
              <w:t>5.14</w:t>
            </w:r>
          </w:p>
        </w:tc>
        <w:tc>
          <w:tcPr>
            <w:tcW w:w="1760" w:type="dxa"/>
            <w:tcBorders>
              <w:top w:val="nil"/>
              <w:left w:val="nil"/>
              <w:bottom w:val="single" w:sz="4" w:space="0" w:color="auto"/>
              <w:right w:val="single" w:sz="4" w:space="0" w:color="auto"/>
            </w:tcBorders>
            <w:shd w:val="clear" w:color="auto" w:fill="C4EFCE"/>
            <w:vAlign w:val="center"/>
            <w:hideMark/>
          </w:tcPr>
          <w:p w14:paraId="1A936CD6" w14:textId="77777777" w:rsidR="00A15990" w:rsidRDefault="00686A62">
            <w:pPr>
              <w:pStyle w:val="P68B1DB1-Normal23"/>
              <w:spacing w:after="0"/>
              <w:jc w:val="center"/>
              <w:rPr>
                <w:rFonts w:eastAsia="Calibri" w:cs="Calibri"/>
                <w:noProof/>
              </w:rPr>
            </w:pPr>
            <w:r>
              <w:rPr>
                <w:noProof/>
              </w:rPr>
              <w:t>RE-C05-i03</w:t>
            </w:r>
          </w:p>
        </w:tc>
        <w:tc>
          <w:tcPr>
            <w:tcW w:w="1520" w:type="dxa"/>
            <w:tcBorders>
              <w:top w:val="nil"/>
              <w:left w:val="nil"/>
              <w:bottom w:val="single" w:sz="4" w:space="0" w:color="auto"/>
              <w:right w:val="single" w:sz="4" w:space="0" w:color="auto"/>
            </w:tcBorders>
            <w:shd w:val="clear" w:color="auto" w:fill="C4EFCE"/>
            <w:vAlign w:val="center"/>
            <w:hideMark/>
          </w:tcPr>
          <w:p w14:paraId="24C31DE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C5F817B" w14:textId="77777777" w:rsidR="00A15990" w:rsidRDefault="00686A62">
            <w:pPr>
              <w:pStyle w:val="P68B1DB1-Normal23"/>
              <w:spacing w:after="0"/>
              <w:jc w:val="both"/>
              <w:rPr>
                <w:rFonts w:eastAsia="Calibri" w:cs="Calibri"/>
                <w:noProof/>
              </w:rPr>
            </w:pPr>
            <w:r>
              <w:rPr>
                <w:noProof/>
              </w:rPr>
              <w:t>Reînnoirea/modernizarea centrelor de inovare agricolă</w:t>
            </w:r>
          </w:p>
        </w:tc>
      </w:tr>
      <w:tr w:rsidR="00A15990" w14:paraId="485018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43FF5A" w14:textId="77777777" w:rsidR="00A15990" w:rsidRDefault="00686A62">
            <w:pPr>
              <w:pStyle w:val="P68B1DB1-Normal23"/>
              <w:spacing w:after="0"/>
              <w:jc w:val="center"/>
              <w:rPr>
                <w:rFonts w:eastAsia="Calibri" w:cs="Calibri"/>
                <w:noProof/>
              </w:rPr>
            </w:pPr>
            <w:r>
              <w:rPr>
                <w:noProof/>
              </w:rPr>
              <w:t>5.17</w:t>
            </w:r>
          </w:p>
        </w:tc>
        <w:tc>
          <w:tcPr>
            <w:tcW w:w="1760" w:type="dxa"/>
            <w:tcBorders>
              <w:top w:val="nil"/>
              <w:left w:val="nil"/>
              <w:bottom w:val="single" w:sz="4" w:space="0" w:color="auto"/>
              <w:right w:val="single" w:sz="4" w:space="0" w:color="auto"/>
            </w:tcBorders>
            <w:shd w:val="clear" w:color="auto" w:fill="C4EFCE"/>
            <w:vAlign w:val="center"/>
            <w:hideMark/>
          </w:tcPr>
          <w:p w14:paraId="06A80BBF" w14:textId="77777777" w:rsidR="00A15990" w:rsidRDefault="00686A62">
            <w:pPr>
              <w:pStyle w:val="P68B1DB1-Normal23"/>
              <w:spacing w:after="0"/>
              <w:jc w:val="center"/>
              <w:rPr>
                <w:rFonts w:eastAsia="Calibri" w:cs="Calibri"/>
                <w:noProof/>
              </w:rPr>
            </w:pPr>
            <w:r>
              <w:rPr>
                <w:noProof/>
              </w:rPr>
              <w:t>RE-C05-i04-RAA</w:t>
            </w:r>
          </w:p>
        </w:tc>
        <w:tc>
          <w:tcPr>
            <w:tcW w:w="1520" w:type="dxa"/>
            <w:tcBorders>
              <w:top w:val="nil"/>
              <w:left w:val="nil"/>
              <w:bottom w:val="single" w:sz="4" w:space="0" w:color="auto"/>
              <w:right w:val="single" w:sz="4" w:space="0" w:color="auto"/>
            </w:tcBorders>
            <w:shd w:val="clear" w:color="auto" w:fill="C4EFCE"/>
            <w:vAlign w:val="center"/>
            <w:hideMark/>
          </w:tcPr>
          <w:p w14:paraId="77D74F2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04E19E" w14:textId="77777777" w:rsidR="00A15990" w:rsidRDefault="00686A62">
            <w:pPr>
              <w:pStyle w:val="P68B1DB1-Normal23"/>
              <w:spacing w:after="0"/>
              <w:jc w:val="both"/>
              <w:rPr>
                <w:rFonts w:eastAsia="Calibri" w:cs="Calibri"/>
                <w:noProof/>
              </w:rPr>
            </w:pPr>
            <w:r>
              <w:rPr>
                <w:noProof/>
              </w:rPr>
              <w:t>Furnizarea unei sume totale de 125 000 000 EUR societăților nefinanciare din regiune sub formă de sprijin sub formă de capital propriu și cvasicapital, în conformitate cu politica de investiții a instrumentului. Cu titlu indicativ, se estimează că cel puțin 300 de întreprinderi vor fi sprijinite prin finalizarea planului.</w:t>
            </w:r>
          </w:p>
        </w:tc>
      </w:tr>
      <w:tr w:rsidR="00A15990" w14:paraId="76F54C1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3C7F55C" w14:textId="77777777" w:rsidR="00A15990" w:rsidRDefault="00686A62">
            <w:pPr>
              <w:pStyle w:val="P68B1DB1-Normal23"/>
              <w:spacing w:after="0"/>
              <w:jc w:val="center"/>
              <w:rPr>
                <w:rFonts w:eastAsia="Calibri" w:cs="Calibri"/>
                <w:noProof/>
              </w:rPr>
            </w:pPr>
            <w:r>
              <w:rPr>
                <w:noProof/>
              </w:rPr>
              <w:t>5.19</w:t>
            </w:r>
          </w:p>
        </w:tc>
        <w:tc>
          <w:tcPr>
            <w:tcW w:w="1760" w:type="dxa"/>
            <w:tcBorders>
              <w:top w:val="nil"/>
              <w:left w:val="nil"/>
              <w:bottom w:val="single" w:sz="4" w:space="0" w:color="auto"/>
              <w:right w:val="single" w:sz="4" w:space="0" w:color="auto"/>
            </w:tcBorders>
            <w:shd w:val="clear" w:color="auto" w:fill="C4EFCE"/>
            <w:vAlign w:val="center"/>
            <w:hideMark/>
          </w:tcPr>
          <w:p w14:paraId="691C999E" w14:textId="77777777" w:rsidR="00A15990" w:rsidRDefault="00686A62">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093E426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4854002" w14:textId="77777777" w:rsidR="00A15990" w:rsidRDefault="00686A62">
            <w:pPr>
              <w:pStyle w:val="P68B1DB1-Normal23"/>
              <w:spacing w:after="0"/>
              <w:jc w:val="both"/>
              <w:rPr>
                <w:rFonts w:eastAsia="Calibri" w:cs="Calibri"/>
                <w:noProof/>
              </w:rPr>
            </w:pPr>
            <w:r>
              <w:rPr>
                <w:noProof/>
              </w:rPr>
              <w:t>Noi (pentru a înlocui structurile învechite) sau recalificate responsabile cu sacrificarea animalelor și certificarea calității laptelui și a siguranței alimentare</w:t>
            </w:r>
          </w:p>
        </w:tc>
      </w:tr>
      <w:tr w:rsidR="00A15990" w14:paraId="6BB6737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75E800" w14:textId="77777777" w:rsidR="00A15990" w:rsidRDefault="00686A62">
            <w:pPr>
              <w:pStyle w:val="P68B1DB1-Normal23"/>
              <w:spacing w:after="0"/>
              <w:jc w:val="center"/>
              <w:rPr>
                <w:rFonts w:eastAsia="Calibri" w:cs="Calibri"/>
                <w:noProof/>
              </w:rPr>
            </w:pPr>
            <w:r>
              <w:rPr>
                <w:noProof/>
              </w:rPr>
              <w:t>5.20</w:t>
            </w:r>
          </w:p>
        </w:tc>
        <w:tc>
          <w:tcPr>
            <w:tcW w:w="1760" w:type="dxa"/>
            <w:tcBorders>
              <w:top w:val="nil"/>
              <w:left w:val="nil"/>
              <w:bottom w:val="single" w:sz="4" w:space="0" w:color="auto"/>
              <w:right w:val="single" w:sz="4" w:space="0" w:color="auto"/>
            </w:tcBorders>
            <w:shd w:val="clear" w:color="auto" w:fill="C4EFCE"/>
            <w:vAlign w:val="center"/>
            <w:hideMark/>
          </w:tcPr>
          <w:p w14:paraId="35521E65" w14:textId="77777777" w:rsidR="00A15990" w:rsidRDefault="00686A62">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2A64CCB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80ED2B5" w14:textId="77777777" w:rsidR="00A15990" w:rsidRDefault="00686A62">
            <w:pPr>
              <w:pStyle w:val="P68B1DB1-Normal23"/>
              <w:spacing w:after="0"/>
              <w:jc w:val="both"/>
              <w:rPr>
                <w:rFonts w:eastAsia="Calibri" w:cs="Calibri"/>
                <w:noProof/>
              </w:rPr>
            </w:pPr>
            <w:r>
              <w:rPr>
                <w:noProof/>
              </w:rPr>
              <w:t>Proiecte sprijinite în cadrul schemelor de sprijin pentru restructurarea întreprinderilor din sectorul prelucrării și comercializării</w:t>
            </w:r>
          </w:p>
        </w:tc>
      </w:tr>
      <w:tr w:rsidR="00A15990" w14:paraId="3FDB28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78BD67" w14:textId="77777777" w:rsidR="00A15990" w:rsidRDefault="00686A62">
            <w:pPr>
              <w:pStyle w:val="P68B1DB1-Normal23"/>
              <w:spacing w:after="0"/>
              <w:jc w:val="center"/>
              <w:rPr>
                <w:rFonts w:eastAsia="Calibri" w:cs="Calibri"/>
                <w:noProof/>
              </w:rPr>
            </w:pPr>
            <w:r>
              <w:rPr>
                <w:noProof/>
              </w:rPr>
              <w:t>5.21</w:t>
            </w:r>
          </w:p>
        </w:tc>
        <w:tc>
          <w:tcPr>
            <w:tcW w:w="1760" w:type="dxa"/>
            <w:tcBorders>
              <w:top w:val="nil"/>
              <w:left w:val="nil"/>
              <w:bottom w:val="single" w:sz="4" w:space="0" w:color="auto"/>
              <w:right w:val="single" w:sz="4" w:space="0" w:color="auto"/>
            </w:tcBorders>
            <w:shd w:val="clear" w:color="auto" w:fill="C4EFCE"/>
            <w:vAlign w:val="center"/>
            <w:hideMark/>
          </w:tcPr>
          <w:p w14:paraId="2006E72B" w14:textId="77777777" w:rsidR="00A15990" w:rsidRDefault="00686A62">
            <w:pPr>
              <w:pStyle w:val="P68B1DB1-Normal23"/>
              <w:spacing w:after="0"/>
              <w:jc w:val="center"/>
              <w:rPr>
                <w:rFonts w:eastAsia="Calibri" w:cs="Calibri"/>
                <w:noProof/>
              </w:rPr>
            </w:pPr>
            <w:r>
              <w:rPr>
                <w:noProof/>
              </w:rPr>
              <w:t>RE-C05-i05-RAA</w:t>
            </w:r>
          </w:p>
        </w:tc>
        <w:tc>
          <w:tcPr>
            <w:tcW w:w="1520" w:type="dxa"/>
            <w:tcBorders>
              <w:top w:val="nil"/>
              <w:left w:val="nil"/>
              <w:bottom w:val="single" w:sz="4" w:space="0" w:color="auto"/>
              <w:right w:val="single" w:sz="4" w:space="0" w:color="auto"/>
            </w:tcBorders>
            <w:shd w:val="clear" w:color="auto" w:fill="C4EFCE"/>
            <w:vAlign w:val="center"/>
            <w:hideMark/>
          </w:tcPr>
          <w:p w14:paraId="43DF32C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4AC44E0" w14:textId="77777777" w:rsidR="00A15990" w:rsidRDefault="00686A62">
            <w:pPr>
              <w:pStyle w:val="P68B1DB1-Normal23"/>
              <w:spacing w:after="0"/>
              <w:jc w:val="both"/>
              <w:rPr>
                <w:rFonts w:eastAsia="Calibri" w:cs="Calibri"/>
                <w:noProof/>
              </w:rPr>
            </w:pPr>
            <w:r>
              <w:rPr>
                <w:noProof/>
              </w:rPr>
              <w:t>Proiecte sprijinite în cadrul schemelor de sprijin pentru restructurarea exploatațiilor agricole</w:t>
            </w:r>
          </w:p>
        </w:tc>
      </w:tr>
      <w:tr w:rsidR="00A15990" w14:paraId="100DF5DB"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55BC21F8" w14:textId="77777777" w:rsidR="00A15990" w:rsidRDefault="00686A62">
            <w:pPr>
              <w:pStyle w:val="P68B1DB1-Normal23"/>
              <w:spacing w:after="0"/>
              <w:jc w:val="center"/>
              <w:rPr>
                <w:rFonts w:eastAsia="Calibri" w:cs="Calibri"/>
                <w:noProof/>
              </w:rPr>
            </w:pPr>
            <w:r>
              <w:rPr>
                <w:noProof/>
              </w:rPr>
              <w:t>5.22</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2D7005F4" w14:textId="77777777" w:rsidR="00A15990" w:rsidRDefault="00686A62">
            <w:pPr>
              <w:pStyle w:val="P68B1DB1-Normal23"/>
              <w:spacing w:after="0"/>
              <w:jc w:val="center"/>
              <w:rPr>
                <w:rFonts w:eastAsia="Calibri" w:cs="Calibri"/>
                <w:noProof/>
              </w:rPr>
            </w:pPr>
            <w:r>
              <w:rPr>
                <w:noProof/>
              </w:rPr>
              <w:t>RE-C05-i05-RAA</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3DA139D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D347233" w14:textId="77777777" w:rsidR="00A15990" w:rsidRDefault="00686A62">
            <w:pPr>
              <w:pStyle w:val="P68B1DB1-Normal23"/>
              <w:spacing w:after="0"/>
              <w:jc w:val="both"/>
              <w:rPr>
                <w:rFonts w:eastAsia="Calibri" w:cs="Calibri"/>
                <w:noProof/>
              </w:rPr>
            </w:pPr>
            <w:r>
              <w:rPr>
                <w:noProof/>
              </w:rPr>
              <w:t>Ferme care beneficiază de sprijin tehnic specializat în cadrul Programului de capacitare a fermierilor</w:t>
            </w:r>
          </w:p>
        </w:tc>
      </w:tr>
      <w:tr w:rsidR="00A15990" w14:paraId="30BF76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9D989F" w14:textId="77777777" w:rsidR="00A15990" w:rsidRDefault="00686A62">
            <w:pPr>
              <w:pStyle w:val="P68B1DB1-Normal23"/>
              <w:spacing w:after="0"/>
              <w:jc w:val="center"/>
              <w:rPr>
                <w:rFonts w:eastAsia="Calibri" w:cs="Calibri"/>
                <w:noProof/>
              </w:rPr>
            </w:pPr>
            <w:r>
              <w:rPr>
                <w:noProof/>
              </w:rPr>
              <w:t>5.34</w:t>
            </w:r>
          </w:p>
        </w:tc>
        <w:tc>
          <w:tcPr>
            <w:tcW w:w="1760" w:type="dxa"/>
            <w:tcBorders>
              <w:top w:val="nil"/>
              <w:left w:val="nil"/>
              <w:bottom w:val="single" w:sz="4" w:space="0" w:color="auto"/>
              <w:right w:val="single" w:sz="4" w:space="0" w:color="auto"/>
            </w:tcBorders>
            <w:shd w:val="clear" w:color="auto" w:fill="C4EFCE"/>
            <w:vAlign w:val="center"/>
            <w:hideMark/>
          </w:tcPr>
          <w:p w14:paraId="72F4B8DE" w14:textId="1915F13C" w:rsidR="00A15990" w:rsidRDefault="00686A62">
            <w:pPr>
              <w:pStyle w:val="P68B1DB1-Normal23"/>
              <w:spacing w:after="0"/>
              <w:jc w:val="center"/>
              <w:rPr>
                <w:rFonts w:eastAsia="Calibri" w:cs="Calibri"/>
                <w:noProof/>
              </w:rPr>
            </w:pPr>
            <w:r>
              <w:rPr>
                <w:noProof/>
              </w:rPr>
              <w:t>RE-C05-i07-RAM</w:t>
            </w:r>
          </w:p>
        </w:tc>
        <w:tc>
          <w:tcPr>
            <w:tcW w:w="1520" w:type="dxa"/>
            <w:tcBorders>
              <w:top w:val="nil"/>
              <w:left w:val="nil"/>
              <w:bottom w:val="single" w:sz="4" w:space="0" w:color="auto"/>
              <w:right w:val="single" w:sz="4" w:space="0" w:color="auto"/>
            </w:tcBorders>
            <w:shd w:val="clear" w:color="auto" w:fill="C4EFCE"/>
            <w:vAlign w:val="center"/>
            <w:hideMark/>
          </w:tcPr>
          <w:p w14:paraId="316503D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B50AB12" w14:textId="77777777" w:rsidR="00A15990" w:rsidRDefault="00686A62">
            <w:pPr>
              <w:pStyle w:val="P68B1DB1-Normal23"/>
              <w:spacing w:after="0"/>
              <w:jc w:val="both"/>
              <w:rPr>
                <w:rFonts w:eastAsia="Calibri" w:cs="Calibri"/>
                <w:noProof/>
              </w:rPr>
            </w:pPr>
            <w:r>
              <w:rPr>
                <w:noProof/>
              </w:rPr>
              <w:t>Garanții pentru împrumuturi care sprijină proiecte ale întreprinderilor regionale.</w:t>
            </w:r>
          </w:p>
        </w:tc>
      </w:tr>
      <w:tr w:rsidR="00A15990" w14:paraId="1D91A46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3F7491" w14:textId="77777777" w:rsidR="00A15990" w:rsidRDefault="00686A62">
            <w:pPr>
              <w:pStyle w:val="P68B1DB1-Normal23"/>
              <w:spacing w:after="0"/>
              <w:jc w:val="center"/>
              <w:rPr>
                <w:rFonts w:eastAsia="Calibri" w:cs="Calibri"/>
                <w:noProof/>
              </w:rPr>
            </w:pPr>
            <w:r>
              <w:rPr>
                <w:noProof/>
              </w:rPr>
              <w:t>5.35</w:t>
            </w:r>
          </w:p>
        </w:tc>
        <w:tc>
          <w:tcPr>
            <w:tcW w:w="1760" w:type="dxa"/>
            <w:tcBorders>
              <w:top w:val="nil"/>
              <w:left w:val="nil"/>
              <w:bottom w:val="single" w:sz="4" w:space="0" w:color="auto"/>
              <w:right w:val="single" w:sz="4" w:space="0" w:color="auto"/>
            </w:tcBorders>
            <w:shd w:val="clear" w:color="auto" w:fill="C4EFCE"/>
            <w:vAlign w:val="center"/>
            <w:hideMark/>
          </w:tcPr>
          <w:p w14:paraId="6967C3AD" w14:textId="77777777" w:rsidR="00A15990" w:rsidRDefault="00686A62">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4CCABE5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F5823A" w14:textId="1C28B1CC" w:rsidR="00A15990" w:rsidRDefault="00686A62">
            <w:pPr>
              <w:pStyle w:val="P68B1DB1-Normal23"/>
              <w:spacing w:after="0"/>
              <w:jc w:val="both"/>
              <w:rPr>
                <w:rFonts w:eastAsia="Calibri" w:cs="Calibri"/>
                <w:noProof/>
              </w:rPr>
            </w:pPr>
            <w:r>
              <w:rPr>
                <w:noProof/>
              </w:rPr>
              <w:t>Finalizarea „Science XXI campus” și „Science Desk” și furnizarea de servicii prin intermediul Programului național privind știința deschisă și datele de cercetare deschise (PNCADAI)</w:t>
            </w:r>
          </w:p>
        </w:tc>
      </w:tr>
      <w:tr w:rsidR="00A15990" w14:paraId="7A31595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C6871" w14:textId="77777777" w:rsidR="00A15990" w:rsidRDefault="00686A62">
            <w:pPr>
              <w:pStyle w:val="P68B1DB1-Normal23"/>
              <w:spacing w:after="0"/>
              <w:jc w:val="center"/>
              <w:rPr>
                <w:rFonts w:eastAsia="Calibri" w:cs="Calibri"/>
                <w:noProof/>
              </w:rPr>
            </w:pPr>
            <w:r>
              <w:rPr>
                <w:noProof/>
              </w:rPr>
              <w:t>5.40</w:t>
            </w:r>
          </w:p>
        </w:tc>
        <w:tc>
          <w:tcPr>
            <w:tcW w:w="1760" w:type="dxa"/>
            <w:tcBorders>
              <w:top w:val="nil"/>
              <w:left w:val="nil"/>
              <w:bottom w:val="single" w:sz="4" w:space="0" w:color="auto"/>
              <w:right w:val="single" w:sz="4" w:space="0" w:color="auto"/>
            </w:tcBorders>
            <w:shd w:val="clear" w:color="auto" w:fill="C4EFCE"/>
            <w:vAlign w:val="center"/>
            <w:hideMark/>
          </w:tcPr>
          <w:p w14:paraId="2F1FA845" w14:textId="77777777" w:rsidR="00A15990" w:rsidRDefault="00686A62">
            <w:pPr>
              <w:pStyle w:val="P68B1DB1-Normal23"/>
              <w:spacing w:after="0"/>
              <w:jc w:val="center"/>
              <w:rPr>
                <w:rFonts w:eastAsia="Calibri" w:cs="Calibri"/>
                <w:noProof/>
              </w:rPr>
            </w:pPr>
            <w:r>
              <w:rPr>
                <w:noProof/>
              </w:rPr>
              <w:t>RE-C05-i09</w:t>
            </w:r>
          </w:p>
        </w:tc>
        <w:tc>
          <w:tcPr>
            <w:tcW w:w="1520" w:type="dxa"/>
            <w:tcBorders>
              <w:top w:val="nil"/>
              <w:left w:val="nil"/>
              <w:bottom w:val="single" w:sz="4" w:space="0" w:color="auto"/>
              <w:right w:val="single" w:sz="4" w:space="0" w:color="auto"/>
            </w:tcBorders>
            <w:shd w:val="clear" w:color="auto" w:fill="C4EFCE"/>
            <w:vAlign w:val="center"/>
            <w:hideMark/>
          </w:tcPr>
          <w:p w14:paraId="6C87243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8591A6" w14:textId="77777777" w:rsidR="00A15990" w:rsidRDefault="00686A62">
            <w:pPr>
              <w:pStyle w:val="P68B1DB1-Normal23"/>
              <w:spacing w:after="0"/>
              <w:jc w:val="both"/>
              <w:rPr>
                <w:rFonts w:eastAsia="Calibri" w:cs="Calibri"/>
                <w:noProof/>
              </w:rPr>
            </w:pPr>
            <w:r>
              <w:rPr>
                <w:noProof/>
              </w:rPr>
              <w:t>Finalizarea a 168 produse, procese sau servicii.</w:t>
            </w:r>
          </w:p>
        </w:tc>
      </w:tr>
      <w:tr w:rsidR="00A15990" w14:paraId="421627E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3DDFE9" w14:textId="77777777" w:rsidR="00A15990" w:rsidRDefault="00686A62">
            <w:pPr>
              <w:pStyle w:val="P68B1DB1-Normal23"/>
              <w:spacing w:after="0"/>
              <w:jc w:val="center"/>
              <w:rPr>
                <w:rFonts w:eastAsia="Calibri" w:cs="Calibri"/>
                <w:noProof/>
              </w:rPr>
            </w:pPr>
            <w:r>
              <w:rPr>
                <w:noProof/>
              </w:rPr>
              <w:t>5.42</w:t>
            </w:r>
          </w:p>
        </w:tc>
        <w:tc>
          <w:tcPr>
            <w:tcW w:w="1760" w:type="dxa"/>
            <w:tcBorders>
              <w:top w:val="nil"/>
              <w:left w:val="nil"/>
              <w:bottom w:val="single" w:sz="4" w:space="0" w:color="auto"/>
              <w:right w:val="single" w:sz="4" w:space="0" w:color="auto"/>
            </w:tcBorders>
            <w:shd w:val="clear" w:color="auto" w:fill="C4EFCE"/>
            <w:vAlign w:val="center"/>
            <w:hideMark/>
          </w:tcPr>
          <w:p w14:paraId="2AC3BE32" w14:textId="77777777" w:rsidR="00A15990" w:rsidRDefault="00686A62">
            <w:pPr>
              <w:pStyle w:val="P68B1DB1-Normal23"/>
              <w:spacing w:after="0"/>
              <w:jc w:val="center"/>
              <w:rPr>
                <w:rFonts w:eastAsia="Calibri" w:cs="Calibri"/>
                <w:noProof/>
              </w:rPr>
            </w:pPr>
            <w:r>
              <w:rPr>
                <w:noProof/>
              </w:rPr>
              <w:t>RE-C05-i10</w:t>
            </w:r>
          </w:p>
        </w:tc>
        <w:tc>
          <w:tcPr>
            <w:tcW w:w="1520" w:type="dxa"/>
            <w:tcBorders>
              <w:top w:val="nil"/>
              <w:left w:val="nil"/>
              <w:bottom w:val="single" w:sz="4" w:space="0" w:color="auto"/>
              <w:right w:val="single" w:sz="4" w:space="0" w:color="auto"/>
            </w:tcBorders>
            <w:shd w:val="clear" w:color="auto" w:fill="C4EFCE"/>
            <w:vAlign w:val="center"/>
            <w:hideMark/>
          </w:tcPr>
          <w:p w14:paraId="326441C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B3B6ECA" w14:textId="77777777" w:rsidR="00A15990" w:rsidRDefault="00686A62">
            <w:pPr>
              <w:pStyle w:val="P68B1DB1-Normal23"/>
              <w:spacing w:after="0"/>
              <w:jc w:val="both"/>
              <w:rPr>
                <w:rFonts w:eastAsia="Calibri" w:cs="Calibri"/>
                <w:noProof/>
              </w:rPr>
            </w:pPr>
            <w:r>
              <w:rPr>
                <w:noProof/>
              </w:rPr>
              <w:t>Finalizarea produselor, proceselor sau serviciilor relevante pentru economia cu emisii scăzute de dioxid de carbon, reziliența și adaptarea la schimbările climatice.</w:t>
            </w:r>
          </w:p>
        </w:tc>
      </w:tr>
      <w:tr w:rsidR="00A15990" w14:paraId="14988A7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04BD2D" w14:textId="77777777" w:rsidR="00A15990" w:rsidRDefault="00686A62">
            <w:pPr>
              <w:pStyle w:val="P68B1DB1-Normal23"/>
              <w:spacing w:after="0"/>
              <w:jc w:val="center"/>
              <w:rPr>
                <w:rFonts w:eastAsia="Calibri" w:cs="Calibri"/>
                <w:noProof/>
              </w:rPr>
            </w:pPr>
            <w:r>
              <w:rPr>
                <w:noProof/>
              </w:rPr>
              <w:t>6.2</w:t>
            </w:r>
          </w:p>
        </w:tc>
        <w:tc>
          <w:tcPr>
            <w:tcW w:w="1760" w:type="dxa"/>
            <w:tcBorders>
              <w:top w:val="nil"/>
              <w:left w:val="nil"/>
              <w:bottom w:val="single" w:sz="4" w:space="0" w:color="auto"/>
              <w:right w:val="single" w:sz="4" w:space="0" w:color="auto"/>
            </w:tcBorders>
            <w:shd w:val="clear" w:color="auto" w:fill="C4EFCE"/>
            <w:vAlign w:val="center"/>
            <w:hideMark/>
          </w:tcPr>
          <w:p w14:paraId="3BDA4A67" w14:textId="77777777" w:rsidR="00A15990" w:rsidRDefault="00686A62">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4065303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F70C1E" w14:textId="77777777" w:rsidR="00A15990" w:rsidRDefault="00686A62">
            <w:pPr>
              <w:pStyle w:val="P68B1DB1-Normal23"/>
              <w:spacing w:after="0"/>
              <w:jc w:val="both"/>
              <w:rPr>
                <w:rFonts w:eastAsia="Calibri" w:cs="Calibri"/>
                <w:noProof/>
              </w:rPr>
            </w:pPr>
            <w:r>
              <w:rPr>
                <w:noProof/>
              </w:rPr>
              <w:t>Centre tehnologice specializate renovate sau construite</w:t>
            </w:r>
          </w:p>
        </w:tc>
      </w:tr>
      <w:tr w:rsidR="00A15990" w14:paraId="67A0ACB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055146" w14:textId="77777777" w:rsidR="00A15990" w:rsidRDefault="00686A62">
            <w:pPr>
              <w:pStyle w:val="P68B1DB1-Normal23"/>
              <w:spacing w:after="0"/>
              <w:jc w:val="center"/>
              <w:rPr>
                <w:rFonts w:eastAsia="Calibri" w:cs="Calibri"/>
                <w:noProof/>
              </w:rPr>
            </w:pPr>
            <w:r>
              <w:rPr>
                <w:noProof/>
              </w:rPr>
              <w:t>6.4</w:t>
            </w:r>
          </w:p>
        </w:tc>
        <w:tc>
          <w:tcPr>
            <w:tcW w:w="1760" w:type="dxa"/>
            <w:tcBorders>
              <w:top w:val="nil"/>
              <w:left w:val="nil"/>
              <w:bottom w:val="single" w:sz="4" w:space="0" w:color="auto"/>
              <w:right w:val="single" w:sz="4" w:space="0" w:color="auto"/>
            </w:tcBorders>
            <w:shd w:val="clear" w:color="auto" w:fill="C4EFCE"/>
            <w:vAlign w:val="center"/>
            <w:hideMark/>
          </w:tcPr>
          <w:p w14:paraId="560BB3EF" w14:textId="77777777" w:rsidR="00A15990" w:rsidRDefault="00686A62">
            <w:pPr>
              <w:pStyle w:val="P68B1DB1-Normal23"/>
              <w:spacing w:after="0"/>
              <w:jc w:val="center"/>
              <w:rPr>
                <w:rFonts w:eastAsia="Calibri" w:cs="Calibri"/>
                <w:noProof/>
              </w:rPr>
            </w:pPr>
            <w:r>
              <w:rPr>
                <w:noProof/>
              </w:rPr>
              <w:t>RE-C06-i01</w:t>
            </w:r>
          </w:p>
        </w:tc>
        <w:tc>
          <w:tcPr>
            <w:tcW w:w="1520" w:type="dxa"/>
            <w:tcBorders>
              <w:top w:val="nil"/>
              <w:left w:val="nil"/>
              <w:bottom w:val="single" w:sz="4" w:space="0" w:color="auto"/>
              <w:right w:val="single" w:sz="4" w:space="0" w:color="auto"/>
            </w:tcBorders>
            <w:shd w:val="clear" w:color="auto" w:fill="C4EFCE"/>
            <w:vAlign w:val="center"/>
            <w:hideMark/>
          </w:tcPr>
          <w:p w14:paraId="1A02B8E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7D6BE2" w14:textId="77777777" w:rsidR="00A15990" w:rsidRDefault="00686A62">
            <w:pPr>
              <w:pStyle w:val="P68B1DB1-Normal23"/>
              <w:spacing w:after="0"/>
              <w:jc w:val="both"/>
              <w:rPr>
                <w:rFonts w:eastAsia="Calibri" w:cs="Calibri"/>
                <w:noProof/>
              </w:rPr>
            </w:pPr>
            <w:r>
              <w:rPr>
                <w:noProof/>
              </w:rPr>
              <w:t>Stații de formare modernizate</w:t>
            </w:r>
          </w:p>
        </w:tc>
      </w:tr>
      <w:tr w:rsidR="00A15990" w14:paraId="5E314A8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0FE7BE" w14:textId="77777777" w:rsidR="00A15990" w:rsidRDefault="00686A62">
            <w:pPr>
              <w:pStyle w:val="P68B1DB1-Normal23"/>
              <w:spacing w:after="0"/>
              <w:jc w:val="center"/>
              <w:rPr>
                <w:rFonts w:eastAsia="Calibri" w:cs="Calibri"/>
                <w:noProof/>
              </w:rPr>
            </w:pPr>
            <w:r>
              <w:rPr>
                <w:noProof/>
              </w:rPr>
              <w:t>6.6</w:t>
            </w:r>
          </w:p>
        </w:tc>
        <w:tc>
          <w:tcPr>
            <w:tcW w:w="1760" w:type="dxa"/>
            <w:tcBorders>
              <w:top w:val="nil"/>
              <w:left w:val="nil"/>
              <w:bottom w:val="single" w:sz="4" w:space="0" w:color="auto"/>
              <w:right w:val="single" w:sz="4" w:space="0" w:color="auto"/>
            </w:tcBorders>
            <w:shd w:val="clear" w:color="auto" w:fill="C4EFCE"/>
            <w:vAlign w:val="center"/>
            <w:hideMark/>
          </w:tcPr>
          <w:p w14:paraId="6F3A1B05" w14:textId="77777777" w:rsidR="00A15990" w:rsidRDefault="00686A62">
            <w:pPr>
              <w:pStyle w:val="P68B1DB1-Normal23"/>
              <w:spacing w:after="0"/>
              <w:jc w:val="center"/>
              <w:rPr>
                <w:rFonts w:eastAsia="Calibri" w:cs="Calibri"/>
                <w:noProof/>
              </w:rPr>
            </w:pPr>
            <w:r>
              <w:rPr>
                <w:noProof/>
              </w:rPr>
              <w:t>RE-C06-i03</w:t>
            </w:r>
          </w:p>
        </w:tc>
        <w:tc>
          <w:tcPr>
            <w:tcW w:w="1520" w:type="dxa"/>
            <w:tcBorders>
              <w:top w:val="nil"/>
              <w:left w:val="nil"/>
              <w:bottom w:val="single" w:sz="4" w:space="0" w:color="auto"/>
              <w:right w:val="single" w:sz="4" w:space="0" w:color="auto"/>
            </w:tcBorders>
            <w:shd w:val="clear" w:color="auto" w:fill="C4EFCE"/>
            <w:vAlign w:val="center"/>
            <w:hideMark/>
          </w:tcPr>
          <w:p w14:paraId="232B7518"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37F14F" w14:textId="77777777" w:rsidR="00A15990" w:rsidRDefault="00686A62">
            <w:pPr>
              <w:pStyle w:val="P68B1DB1-Normal23"/>
              <w:spacing w:after="0"/>
              <w:jc w:val="both"/>
              <w:rPr>
                <w:rFonts w:eastAsia="Calibri" w:cs="Calibri"/>
                <w:noProof/>
              </w:rPr>
            </w:pPr>
            <w:r>
              <w:rPr>
                <w:noProof/>
              </w:rPr>
              <w:t>Participanți suplimentari la măsurile de sprijinire a perfecționării competențelor adulților</w:t>
            </w:r>
          </w:p>
        </w:tc>
      </w:tr>
      <w:tr w:rsidR="00A15990" w14:paraId="050A7C9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403F26F" w14:textId="77777777" w:rsidR="00A15990" w:rsidRDefault="00686A62">
            <w:pPr>
              <w:pStyle w:val="P68B1DB1-Normal23"/>
              <w:spacing w:after="0"/>
              <w:jc w:val="center"/>
              <w:rPr>
                <w:rFonts w:eastAsia="Calibri" w:cs="Calibri"/>
                <w:noProof/>
              </w:rPr>
            </w:pPr>
            <w:r>
              <w:rPr>
                <w:noProof/>
              </w:rPr>
              <w:t>6.7</w:t>
            </w:r>
          </w:p>
        </w:tc>
        <w:tc>
          <w:tcPr>
            <w:tcW w:w="1760" w:type="dxa"/>
            <w:tcBorders>
              <w:top w:val="nil"/>
              <w:left w:val="nil"/>
              <w:bottom w:val="single" w:sz="4" w:space="0" w:color="auto"/>
              <w:right w:val="single" w:sz="4" w:space="0" w:color="auto"/>
            </w:tcBorders>
            <w:shd w:val="clear" w:color="auto" w:fill="C4EFCE"/>
            <w:vAlign w:val="center"/>
            <w:hideMark/>
          </w:tcPr>
          <w:p w14:paraId="46784F4F" w14:textId="77777777" w:rsidR="00A15990" w:rsidRDefault="00686A62">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1087726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3B9D33" w14:textId="77777777" w:rsidR="00A15990" w:rsidRDefault="00686A62">
            <w:pPr>
              <w:pStyle w:val="P68B1DB1-Normal23"/>
              <w:spacing w:after="0"/>
              <w:jc w:val="both"/>
              <w:rPr>
                <w:rFonts w:eastAsia="Calibri" w:cs="Calibri"/>
                <w:noProof/>
              </w:rPr>
            </w:pPr>
            <w:r>
              <w:rPr>
                <w:noProof/>
              </w:rPr>
              <w:t>Cluburi suplimentare din Ciência Viva</w:t>
            </w:r>
          </w:p>
        </w:tc>
      </w:tr>
      <w:tr w:rsidR="00A15990" w14:paraId="582916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5A0571" w14:textId="77777777" w:rsidR="00A15990" w:rsidRDefault="00686A62">
            <w:pPr>
              <w:pStyle w:val="P68B1DB1-Normal23"/>
              <w:spacing w:after="0"/>
              <w:jc w:val="center"/>
              <w:rPr>
                <w:rFonts w:eastAsia="Calibri" w:cs="Calibri"/>
                <w:noProof/>
              </w:rPr>
            </w:pPr>
            <w:r>
              <w:rPr>
                <w:noProof/>
              </w:rPr>
              <w:t>6.9</w:t>
            </w:r>
          </w:p>
        </w:tc>
        <w:tc>
          <w:tcPr>
            <w:tcW w:w="1760" w:type="dxa"/>
            <w:tcBorders>
              <w:top w:val="nil"/>
              <w:left w:val="nil"/>
              <w:bottom w:val="single" w:sz="4" w:space="0" w:color="auto"/>
              <w:right w:val="single" w:sz="4" w:space="0" w:color="auto"/>
            </w:tcBorders>
            <w:shd w:val="clear" w:color="auto" w:fill="C4EFCE"/>
            <w:vAlign w:val="center"/>
            <w:hideMark/>
          </w:tcPr>
          <w:p w14:paraId="5E8FAB6C" w14:textId="77777777" w:rsidR="00A15990" w:rsidRDefault="00686A62">
            <w:pPr>
              <w:pStyle w:val="P68B1DB1-Normal23"/>
              <w:spacing w:after="0"/>
              <w:jc w:val="center"/>
              <w:rPr>
                <w:rFonts w:eastAsia="Calibri" w:cs="Calibri"/>
                <w:noProof/>
              </w:rPr>
            </w:pPr>
            <w:r>
              <w:rPr>
                <w:noProof/>
              </w:rPr>
              <w:t>RE-C06-i04</w:t>
            </w:r>
          </w:p>
        </w:tc>
        <w:tc>
          <w:tcPr>
            <w:tcW w:w="1520" w:type="dxa"/>
            <w:tcBorders>
              <w:top w:val="nil"/>
              <w:left w:val="nil"/>
              <w:bottom w:val="single" w:sz="4" w:space="0" w:color="auto"/>
              <w:right w:val="single" w:sz="4" w:space="0" w:color="auto"/>
            </w:tcBorders>
            <w:shd w:val="clear" w:color="auto" w:fill="C4EFCE"/>
            <w:vAlign w:val="center"/>
            <w:hideMark/>
          </w:tcPr>
          <w:p w14:paraId="48B0335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AD5F2D" w14:textId="77777777" w:rsidR="00A15990" w:rsidRDefault="00686A62">
            <w:pPr>
              <w:pStyle w:val="P68B1DB1-Normal23"/>
              <w:spacing w:after="0"/>
              <w:jc w:val="both"/>
              <w:rPr>
                <w:rFonts w:eastAsia="Calibri" w:cs="Calibri"/>
                <w:noProof/>
              </w:rPr>
            </w:pPr>
            <w:r>
              <w:rPr>
                <w:noProof/>
              </w:rPr>
              <w:t>Număr suplimentar de studenți absolvenți ai unor cursuri de învățământ terțiar în STIAM</w:t>
            </w:r>
          </w:p>
        </w:tc>
      </w:tr>
      <w:tr w:rsidR="00A15990" w14:paraId="3C70A66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4CDA63" w14:textId="77777777" w:rsidR="00A15990" w:rsidRDefault="00686A62">
            <w:pPr>
              <w:pStyle w:val="P68B1DB1-Normal23"/>
              <w:spacing w:after="0"/>
              <w:jc w:val="center"/>
              <w:rPr>
                <w:rFonts w:eastAsia="Calibri" w:cs="Calibri"/>
                <w:noProof/>
              </w:rPr>
            </w:pPr>
            <w:r>
              <w:rPr>
                <w:noProof/>
              </w:rPr>
              <w:t>6.10</w:t>
            </w:r>
          </w:p>
        </w:tc>
        <w:tc>
          <w:tcPr>
            <w:tcW w:w="1760" w:type="dxa"/>
            <w:tcBorders>
              <w:top w:val="nil"/>
              <w:left w:val="nil"/>
              <w:bottom w:val="single" w:sz="4" w:space="0" w:color="auto"/>
              <w:right w:val="single" w:sz="4" w:space="0" w:color="auto"/>
            </w:tcBorders>
            <w:shd w:val="clear" w:color="auto" w:fill="C4EFCE"/>
            <w:vAlign w:val="center"/>
            <w:hideMark/>
          </w:tcPr>
          <w:p w14:paraId="0E62DC90" w14:textId="77777777" w:rsidR="00A15990" w:rsidRDefault="00686A62">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01B4369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9DF944" w14:textId="77777777" w:rsidR="00A15990" w:rsidRDefault="00686A62">
            <w:pPr>
              <w:pStyle w:val="P68B1DB1-Normal23"/>
              <w:spacing w:after="0"/>
              <w:jc w:val="both"/>
              <w:rPr>
                <w:rFonts w:eastAsia="Calibri" w:cs="Calibri"/>
                <w:noProof/>
              </w:rPr>
            </w:pPr>
            <w:r>
              <w:rPr>
                <w:noProof/>
              </w:rPr>
              <w:t>Numărul suplimentar de adulți înscriși în învățământul postliceal și terțiar în Regiunea Autonomă Azore</w:t>
            </w:r>
          </w:p>
        </w:tc>
      </w:tr>
      <w:tr w:rsidR="00A15990" w14:paraId="2B7ADEC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ADBD20" w14:textId="77777777" w:rsidR="00A15990" w:rsidRDefault="00686A62">
            <w:pPr>
              <w:pStyle w:val="P68B1DB1-Normal23"/>
              <w:spacing w:after="0"/>
              <w:jc w:val="center"/>
              <w:rPr>
                <w:rFonts w:eastAsia="Calibri" w:cs="Calibri"/>
                <w:noProof/>
              </w:rPr>
            </w:pPr>
            <w:r>
              <w:rPr>
                <w:noProof/>
              </w:rPr>
              <w:t>6.11</w:t>
            </w:r>
          </w:p>
        </w:tc>
        <w:tc>
          <w:tcPr>
            <w:tcW w:w="1760" w:type="dxa"/>
            <w:tcBorders>
              <w:top w:val="nil"/>
              <w:left w:val="nil"/>
              <w:bottom w:val="single" w:sz="4" w:space="0" w:color="auto"/>
              <w:right w:val="single" w:sz="4" w:space="0" w:color="auto"/>
            </w:tcBorders>
            <w:shd w:val="clear" w:color="auto" w:fill="C4EFCE"/>
            <w:vAlign w:val="center"/>
            <w:hideMark/>
          </w:tcPr>
          <w:p w14:paraId="4C3D556F" w14:textId="77777777" w:rsidR="00A15990" w:rsidRDefault="00686A62">
            <w:pPr>
              <w:pStyle w:val="P68B1DB1-Normal23"/>
              <w:spacing w:after="0"/>
              <w:jc w:val="center"/>
              <w:rPr>
                <w:rFonts w:eastAsia="Calibri" w:cs="Calibri"/>
                <w:noProof/>
              </w:rPr>
            </w:pPr>
            <w:r>
              <w:rPr>
                <w:noProof/>
              </w:rPr>
              <w:t>RE-C06-i05-RAA</w:t>
            </w:r>
          </w:p>
        </w:tc>
        <w:tc>
          <w:tcPr>
            <w:tcW w:w="1520" w:type="dxa"/>
            <w:tcBorders>
              <w:top w:val="nil"/>
              <w:left w:val="nil"/>
              <w:bottom w:val="single" w:sz="4" w:space="0" w:color="auto"/>
              <w:right w:val="single" w:sz="4" w:space="0" w:color="auto"/>
            </w:tcBorders>
            <w:shd w:val="clear" w:color="auto" w:fill="C4EFCE"/>
            <w:vAlign w:val="center"/>
            <w:hideMark/>
          </w:tcPr>
          <w:p w14:paraId="680350D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2427B23" w14:textId="77777777" w:rsidR="00A15990" w:rsidRDefault="00686A62">
            <w:pPr>
              <w:pStyle w:val="P68B1DB1-Normal23"/>
              <w:spacing w:after="0"/>
              <w:jc w:val="both"/>
              <w:rPr>
                <w:rFonts w:eastAsia="Calibri" w:cs="Calibri"/>
                <w:noProof/>
              </w:rPr>
            </w:pPr>
            <w:r>
              <w:rPr>
                <w:noProof/>
              </w:rPr>
              <w:t>Școli profesionale modernizate din Regiunea Autonomă Azore</w:t>
            </w:r>
          </w:p>
        </w:tc>
      </w:tr>
      <w:tr w:rsidR="00A15990" w14:paraId="24EC007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7C2B" w14:textId="77777777" w:rsidR="00A15990" w:rsidRDefault="00686A62">
            <w:pPr>
              <w:pStyle w:val="P68B1DB1-Normal23"/>
              <w:spacing w:after="0"/>
              <w:jc w:val="center"/>
              <w:rPr>
                <w:rFonts w:eastAsia="Calibri" w:cs="Calibri"/>
                <w:noProof/>
              </w:rPr>
            </w:pPr>
            <w:r>
              <w:rPr>
                <w:noProof/>
              </w:rPr>
              <w:t>6.12</w:t>
            </w:r>
          </w:p>
        </w:tc>
        <w:tc>
          <w:tcPr>
            <w:tcW w:w="1760" w:type="dxa"/>
            <w:tcBorders>
              <w:top w:val="nil"/>
              <w:left w:val="nil"/>
              <w:bottom w:val="single" w:sz="4" w:space="0" w:color="auto"/>
              <w:right w:val="single" w:sz="4" w:space="0" w:color="auto"/>
            </w:tcBorders>
            <w:shd w:val="clear" w:color="auto" w:fill="C4EFCE"/>
            <w:vAlign w:val="center"/>
            <w:hideMark/>
          </w:tcPr>
          <w:p w14:paraId="50C54B79" w14:textId="77777777" w:rsidR="00A15990" w:rsidRDefault="00686A62">
            <w:pPr>
              <w:pStyle w:val="P68B1DB1-Normal23"/>
              <w:spacing w:after="0"/>
              <w:jc w:val="center"/>
              <w:rPr>
                <w:rFonts w:eastAsia="Calibri" w:cs="Calibri"/>
                <w:noProof/>
              </w:rPr>
            </w:pPr>
            <w:r>
              <w:rPr>
                <w:noProof/>
              </w:rPr>
              <w:t>RE-C06-r14</w:t>
            </w:r>
          </w:p>
        </w:tc>
        <w:tc>
          <w:tcPr>
            <w:tcW w:w="1520" w:type="dxa"/>
            <w:tcBorders>
              <w:top w:val="nil"/>
              <w:left w:val="nil"/>
              <w:bottom w:val="single" w:sz="4" w:space="0" w:color="auto"/>
              <w:right w:val="single" w:sz="4" w:space="0" w:color="auto"/>
            </w:tcBorders>
            <w:shd w:val="clear" w:color="auto" w:fill="C4EFCE"/>
            <w:vAlign w:val="center"/>
            <w:hideMark/>
          </w:tcPr>
          <w:p w14:paraId="3BED303B"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5602805" w14:textId="77777777" w:rsidR="00A15990" w:rsidRDefault="00686A62">
            <w:pPr>
              <w:pStyle w:val="P68B1DB1-Normal23"/>
              <w:spacing w:after="0"/>
              <w:jc w:val="both"/>
              <w:rPr>
                <w:rFonts w:eastAsia="Calibri" w:cs="Calibri"/>
                <w:noProof/>
              </w:rPr>
            </w:pPr>
            <w:r>
              <w:rPr>
                <w:noProof/>
              </w:rPr>
              <w:t>Deschiderea posturilor vacante de formare</w:t>
            </w:r>
          </w:p>
        </w:tc>
      </w:tr>
      <w:tr w:rsidR="00A15990" w14:paraId="33E8B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A94FF" w14:textId="77777777" w:rsidR="00A15990" w:rsidRDefault="00686A62">
            <w:pPr>
              <w:pStyle w:val="P68B1DB1-Normal23"/>
              <w:spacing w:after="0"/>
              <w:jc w:val="center"/>
              <w:rPr>
                <w:rFonts w:eastAsia="Calibri" w:cs="Calibri"/>
                <w:noProof/>
              </w:rPr>
            </w:pPr>
            <w:r>
              <w:rPr>
                <w:noProof/>
              </w:rPr>
              <w:t>7.3</w:t>
            </w:r>
          </w:p>
        </w:tc>
        <w:tc>
          <w:tcPr>
            <w:tcW w:w="1760" w:type="dxa"/>
            <w:tcBorders>
              <w:top w:val="nil"/>
              <w:left w:val="nil"/>
              <w:bottom w:val="single" w:sz="4" w:space="0" w:color="auto"/>
              <w:right w:val="single" w:sz="4" w:space="0" w:color="auto"/>
            </w:tcBorders>
            <w:shd w:val="clear" w:color="auto" w:fill="C4EFCE"/>
            <w:vAlign w:val="center"/>
            <w:hideMark/>
          </w:tcPr>
          <w:p w14:paraId="3892C438" w14:textId="77777777" w:rsidR="00A15990" w:rsidRDefault="00686A62">
            <w:pPr>
              <w:pStyle w:val="P68B1DB1-Normal23"/>
              <w:spacing w:after="0"/>
              <w:jc w:val="center"/>
              <w:rPr>
                <w:rFonts w:eastAsia="Calibri" w:cs="Calibri"/>
                <w:noProof/>
              </w:rPr>
            </w:pPr>
            <w:r>
              <w:rPr>
                <w:noProof/>
              </w:rPr>
              <w:t>RE-C07-i00</w:t>
            </w:r>
          </w:p>
        </w:tc>
        <w:tc>
          <w:tcPr>
            <w:tcW w:w="1520" w:type="dxa"/>
            <w:tcBorders>
              <w:top w:val="nil"/>
              <w:left w:val="nil"/>
              <w:bottom w:val="single" w:sz="4" w:space="0" w:color="auto"/>
              <w:right w:val="single" w:sz="4" w:space="0" w:color="auto"/>
            </w:tcBorders>
            <w:shd w:val="clear" w:color="auto" w:fill="C4EFCE"/>
            <w:vAlign w:val="center"/>
            <w:hideMark/>
          </w:tcPr>
          <w:p w14:paraId="717E5A0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51B064" w14:textId="15C38C04" w:rsidR="00A15990" w:rsidRDefault="00686A62">
            <w:pPr>
              <w:pStyle w:val="P68B1DB1-Normal23"/>
              <w:spacing w:after="0"/>
              <w:jc w:val="both"/>
              <w:rPr>
                <w:rFonts w:eastAsia="Calibri" w:cs="Calibri"/>
                <w:noProof/>
              </w:rPr>
            </w:pPr>
            <w:r>
              <w:rPr>
                <w:noProof/>
              </w:rPr>
              <w:t>Puncte de reîncărcare a vehiculelor electrice accesibile publicului</w:t>
            </w:r>
          </w:p>
        </w:tc>
      </w:tr>
      <w:tr w:rsidR="00A15990" w14:paraId="650DC7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9A4D3B" w14:textId="77777777" w:rsidR="00A15990" w:rsidRDefault="00686A62">
            <w:pPr>
              <w:pStyle w:val="P68B1DB1-Normal23"/>
              <w:spacing w:after="0"/>
              <w:jc w:val="center"/>
              <w:rPr>
                <w:rFonts w:eastAsia="Calibri" w:cs="Calibri"/>
                <w:noProof/>
              </w:rPr>
            </w:pPr>
            <w:r>
              <w:rPr>
                <w:noProof/>
              </w:rPr>
              <w:t>7.5</w:t>
            </w:r>
          </w:p>
        </w:tc>
        <w:tc>
          <w:tcPr>
            <w:tcW w:w="1760" w:type="dxa"/>
            <w:tcBorders>
              <w:top w:val="nil"/>
              <w:left w:val="nil"/>
              <w:bottom w:val="single" w:sz="4" w:space="0" w:color="auto"/>
              <w:right w:val="single" w:sz="4" w:space="0" w:color="auto"/>
            </w:tcBorders>
            <w:shd w:val="clear" w:color="auto" w:fill="C4EFCE"/>
            <w:vAlign w:val="center"/>
            <w:hideMark/>
          </w:tcPr>
          <w:p w14:paraId="17918B41" w14:textId="77777777" w:rsidR="00A15990" w:rsidRDefault="00686A62">
            <w:pPr>
              <w:pStyle w:val="P68B1DB1-Normal23"/>
              <w:spacing w:after="0"/>
              <w:jc w:val="center"/>
              <w:rPr>
                <w:rFonts w:eastAsia="Calibri" w:cs="Calibri"/>
                <w:noProof/>
              </w:rPr>
            </w:pPr>
            <w:r>
              <w:rPr>
                <w:noProof/>
              </w:rPr>
              <w:t>RE-C07-i01</w:t>
            </w:r>
          </w:p>
        </w:tc>
        <w:tc>
          <w:tcPr>
            <w:tcW w:w="1520" w:type="dxa"/>
            <w:tcBorders>
              <w:top w:val="nil"/>
              <w:left w:val="nil"/>
              <w:bottom w:val="single" w:sz="4" w:space="0" w:color="auto"/>
              <w:right w:val="single" w:sz="4" w:space="0" w:color="auto"/>
            </w:tcBorders>
            <w:shd w:val="clear" w:color="auto" w:fill="C4EFCE"/>
            <w:vAlign w:val="center"/>
            <w:hideMark/>
          </w:tcPr>
          <w:p w14:paraId="459806A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443B899" w14:textId="77777777" w:rsidR="00A15990" w:rsidRDefault="00686A62">
            <w:pPr>
              <w:pStyle w:val="P68B1DB1-Normal23"/>
              <w:spacing w:after="0"/>
              <w:jc w:val="both"/>
              <w:rPr>
                <w:rFonts w:eastAsia="Calibri" w:cs="Calibri"/>
                <w:noProof/>
              </w:rPr>
            </w:pPr>
            <w:r>
              <w:rPr>
                <w:noProof/>
              </w:rPr>
              <w:t>Finalizarea intervențiilor în anumite zone de primire a întreprinderilor</w:t>
            </w:r>
          </w:p>
        </w:tc>
      </w:tr>
      <w:tr w:rsidR="00A15990" w14:paraId="6CD2520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A01F62" w14:textId="77777777" w:rsidR="00A15990" w:rsidRDefault="00686A62">
            <w:pPr>
              <w:pStyle w:val="P68B1DB1-Normal23"/>
              <w:spacing w:after="0"/>
              <w:jc w:val="center"/>
              <w:rPr>
                <w:rFonts w:eastAsia="Calibri" w:cs="Calibri"/>
                <w:noProof/>
              </w:rPr>
            </w:pPr>
            <w:r>
              <w:rPr>
                <w:noProof/>
              </w:rPr>
              <w:t>7.8</w:t>
            </w:r>
          </w:p>
        </w:tc>
        <w:tc>
          <w:tcPr>
            <w:tcW w:w="1760" w:type="dxa"/>
            <w:tcBorders>
              <w:top w:val="nil"/>
              <w:left w:val="nil"/>
              <w:bottom w:val="single" w:sz="4" w:space="0" w:color="auto"/>
              <w:right w:val="single" w:sz="4" w:space="0" w:color="auto"/>
            </w:tcBorders>
            <w:shd w:val="clear" w:color="auto" w:fill="C4EFCE"/>
            <w:vAlign w:val="center"/>
            <w:hideMark/>
          </w:tcPr>
          <w:p w14:paraId="05E0D85C" w14:textId="77777777" w:rsidR="00A15990" w:rsidRDefault="00686A62">
            <w:pPr>
              <w:pStyle w:val="P68B1DB1-Normal23"/>
              <w:spacing w:after="0"/>
              <w:jc w:val="center"/>
              <w:rPr>
                <w:rFonts w:eastAsia="Calibri" w:cs="Calibri"/>
                <w:noProof/>
              </w:rPr>
            </w:pPr>
            <w:r>
              <w:rPr>
                <w:noProof/>
              </w:rPr>
              <w:t>RE-C07-i02</w:t>
            </w:r>
          </w:p>
        </w:tc>
        <w:tc>
          <w:tcPr>
            <w:tcW w:w="1520" w:type="dxa"/>
            <w:tcBorders>
              <w:top w:val="nil"/>
              <w:left w:val="nil"/>
              <w:bottom w:val="single" w:sz="4" w:space="0" w:color="auto"/>
              <w:right w:val="single" w:sz="4" w:space="0" w:color="auto"/>
            </w:tcBorders>
            <w:shd w:val="clear" w:color="auto" w:fill="C4EFCE"/>
            <w:vAlign w:val="center"/>
            <w:hideMark/>
          </w:tcPr>
          <w:p w14:paraId="1DD8E82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4F4337" w14:textId="77777777" w:rsidR="00A15990" w:rsidRDefault="00686A62">
            <w:pPr>
              <w:pStyle w:val="P68B1DB1-Normal23"/>
              <w:spacing w:after="0"/>
              <w:jc w:val="both"/>
              <w:rPr>
                <w:rFonts w:eastAsia="Calibri" w:cs="Calibri"/>
                <w:noProof/>
              </w:rPr>
            </w:pPr>
            <w:r>
              <w:rPr>
                <w:noProof/>
              </w:rPr>
              <w:t>Drumuri construite sau reabilitate</w:t>
            </w:r>
          </w:p>
        </w:tc>
      </w:tr>
      <w:tr w:rsidR="00A15990" w14:paraId="377F20C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BA2719F" w14:textId="77777777" w:rsidR="00A15990" w:rsidRDefault="00686A62">
            <w:pPr>
              <w:pStyle w:val="P68B1DB1-Normal23"/>
              <w:spacing w:after="0"/>
              <w:jc w:val="center"/>
              <w:rPr>
                <w:rFonts w:eastAsia="Calibri" w:cs="Calibri"/>
                <w:noProof/>
              </w:rPr>
            </w:pPr>
            <w:r>
              <w:rPr>
                <w:noProof/>
              </w:rPr>
              <w:t>8.1</w:t>
            </w:r>
          </w:p>
        </w:tc>
        <w:tc>
          <w:tcPr>
            <w:tcW w:w="1760" w:type="dxa"/>
            <w:tcBorders>
              <w:top w:val="nil"/>
              <w:left w:val="nil"/>
              <w:bottom w:val="single" w:sz="4" w:space="0" w:color="auto"/>
              <w:right w:val="single" w:sz="4" w:space="0" w:color="auto"/>
            </w:tcBorders>
            <w:shd w:val="clear" w:color="auto" w:fill="C4EFCE"/>
            <w:vAlign w:val="center"/>
            <w:hideMark/>
          </w:tcPr>
          <w:p w14:paraId="01EDC3E5" w14:textId="77777777" w:rsidR="00A15990" w:rsidRDefault="00686A62">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1980E79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1410C3D" w14:textId="77777777" w:rsidR="00A15990" w:rsidRDefault="00686A62">
            <w:pPr>
              <w:pStyle w:val="P68B1DB1-Normal23"/>
              <w:spacing w:after="0"/>
              <w:jc w:val="both"/>
              <w:rPr>
                <w:rFonts w:eastAsia="Calibri" w:cs="Calibri"/>
                <w:noProof/>
              </w:rPr>
            </w:pPr>
            <w:r>
              <w:rPr>
                <w:noProof/>
              </w:rPr>
              <w:t>Dezvoltarea programelor de planificare și gestionare a peisajelor (PRGP) în teritoriile definite ca fiind vulnerabile.</w:t>
            </w:r>
          </w:p>
        </w:tc>
      </w:tr>
      <w:tr w:rsidR="00A15990" w14:paraId="57C969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18667B" w14:textId="77777777" w:rsidR="00A15990" w:rsidRDefault="00686A62">
            <w:pPr>
              <w:pStyle w:val="P68B1DB1-Normal23"/>
              <w:spacing w:after="0"/>
              <w:jc w:val="center"/>
              <w:rPr>
                <w:rFonts w:eastAsia="Calibri" w:cs="Calibri"/>
                <w:noProof/>
              </w:rPr>
            </w:pPr>
            <w:r>
              <w:rPr>
                <w:noProof/>
              </w:rPr>
              <w:t>8.2</w:t>
            </w:r>
          </w:p>
        </w:tc>
        <w:tc>
          <w:tcPr>
            <w:tcW w:w="1760" w:type="dxa"/>
            <w:tcBorders>
              <w:top w:val="nil"/>
              <w:left w:val="nil"/>
              <w:bottom w:val="single" w:sz="4" w:space="0" w:color="auto"/>
              <w:right w:val="single" w:sz="4" w:space="0" w:color="auto"/>
            </w:tcBorders>
            <w:shd w:val="clear" w:color="auto" w:fill="C4EFCE"/>
            <w:vAlign w:val="center"/>
            <w:hideMark/>
          </w:tcPr>
          <w:p w14:paraId="7A203DDE" w14:textId="77777777" w:rsidR="00A15990" w:rsidRDefault="00686A62">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noWrap/>
            <w:vAlign w:val="center"/>
            <w:hideMark/>
          </w:tcPr>
          <w:p w14:paraId="41F26EE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noWrap/>
            <w:vAlign w:val="center"/>
            <w:hideMark/>
          </w:tcPr>
          <w:p w14:paraId="0C955423" w14:textId="77777777" w:rsidR="00A15990" w:rsidRDefault="00686A62">
            <w:pPr>
              <w:pStyle w:val="P68B1DB1-Normal23"/>
              <w:spacing w:after="0"/>
              <w:jc w:val="both"/>
              <w:rPr>
                <w:rFonts w:eastAsia="Calibri" w:cs="Calibri"/>
                <w:noProof/>
              </w:rPr>
            </w:pPr>
            <w:r>
              <w:rPr>
                <w:noProof/>
              </w:rPr>
              <w:t xml:space="preserve"> Publicarea operațiunilor de gestionare integrată a peisajului (OIGP) în Diário da Republica</w:t>
            </w:r>
          </w:p>
        </w:tc>
      </w:tr>
      <w:tr w:rsidR="00A15990" w14:paraId="7FAC8B4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DC7D96" w14:textId="77777777" w:rsidR="00A15990" w:rsidRDefault="00686A62">
            <w:pPr>
              <w:pStyle w:val="P68B1DB1-Normal23"/>
              <w:spacing w:after="0"/>
              <w:jc w:val="center"/>
              <w:rPr>
                <w:rFonts w:eastAsia="Calibri" w:cs="Calibri"/>
                <w:noProof/>
              </w:rPr>
            </w:pPr>
            <w:r>
              <w:rPr>
                <w:noProof/>
              </w:rPr>
              <w:t>8.3</w:t>
            </w:r>
          </w:p>
        </w:tc>
        <w:tc>
          <w:tcPr>
            <w:tcW w:w="1760" w:type="dxa"/>
            <w:tcBorders>
              <w:top w:val="nil"/>
              <w:left w:val="nil"/>
              <w:bottom w:val="single" w:sz="4" w:space="0" w:color="auto"/>
              <w:right w:val="single" w:sz="4" w:space="0" w:color="auto"/>
            </w:tcBorders>
            <w:shd w:val="clear" w:color="auto" w:fill="C4EFCE"/>
            <w:vAlign w:val="center"/>
            <w:hideMark/>
          </w:tcPr>
          <w:p w14:paraId="79CACB0A" w14:textId="77777777" w:rsidR="00A15990" w:rsidRDefault="00686A62">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73DC3FE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38BA7AD" w14:textId="77777777" w:rsidR="00A15990" w:rsidRDefault="00686A62">
            <w:pPr>
              <w:pStyle w:val="P68B1DB1-Normal23"/>
              <w:spacing w:after="0"/>
              <w:jc w:val="both"/>
              <w:rPr>
                <w:rFonts w:eastAsia="Calibri" w:cs="Calibri"/>
                <w:noProof/>
              </w:rPr>
            </w:pPr>
            <w:r>
              <w:rPr>
                <w:noProof/>
              </w:rPr>
              <w:t>Sate cu proiecte de gestionare a combustibilului</w:t>
            </w:r>
          </w:p>
        </w:tc>
      </w:tr>
      <w:tr w:rsidR="00A15990" w14:paraId="61C196A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9695262" w14:textId="77777777" w:rsidR="00A15990" w:rsidRDefault="00686A62">
            <w:pPr>
              <w:pStyle w:val="P68B1DB1-Normal23"/>
              <w:spacing w:after="0"/>
              <w:jc w:val="center"/>
              <w:rPr>
                <w:rFonts w:eastAsia="Calibri" w:cs="Calibri"/>
                <w:noProof/>
              </w:rPr>
            </w:pPr>
            <w:r>
              <w:rPr>
                <w:noProof/>
              </w:rPr>
              <w:t>8.8</w:t>
            </w:r>
          </w:p>
        </w:tc>
        <w:tc>
          <w:tcPr>
            <w:tcW w:w="1760" w:type="dxa"/>
            <w:tcBorders>
              <w:top w:val="nil"/>
              <w:left w:val="nil"/>
              <w:bottom w:val="single" w:sz="4" w:space="0" w:color="auto"/>
              <w:right w:val="single" w:sz="4" w:space="0" w:color="auto"/>
            </w:tcBorders>
            <w:shd w:val="clear" w:color="auto" w:fill="C4EFCE"/>
            <w:vAlign w:val="center"/>
            <w:hideMark/>
          </w:tcPr>
          <w:p w14:paraId="788A36AA" w14:textId="77777777" w:rsidR="00A15990" w:rsidRDefault="00686A62">
            <w:pPr>
              <w:pStyle w:val="P68B1DB1-Normal23"/>
              <w:spacing w:after="0"/>
              <w:jc w:val="center"/>
              <w:rPr>
                <w:rFonts w:eastAsia="Calibri" w:cs="Calibri"/>
                <w:noProof/>
              </w:rPr>
            </w:pPr>
            <w:r>
              <w:rPr>
                <w:noProof/>
              </w:rPr>
              <w:t>RE-C08-i03</w:t>
            </w:r>
          </w:p>
        </w:tc>
        <w:tc>
          <w:tcPr>
            <w:tcW w:w="1520" w:type="dxa"/>
            <w:tcBorders>
              <w:top w:val="nil"/>
              <w:left w:val="nil"/>
              <w:bottom w:val="single" w:sz="4" w:space="0" w:color="auto"/>
              <w:right w:val="single" w:sz="4" w:space="0" w:color="auto"/>
            </w:tcBorders>
            <w:shd w:val="clear" w:color="auto" w:fill="C4EFCE"/>
            <w:vAlign w:val="center"/>
            <w:hideMark/>
          </w:tcPr>
          <w:p w14:paraId="6960196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BAA7BC" w14:textId="77777777" w:rsidR="00A15990" w:rsidRDefault="00686A62">
            <w:pPr>
              <w:pStyle w:val="P68B1DB1-Normal23"/>
              <w:spacing w:after="0"/>
              <w:jc w:val="both"/>
              <w:rPr>
                <w:rFonts w:eastAsia="Calibri" w:cs="Calibri"/>
                <w:noProof/>
              </w:rPr>
            </w:pPr>
            <w:r>
              <w:rPr>
                <w:noProof/>
              </w:rPr>
              <w:t>Zonă de servitute stabilită</w:t>
            </w:r>
          </w:p>
        </w:tc>
      </w:tr>
      <w:tr w:rsidR="00A15990" w14:paraId="0F8A647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BEAB0A" w14:textId="77777777" w:rsidR="00A15990" w:rsidRDefault="00686A62">
            <w:pPr>
              <w:pStyle w:val="P68B1DB1-Normal23"/>
              <w:spacing w:after="0"/>
              <w:jc w:val="center"/>
              <w:rPr>
                <w:rFonts w:eastAsia="Calibri" w:cs="Calibri"/>
                <w:noProof/>
              </w:rPr>
            </w:pPr>
            <w:r>
              <w:rPr>
                <w:noProof/>
              </w:rPr>
              <w:t>8.9</w:t>
            </w:r>
          </w:p>
        </w:tc>
        <w:tc>
          <w:tcPr>
            <w:tcW w:w="1760" w:type="dxa"/>
            <w:tcBorders>
              <w:top w:val="nil"/>
              <w:left w:val="nil"/>
              <w:bottom w:val="single" w:sz="4" w:space="0" w:color="auto"/>
              <w:right w:val="single" w:sz="4" w:space="0" w:color="auto"/>
            </w:tcBorders>
            <w:shd w:val="clear" w:color="auto" w:fill="C4EFCE"/>
            <w:vAlign w:val="center"/>
            <w:hideMark/>
          </w:tcPr>
          <w:p w14:paraId="5FB474F3" w14:textId="77777777" w:rsidR="00A15990" w:rsidRDefault="00686A62">
            <w:pPr>
              <w:pStyle w:val="P68B1DB1-Normal23"/>
              <w:spacing w:after="0"/>
              <w:jc w:val="center"/>
              <w:rPr>
                <w:rFonts w:eastAsia="Calibri" w:cs="Calibri"/>
                <w:noProof/>
              </w:rPr>
            </w:pPr>
            <w:r>
              <w:rPr>
                <w:noProof/>
              </w:rPr>
              <w:t>RE-C08-i03</w:t>
            </w:r>
          </w:p>
        </w:tc>
        <w:tc>
          <w:tcPr>
            <w:tcW w:w="1520" w:type="dxa"/>
            <w:tcBorders>
              <w:top w:val="nil"/>
              <w:left w:val="nil"/>
              <w:bottom w:val="single" w:sz="4" w:space="0" w:color="auto"/>
              <w:right w:val="single" w:sz="4" w:space="0" w:color="auto"/>
            </w:tcBorders>
            <w:shd w:val="clear" w:color="auto" w:fill="C4EFCE"/>
            <w:vAlign w:val="center"/>
            <w:hideMark/>
          </w:tcPr>
          <w:p w14:paraId="28F771B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7D20804" w14:textId="77777777" w:rsidR="00A15990" w:rsidRDefault="00686A62">
            <w:pPr>
              <w:pStyle w:val="P68B1DB1-Normal23"/>
              <w:spacing w:after="0"/>
              <w:jc w:val="both"/>
              <w:rPr>
                <w:rFonts w:eastAsia="Calibri" w:cs="Calibri"/>
                <w:noProof/>
              </w:rPr>
            </w:pPr>
            <w:r>
              <w:rPr>
                <w:noProof/>
              </w:rPr>
              <w:t>Punerea în aplicare a rețelei de structurare a întreruperilor de gestionare primară a combustibilului (RPFGC)</w:t>
            </w:r>
          </w:p>
        </w:tc>
      </w:tr>
      <w:tr w:rsidR="00A15990" w14:paraId="7433700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3BCE24" w14:textId="77777777" w:rsidR="00A15990" w:rsidRDefault="00686A62">
            <w:pPr>
              <w:pStyle w:val="P68B1DB1-Normal23"/>
              <w:spacing w:after="0"/>
              <w:jc w:val="center"/>
              <w:rPr>
                <w:rFonts w:eastAsia="Calibri" w:cs="Calibri"/>
                <w:noProof/>
              </w:rPr>
            </w:pPr>
            <w:r>
              <w:rPr>
                <w:noProof/>
              </w:rPr>
              <w:t>8.11</w:t>
            </w:r>
          </w:p>
        </w:tc>
        <w:tc>
          <w:tcPr>
            <w:tcW w:w="1760" w:type="dxa"/>
            <w:tcBorders>
              <w:top w:val="nil"/>
              <w:left w:val="nil"/>
              <w:bottom w:val="single" w:sz="4" w:space="0" w:color="auto"/>
              <w:right w:val="single" w:sz="4" w:space="0" w:color="auto"/>
            </w:tcBorders>
            <w:shd w:val="clear" w:color="auto" w:fill="C4EFCE"/>
            <w:vAlign w:val="center"/>
            <w:hideMark/>
          </w:tcPr>
          <w:p w14:paraId="5060106C" w14:textId="77777777" w:rsidR="00A15990" w:rsidRDefault="00686A62">
            <w:pPr>
              <w:pStyle w:val="P68B1DB1-Normal23"/>
              <w:spacing w:after="0"/>
              <w:jc w:val="center"/>
              <w:rPr>
                <w:rFonts w:eastAsia="Calibri" w:cs="Calibri"/>
                <w:noProof/>
              </w:rPr>
            </w:pPr>
            <w:r>
              <w:rPr>
                <w:noProof/>
              </w:rPr>
              <w:t>RE-C08-i04</w:t>
            </w:r>
          </w:p>
        </w:tc>
        <w:tc>
          <w:tcPr>
            <w:tcW w:w="1520" w:type="dxa"/>
            <w:tcBorders>
              <w:top w:val="nil"/>
              <w:left w:val="nil"/>
              <w:bottom w:val="single" w:sz="4" w:space="0" w:color="auto"/>
              <w:right w:val="single" w:sz="4" w:space="0" w:color="auto"/>
            </w:tcBorders>
            <w:shd w:val="clear" w:color="auto" w:fill="C4EFCE"/>
            <w:vAlign w:val="center"/>
            <w:hideMark/>
          </w:tcPr>
          <w:p w14:paraId="1062D4C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8AA6F2" w14:textId="77777777" w:rsidR="00A15990" w:rsidRDefault="00686A62">
            <w:pPr>
              <w:pStyle w:val="P68B1DB1-Normal23"/>
              <w:spacing w:after="0"/>
              <w:jc w:val="both"/>
              <w:rPr>
                <w:rFonts w:eastAsia="Calibri" w:cs="Calibri"/>
                <w:noProof/>
              </w:rPr>
            </w:pPr>
            <w:r>
              <w:rPr>
                <w:noProof/>
              </w:rPr>
              <w:t>Livrarea de elicoptere ușoare și medii de pompieri</w:t>
            </w:r>
          </w:p>
        </w:tc>
      </w:tr>
      <w:tr w:rsidR="00A15990" w14:paraId="029E127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45D7569" w14:textId="77777777" w:rsidR="00A15990" w:rsidRDefault="00686A62">
            <w:pPr>
              <w:pStyle w:val="P68B1DB1-Normal23"/>
              <w:spacing w:after="0"/>
              <w:jc w:val="center"/>
              <w:rPr>
                <w:rFonts w:eastAsia="Calibri" w:cs="Calibri"/>
                <w:noProof/>
              </w:rPr>
            </w:pPr>
            <w:r>
              <w:rPr>
                <w:noProof/>
              </w:rPr>
              <w:t>8.16</w:t>
            </w:r>
          </w:p>
        </w:tc>
        <w:tc>
          <w:tcPr>
            <w:tcW w:w="1760" w:type="dxa"/>
            <w:tcBorders>
              <w:top w:val="nil"/>
              <w:left w:val="nil"/>
              <w:bottom w:val="single" w:sz="4" w:space="0" w:color="auto"/>
              <w:right w:val="single" w:sz="4" w:space="0" w:color="auto"/>
            </w:tcBorders>
            <w:shd w:val="clear" w:color="auto" w:fill="C4EFCE"/>
            <w:vAlign w:val="center"/>
            <w:hideMark/>
          </w:tcPr>
          <w:p w14:paraId="406E3841" w14:textId="77777777" w:rsidR="00A15990" w:rsidRDefault="00686A62">
            <w:pPr>
              <w:pStyle w:val="P68B1DB1-Normal23"/>
              <w:spacing w:after="0"/>
              <w:jc w:val="center"/>
              <w:rPr>
                <w:rFonts w:eastAsia="Calibri" w:cs="Calibri"/>
                <w:noProof/>
              </w:rPr>
            </w:pPr>
            <w:r>
              <w:rPr>
                <w:noProof/>
              </w:rPr>
              <w:t>RE-C08-i05</w:t>
            </w:r>
          </w:p>
        </w:tc>
        <w:tc>
          <w:tcPr>
            <w:tcW w:w="1520" w:type="dxa"/>
            <w:tcBorders>
              <w:top w:val="nil"/>
              <w:left w:val="nil"/>
              <w:bottom w:val="single" w:sz="4" w:space="0" w:color="auto"/>
              <w:right w:val="single" w:sz="4" w:space="0" w:color="auto"/>
            </w:tcBorders>
            <w:shd w:val="clear" w:color="auto" w:fill="C4EFCE"/>
            <w:vAlign w:val="center"/>
            <w:hideMark/>
          </w:tcPr>
          <w:p w14:paraId="5F70D9D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632C10" w14:textId="77777777" w:rsidR="00A15990" w:rsidRDefault="00686A62">
            <w:pPr>
              <w:pStyle w:val="P68B1DB1-Normal23"/>
              <w:spacing w:after="0"/>
              <w:jc w:val="both"/>
              <w:rPr>
                <w:rFonts w:eastAsia="Calibri" w:cs="Calibri"/>
                <w:noProof/>
              </w:rPr>
            </w:pPr>
            <w:r>
              <w:rPr>
                <w:noProof/>
              </w:rPr>
              <w:t>Punerea în aplicare a unui program național de formare</w:t>
            </w:r>
          </w:p>
        </w:tc>
      </w:tr>
      <w:tr w:rsidR="00A15990" w14:paraId="151E9F4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364E79" w14:textId="77777777" w:rsidR="00A15990" w:rsidRDefault="00686A62">
            <w:pPr>
              <w:pStyle w:val="P68B1DB1-Normal23"/>
              <w:spacing w:after="0"/>
              <w:jc w:val="center"/>
              <w:rPr>
                <w:rFonts w:eastAsia="Calibri" w:cs="Calibri"/>
                <w:noProof/>
              </w:rPr>
            </w:pPr>
            <w:r>
              <w:rPr>
                <w:noProof/>
              </w:rPr>
              <w:t>8.20</w:t>
            </w:r>
          </w:p>
        </w:tc>
        <w:tc>
          <w:tcPr>
            <w:tcW w:w="1760" w:type="dxa"/>
            <w:tcBorders>
              <w:top w:val="nil"/>
              <w:left w:val="nil"/>
              <w:bottom w:val="single" w:sz="4" w:space="0" w:color="auto"/>
              <w:right w:val="single" w:sz="4" w:space="0" w:color="auto"/>
            </w:tcBorders>
            <w:shd w:val="clear" w:color="auto" w:fill="C4EFCE"/>
            <w:vAlign w:val="center"/>
            <w:hideMark/>
          </w:tcPr>
          <w:p w14:paraId="0F6D2E23" w14:textId="77777777" w:rsidR="00A15990" w:rsidRDefault="00686A62">
            <w:pPr>
              <w:pStyle w:val="P68B1DB1-Normal23"/>
              <w:spacing w:after="0"/>
              <w:jc w:val="center"/>
              <w:rPr>
                <w:rFonts w:eastAsia="Calibri" w:cs="Calibri"/>
                <w:noProof/>
              </w:rPr>
            </w:pPr>
            <w:r>
              <w:rPr>
                <w:noProof/>
              </w:rPr>
              <w:t>RE-C08-i01</w:t>
            </w:r>
          </w:p>
        </w:tc>
        <w:tc>
          <w:tcPr>
            <w:tcW w:w="1520" w:type="dxa"/>
            <w:tcBorders>
              <w:top w:val="nil"/>
              <w:left w:val="nil"/>
              <w:bottom w:val="single" w:sz="4" w:space="0" w:color="auto"/>
              <w:right w:val="single" w:sz="4" w:space="0" w:color="auto"/>
            </w:tcBorders>
            <w:shd w:val="clear" w:color="auto" w:fill="C4EFCE"/>
            <w:vAlign w:val="center"/>
            <w:hideMark/>
          </w:tcPr>
          <w:p w14:paraId="6A8FA55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C69A6A" w14:textId="77777777" w:rsidR="00A15990" w:rsidRDefault="00686A62">
            <w:pPr>
              <w:pStyle w:val="P68B1DB1-Normal23"/>
              <w:spacing w:after="0"/>
              <w:jc w:val="both"/>
              <w:rPr>
                <w:rFonts w:eastAsia="Calibri" w:cs="Calibri"/>
                <w:noProof/>
              </w:rPr>
            </w:pPr>
            <w:r>
              <w:rPr>
                <w:noProof/>
              </w:rPr>
              <w:t>Punerea în aplicare a măsurilor de consolidare funciară Programa „Emparcelar para Ordenar</w:t>
            </w:r>
          </w:p>
        </w:tc>
      </w:tr>
      <w:tr w:rsidR="00A15990" w14:paraId="3400313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197FF" w14:textId="77777777" w:rsidR="00A15990" w:rsidRDefault="00686A62">
            <w:pPr>
              <w:pStyle w:val="P68B1DB1-Normal23"/>
              <w:spacing w:after="0"/>
              <w:jc w:val="center"/>
              <w:rPr>
                <w:rFonts w:eastAsia="Calibri" w:cs="Calibri"/>
                <w:noProof/>
              </w:rPr>
            </w:pPr>
            <w:r>
              <w:rPr>
                <w:noProof/>
              </w:rPr>
              <w:t>9.13</w:t>
            </w:r>
          </w:p>
        </w:tc>
        <w:tc>
          <w:tcPr>
            <w:tcW w:w="1760" w:type="dxa"/>
            <w:tcBorders>
              <w:top w:val="nil"/>
              <w:left w:val="nil"/>
              <w:bottom w:val="single" w:sz="4" w:space="0" w:color="auto"/>
              <w:right w:val="single" w:sz="4" w:space="0" w:color="auto"/>
            </w:tcBorders>
            <w:shd w:val="clear" w:color="auto" w:fill="C4EFCE"/>
            <w:vAlign w:val="center"/>
            <w:hideMark/>
          </w:tcPr>
          <w:p w14:paraId="4DC101BB" w14:textId="77777777" w:rsidR="00A15990" w:rsidRDefault="00686A62">
            <w:pPr>
              <w:pStyle w:val="P68B1DB1-Normal23"/>
              <w:spacing w:after="0"/>
              <w:jc w:val="center"/>
              <w:rPr>
                <w:rFonts w:eastAsia="Calibri" w:cs="Calibri"/>
                <w:noProof/>
              </w:rPr>
            </w:pPr>
            <w:r>
              <w:rPr>
                <w:noProof/>
              </w:rPr>
              <w:t>RE-C09-i03-RAM</w:t>
            </w:r>
          </w:p>
        </w:tc>
        <w:tc>
          <w:tcPr>
            <w:tcW w:w="1520" w:type="dxa"/>
            <w:tcBorders>
              <w:top w:val="nil"/>
              <w:left w:val="nil"/>
              <w:bottom w:val="single" w:sz="4" w:space="0" w:color="auto"/>
              <w:right w:val="single" w:sz="4" w:space="0" w:color="auto"/>
            </w:tcBorders>
            <w:shd w:val="clear" w:color="auto" w:fill="C4EFCE"/>
            <w:vAlign w:val="center"/>
            <w:hideMark/>
          </w:tcPr>
          <w:p w14:paraId="006C329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DD5B30" w14:textId="77777777" w:rsidR="00A15990" w:rsidRDefault="00686A62">
            <w:pPr>
              <w:pStyle w:val="P68B1DB1-Normal23"/>
              <w:spacing w:after="0"/>
              <w:jc w:val="both"/>
              <w:rPr>
                <w:rFonts w:eastAsia="Calibri" w:cs="Calibri"/>
                <w:noProof/>
              </w:rPr>
            </w:pPr>
            <w:r>
              <w:rPr>
                <w:noProof/>
              </w:rPr>
              <w:t>Volumul suplimentar de apă pus la dispoziție în partea de sud a insulei Madeira pentru aprovizionare publică și irigații</w:t>
            </w:r>
          </w:p>
        </w:tc>
      </w:tr>
      <w:tr w:rsidR="00A15990" w14:paraId="785F1D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66C8B5C" w14:textId="77777777" w:rsidR="00A15990" w:rsidRDefault="00686A62">
            <w:pPr>
              <w:pStyle w:val="P68B1DB1-Normal23"/>
              <w:spacing w:after="0"/>
              <w:jc w:val="center"/>
              <w:rPr>
                <w:rFonts w:eastAsia="Calibri" w:cs="Calibri"/>
                <w:noProof/>
              </w:rPr>
            </w:pPr>
            <w:r>
              <w:rPr>
                <w:noProof/>
              </w:rPr>
              <w:t>10.2</w:t>
            </w:r>
          </w:p>
        </w:tc>
        <w:tc>
          <w:tcPr>
            <w:tcW w:w="1760" w:type="dxa"/>
            <w:tcBorders>
              <w:top w:val="nil"/>
              <w:left w:val="nil"/>
              <w:bottom w:val="single" w:sz="4" w:space="0" w:color="auto"/>
              <w:right w:val="single" w:sz="4" w:space="0" w:color="auto"/>
            </w:tcBorders>
            <w:shd w:val="clear" w:color="auto" w:fill="C4EFCE"/>
            <w:vAlign w:val="center"/>
            <w:hideMark/>
          </w:tcPr>
          <w:p w14:paraId="0D2AF861" w14:textId="77777777" w:rsidR="00A15990" w:rsidRDefault="00686A62">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44875E4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39B19A" w14:textId="77777777" w:rsidR="00A15990" w:rsidRDefault="00686A62">
            <w:pPr>
              <w:pStyle w:val="P68B1DB1-Normal23"/>
              <w:spacing w:after="0"/>
              <w:jc w:val="both"/>
              <w:rPr>
                <w:rFonts w:eastAsia="Calibri" w:cs="Calibri"/>
                <w:noProof/>
              </w:rPr>
            </w:pPr>
            <w:r>
              <w:rPr>
                <w:noProof/>
              </w:rPr>
              <w:t>Finalizarea modernizării școlii Blue Hub și consolidarea aprovizionării și a echipamentelor</w:t>
            </w:r>
          </w:p>
        </w:tc>
      </w:tr>
      <w:tr w:rsidR="00A15990" w14:paraId="5CCE596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FDF520" w14:textId="77777777" w:rsidR="00A15990" w:rsidRDefault="00686A62">
            <w:pPr>
              <w:pStyle w:val="P68B1DB1-Normal23"/>
              <w:spacing w:after="0"/>
              <w:jc w:val="center"/>
              <w:rPr>
                <w:rFonts w:eastAsia="Calibri" w:cs="Calibri"/>
                <w:noProof/>
              </w:rPr>
            </w:pPr>
            <w:r>
              <w:rPr>
                <w:noProof/>
              </w:rPr>
              <w:t>10.3</w:t>
            </w:r>
          </w:p>
        </w:tc>
        <w:tc>
          <w:tcPr>
            <w:tcW w:w="1760" w:type="dxa"/>
            <w:tcBorders>
              <w:top w:val="nil"/>
              <w:left w:val="nil"/>
              <w:bottom w:val="single" w:sz="4" w:space="0" w:color="auto"/>
              <w:right w:val="single" w:sz="4" w:space="0" w:color="auto"/>
            </w:tcBorders>
            <w:shd w:val="clear" w:color="auto" w:fill="C4EFCE"/>
            <w:vAlign w:val="center"/>
            <w:hideMark/>
          </w:tcPr>
          <w:p w14:paraId="70B1C854" w14:textId="77777777" w:rsidR="00A15990" w:rsidRDefault="00686A62">
            <w:pPr>
              <w:pStyle w:val="P68B1DB1-Normal23"/>
              <w:spacing w:after="0"/>
              <w:jc w:val="center"/>
              <w:rPr>
                <w:rFonts w:eastAsia="Calibri" w:cs="Calibri"/>
                <w:noProof/>
              </w:rPr>
            </w:pPr>
            <w:r>
              <w:rPr>
                <w:noProof/>
              </w:rPr>
              <w:t>TC-C10-I01</w:t>
            </w:r>
          </w:p>
        </w:tc>
        <w:tc>
          <w:tcPr>
            <w:tcW w:w="1520" w:type="dxa"/>
            <w:tcBorders>
              <w:top w:val="nil"/>
              <w:left w:val="nil"/>
              <w:bottom w:val="single" w:sz="4" w:space="0" w:color="auto"/>
              <w:right w:val="single" w:sz="4" w:space="0" w:color="auto"/>
            </w:tcBorders>
            <w:shd w:val="clear" w:color="auto" w:fill="C4EFCE"/>
            <w:vAlign w:val="center"/>
            <w:hideMark/>
          </w:tcPr>
          <w:p w14:paraId="6F5F3A8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54F1D5" w14:textId="77777777" w:rsidR="00A15990" w:rsidRDefault="00686A62">
            <w:pPr>
              <w:pStyle w:val="P68B1DB1-Normal23"/>
              <w:spacing w:after="0"/>
              <w:jc w:val="both"/>
              <w:rPr>
                <w:rFonts w:eastAsia="Calibri" w:cs="Calibri"/>
                <w:noProof/>
              </w:rPr>
            </w:pPr>
            <w:r>
              <w:rPr>
                <w:noProof/>
              </w:rPr>
              <w:t>Finalizarea instalării și/sau modernizării centrelor Blue Hub</w:t>
            </w:r>
          </w:p>
        </w:tc>
      </w:tr>
      <w:tr w:rsidR="00A15990" w14:paraId="7B6EB3C1"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7348F399" w14:textId="77777777" w:rsidR="00A15990" w:rsidRDefault="00686A62">
            <w:pPr>
              <w:pStyle w:val="P68B1DB1-Normal23"/>
              <w:spacing w:after="0"/>
              <w:jc w:val="center"/>
              <w:rPr>
                <w:rFonts w:eastAsia="Calibri" w:cs="Calibri"/>
                <w:noProof/>
              </w:rPr>
            </w:pPr>
            <w:r>
              <w:rPr>
                <w:noProof/>
              </w:rPr>
              <w:t>10.4</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0B62858" w14:textId="77777777" w:rsidR="00A15990" w:rsidRDefault="00686A62">
            <w:pPr>
              <w:pStyle w:val="P68B1DB1-Normal23"/>
              <w:spacing w:after="0"/>
              <w:jc w:val="center"/>
              <w:rPr>
                <w:rFonts w:eastAsia="Calibri" w:cs="Calibri"/>
                <w:noProof/>
              </w:rPr>
            </w:pPr>
            <w:r>
              <w:rPr>
                <w:noProof/>
              </w:rPr>
              <w:t>TC-C10-I02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736AA3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2D99B7" w14:textId="77777777" w:rsidR="00A15990" w:rsidRDefault="00686A62">
            <w:pPr>
              <w:pStyle w:val="P68B1DB1-Normal23"/>
              <w:spacing w:after="0"/>
              <w:jc w:val="both"/>
              <w:rPr>
                <w:rFonts w:eastAsia="Calibri" w:cs="Calibri"/>
                <w:noProof/>
              </w:rPr>
            </w:pPr>
            <w:r>
              <w:rPr>
                <w:noProof/>
              </w:rPr>
              <w:t>Aprobarea rapoartelor finale pentru 70 proiecte în sprijinul inovării, al tranziției energetice și al reducerii impactului asupra mediului pentru entitățile din sectorul pescuitului</w:t>
            </w:r>
          </w:p>
        </w:tc>
      </w:tr>
      <w:tr w:rsidR="00A15990" w14:paraId="2377D9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F2EEBE" w14:textId="77777777" w:rsidR="00A15990" w:rsidRDefault="00686A62">
            <w:pPr>
              <w:pStyle w:val="P68B1DB1-Normal23"/>
              <w:spacing w:after="0"/>
              <w:jc w:val="center"/>
              <w:rPr>
                <w:rFonts w:eastAsia="Calibri" w:cs="Calibri"/>
                <w:noProof/>
              </w:rPr>
            </w:pPr>
            <w:r>
              <w:rPr>
                <w:noProof/>
              </w:rPr>
              <w:t>10.9</w:t>
            </w:r>
          </w:p>
        </w:tc>
        <w:tc>
          <w:tcPr>
            <w:tcW w:w="1760" w:type="dxa"/>
            <w:tcBorders>
              <w:top w:val="nil"/>
              <w:left w:val="nil"/>
              <w:bottom w:val="single" w:sz="4" w:space="0" w:color="auto"/>
              <w:right w:val="single" w:sz="4" w:space="0" w:color="auto"/>
            </w:tcBorders>
            <w:shd w:val="clear" w:color="auto" w:fill="C4EFCE"/>
            <w:vAlign w:val="center"/>
            <w:hideMark/>
          </w:tcPr>
          <w:p w14:paraId="62BDE422" w14:textId="77777777" w:rsidR="00A15990" w:rsidRDefault="00686A62">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9E5E8E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423FB98" w14:textId="77777777" w:rsidR="00A15990" w:rsidRDefault="00686A62">
            <w:pPr>
              <w:pStyle w:val="P68B1DB1-Normal23"/>
              <w:spacing w:after="0"/>
              <w:jc w:val="both"/>
              <w:rPr>
                <w:rFonts w:eastAsia="Calibri" w:cs="Calibri"/>
                <w:noProof/>
              </w:rPr>
            </w:pPr>
            <w:r>
              <w:rPr>
                <w:noProof/>
              </w:rPr>
              <w:t>Livrarea unei nave de cercetare</w:t>
            </w:r>
          </w:p>
        </w:tc>
      </w:tr>
      <w:tr w:rsidR="00A15990" w14:paraId="64CC4D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E87070" w14:textId="77777777" w:rsidR="00A15990" w:rsidRDefault="00686A62">
            <w:pPr>
              <w:pStyle w:val="P68B1DB1-Normal23"/>
              <w:spacing w:after="0"/>
              <w:jc w:val="center"/>
              <w:rPr>
                <w:rFonts w:eastAsia="Calibri" w:cs="Calibri"/>
                <w:noProof/>
              </w:rPr>
            </w:pPr>
            <w:r>
              <w:rPr>
                <w:noProof/>
              </w:rPr>
              <w:t>10.16</w:t>
            </w:r>
          </w:p>
        </w:tc>
        <w:tc>
          <w:tcPr>
            <w:tcW w:w="1760" w:type="dxa"/>
            <w:tcBorders>
              <w:top w:val="nil"/>
              <w:left w:val="nil"/>
              <w:bottom w:val="single" w:sz="4" w:space="0" w:color="auto"/>
              <w:right w:val="single" w:sz="4" w:space="0" w:color="auto"/>
            </w:tcBorders>
            <w:shd w:val="clear" w:color="auto" w:fill="C4EFCE"/>
            <w:vAlign w:val="center"/>
            <w:hideMark/>
          </w:tcPr>
          <w:p w14:paraId="3B2E578C" w14:textId="77777777" w:rsidR="00A15990" w:rsidRDefault="00686A62">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7BE16E0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247BA8C" w14:textId="77777777" w:rsidR="00A15990" w:rsidRDefault="00686A62">
            <w:pPr>
              <w:pStyle w:val="P68B1DB1-Normal23"/>
              <w:spacing w:after="0"/>
              <w:jc w:val="both"/>
              <w:rPr>
                <w:rFonts w:eastAsia="Calibri" w:cs="Calibri"/>
                <w:noProof/>
              </w:rPr>
            </w:pPr>
            <w:r>
              <w:rPr>
                <w:noProof/>
              </w:rPr>
              <w:t>Livrarea de vehicule autonome fără pilot</w:t>
            </w:r>
          </w:p>
        </w:tc>
      </w:tr>
      <w:tr w:rsidR="00A15990" w14:paraId="260DB7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D25DA4" w14:textId="77777777" w:rsidR="00A15990" w:rsidRDefault="00686A62">
            <w:pPr>
              <w:pStyle w:val="P68B1DB1-Normal23"/>
              <w:spacing w:after="0"/>
              <w:jc w:val="center"/>
              <w:rPr>
                <w:rFonts w:eastAsia="Calibri" w:cs="Calibri"/>
                <w:noProof/>
              </w:rPr>
            </w:pPr>
            <w:r>
              <w:rPr>
                <w:noProof/>
              </w:rPr>
              <w:t>11.3</w:t>
            </w:r>
          </w:p>
        </w:tc>
        <w:tc>
          <w:tcPr>
            <w:tcW w:w="1760" w:type="dxa"/>
            <w:tcBorders>
              <w:top w:val="nil"/>
              <w:left w:val="nil"/>
              <w:bottom w:val="single" w:sz="4" w:space="0" w:color="auto"/>
              <w:right w:val="single" w:sz="4" w:space="0" w:color="auto"/>
            </w:tcBorders>
            <w:shd w:val="clear" w:color="auto" w:fill="C4EFCE"/>
            <w:vAlign w:val="center"/>
            <w:hideMark/>
          </w:tcPr>
          <w:p w14:paraId="7D5F02B7" w14:textId="77777777" w:rsidR="00A15990" w:rsidRDefault="00686A62">
            <w:pPr>
              <w:pStyle w:val="P68B1DB1-Normal23"/>
              <w:spacing w:after="0"/>
              <w:jc w:val="center"/>
              <w:rPr>
                <w:rFonts w:eastAsia="Calibri" w:cs="Calibri"/>
                <w:noProof/>
              </w:rPr>
            </w:pPr>
            <w:r>
              <w:rPr>
                <w:noProof/>
              </w:rPr>
              <w:t>TC-C11-I01</w:t>
            </w:r>
          </w:p>
        </w:tc>
        <w:tc>
          <w:tcPr>
            <w:tcW w:w="1520" w:type="dxa"/>
            <w:tcBorders>
              <w:top w:val="nil"/>
              <w:left w:val="nil"/>
              <w:bottom w:val="single" w:sz="4" w:space="0" w:color="auto"/>
              <w:right w:val="single" w:sz="4" w:space="0" w:color="auto"/>
            </w:tcBorders>
            <w:shd w:val="clear" w:color="auto" w:fill="C4EFCE"/>
            <w:vAlign w:val="center"/>
            <w:hideMark/>
          </w:tcPr>
          <w:p w14:paraId="40F811C7"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CEDD55" w14:textId="77777777" w:rsidR="00A15990" w:rsidRDefault="00686A62">
            <w:pPr>
              <w:pStyle w:val="P68B1DB1-Normal23"/>
              <w:spacing w:after="0"/>
              <w:jc w:val="both"/>
              <w:rPr>
                <w:rFonts w:eastAsia="Calibri" w:cs="Calibri"/>
                <w:noProof/>
              </w:rPr>
            </w:pPr>
            <w:r>
              <w:rPr>
                <w:noProof/>
              </w:rPr>
              <w:t>Sprijin financiar pentru proiectele de decarbonizare industrială</w:t>
            </w:r>
          </w:p>
        </w:tc>
      </w:tr>
      <w:tr w:rsidR="00A15990" w14:paraId="52A5E53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7504C71" w14:textId="77777777" w:rsidR="00A15990" w:rsidRDefault="00686A62">
            <w:pPr>
              <w:pStyle w:val="P68B1DB1-Normal23"/>
              <w:spacing w:after="0"/>
              <w:jc w:val="center"/>
              <w:rPr>
                <w:rFonts w:eastAsia="Calibri" w:cs="Calibri"/>
                <w:noProof/>
              </w:rPr>
            </w:pPr>
            <w:r>
              <w:rPr>
                <w:noProof/>
              </w:rPr>
              <w:t>12.3</w:t>
            </w:r>
          </w:p>
        </w:tc>
        <w:tc>
          <w:tcPr>
            <w:tcW w:w="1760" w:type="dxa"/>
            <w:tcBorders>
              <w:top w:val="nil"/>
              <w:left w:val="nil"/>
              <w:bottom w:val="single" w:sz="4" w:space="0" w:color="auto"/>
              <w:right w:val="single" w:sz="4" w:space="0" w:color="auto"/>
            </w:tcBorders>
            <w:shd w:val="clear" w:color="auto" w:fill="C4EFCE"/>
            <w:vAlign w:val="center"/>
            <w:hideMark/>
          </w:tcPr>
          <w:p w14:paraId="5E91949E" w14:textId="77777777" w:rsidR="00A15990" w:rsidRDefault="00686A62">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11FF5E1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CCA943F" w14:textId="77777777" w:rsidR="00A15990" w:rsidRDefault="00686A62">
            <w:pPr>
              <w:pStyle w:val="P68B1DB1-Normal23"/>
              <w:spacing w:after="0"/>
              <w:jc w:val="both"/>
              <w:rPr>
                <w:rFonts w:eastAsia="Calibri" w:cs="Calibri"/>
                <w:noProof/>
              </w:rPr>
            </w:pPr>
            <w:r>
              <w:rPr>
                <w:noProof/>
              </w:rPr>
              <w:t>Noi produse, tehnologii și procese-pilot care integrează bioresurse</w:t>
            </w:r>
          </w:p>
        </w:tc>
      </w:tr>
      <w:tr w:rsidR="00A15990" w14:paraId="6307650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574EE4" w14:textId="77777777" w:rsidR="00A15990" w:rsidRDefault="00686A62">
            <w:pPr>
              <w:pStyle w:val="P68B1DB1-Normal23"/>
              <w:spacing w:after="0"/>
              <w:jc w:val="center"/>
              <w:rPr>
                <w:rFonts w:eastAsia="Calibri" w:cs="Calibri"/>
                <w:noProof/>
              </w:rPr>
            </w:pPr>
            <w:r>
              <w:rPr>
                <w:noProof/>
              </w:rPr>
              <w:t>12.4</w:t>
            </w:r>
          </w:p>
        </w:tc>
        <w:tc>
          <w:tcPr>
            <w:tcW w:w="1760" w:type="dxa"/>
            <w:tcBorders>
              <w:top w:val="nil"/>
              <w:left w:val="nil"/>
              <w:bottom w:val="single" w:sz="4" w:space="0" w:color="auto"/>
              <w:right w:val="single" w:sz="4" w:space="0" w:color="auto"/>
            </w:tcBorders>
            <w:shd w:val="clear" w:color="auto" w:fill="C4EFCE"/>
            <w:vAlign w:val="center"/>
            <w:hideMark/>
          </w:tcPr>
          <w:p w14:paraId="4D7A477C" w14:textId="77777777" w:rsidR="00A15990" w:rsidRDefault="00686A62">
            <w:pPr>
              <w:pStyle w:val="P68B1DB1-Normal23"/>
              <w:spacing w:after="0"/>
              <w:jc w:val="center"/>
              <w:rPr>
                <w:rFonts w:eastAsia="Calibri" w:cs="Calibri"/>
                <w:noProof/>
              </w:rPr>
            </w:pPr>
            <w:r>
              <w:rPr>
                <w:noProof/>
              </w:rPr>
              <w:t>TC-C12-I01</w:t>
            </w:r>
          </w:p>
        </w:tc>
        <w:tc>
          <w:tcPr>
            <w:tcW w:w="1520" w:type="dxa"/>
            <w:tcBorders>
              <w:top w:val="nil"/>
              <w:left w:val="nil"/>
              <w:bottom w:val="single" w:sz="4" w:space="0" w:color="auto"/>
              <w:right w:val="single" w:sz="4" w:space="0" w:color="auto"/>
            </w:tcBorders>
            <w:shd w:val="clear" w:color="auto" w:fill="C4EFCE"/>
            <w:vAlign w:val="center"/>
            <w:hideMark/>
          </w:tcPr>
          <w:p w14:paraId="671544E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011820" w14:textId="77777777" w:rsidR="00A15990" w:rsidRDefault="00686A62">
            <w:pPr>
              <w:pStyle w:val="P68B1DB1-Normal23"/>
              <w:spacing w:after="0"/>
              <w:jc w:val="both"/>
              <w:rPr>
                <w:rFonts w:eastAsia="Calibri" w:cs="Calibri"/>
                <w:noProof/>
              </w:rPr>
            </w:pPr>
            <w:r>
              <w:rPr>
                <w:noProof/>
              </w:rPr>
              <w:t>Dezvoltarea pădurilor marine de pin cu potențial de producție de rășini</w:t>
            </w:r>
          </w:p>
        </w:tc>
      </w:tr>
      <w:tr w:rsidR="00A15990" w14:paraId="420B45B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BBC2D8" w14:textId="77777777" w:rsidR="00A15990" w:rsidRDefault="00686A62">
            <w:pPr>
              <w:pStyle w:val="P68B1DB1-Normal23"/>
              <w:spacing w:after="0"/>
              <w:jc w:val="center"/>
              <w:rPr>
                <w:rFonts w:eastAsia="Calibri" w:cs="Calibri"/>
                <w:noProof/>
              </w:rPr>
            </w:pPr>
            <w:r>
              <w:rPr>
                <w:noProof/>
              </w:rPr>
              <w:t>12.9</w:t>
            </w:r>
          </w:p>
        </w:tc>
        <w:tc>
          <w:tcPr>
            <w:tcW w:w="1760" w:type="dxa"/>
            <w:tcBorders>
              <w:top w:val="nil"/>
              <w:left w:val="nil"/>
              <w:bottom w:val="single" w:sz="4" w:space="0" w:color="auto"/>
              <w:right w:val="single" w:sz="4" w:space="0" w:color="auto"/>
            </w:tcBorders>
            <w:shd w:val="clear" w:color="auto" w:fill="C4EFCE"/>
            <w:vAlign w:val="center"/>
            <w:hideMark/>
          </w:tcPr>
          <w:p w14:paraId="172E9144" w14:textId="77777777" w:rsidR="00A15990" w:rsidRDefault="00686A62">
            <w:pPr>
              <w:pStyle w:val="P68B1DB1-Normal23"/>
              <w:spacing w:after="0"/>
              <w:jc w:val="center"/>
              <w:rPr>
                <w:rFonts w:eastAsia="Calibri" w:cs="Calibri"/>
                <w:noProof/>
              </w:rPr>
            </w:pPr>
            <w:r>
              <w:rPr>
                <w:noProof/>
              </w:rPr>
              <w:t>TC-C12-r39</w:t>
            </w:r>
          </w:p>
        </w:tc>
        <w:tc>
          <w:tcPr>
            <w:tcW w:w="1520" w:type="dxa"/>
            <w:tcBorders>
              <w:top w:val="nil"/>
              <w:left w:val="nil"/>
              <w:bottom w:val="single" w:sz="4" w:space="0" w:color="auto"/>
              <w:right w:val="single" w:sz="4" w:space="0" w:color="auto"/>
            </w:tcBorders>
            <w:shd w:val="clear" w:color="auto" w:fill="C4EFCE"/>
            <w:vAlign w:val="center"/>
            <w:hideMark/>
          </w:tcPr>
          <w:p w14:paraId="7087AB67"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FC7761F" w14:textId="77777777" w:rsidR="00A15990" w:rsidRDefault="00686A62">
            <w:pPr>
              <w:pStyle w:val="P68B1DB1-Normal23"/>
              <w:spacing w:after="0"/>
              <w:jc w:val="both"/>
              <w:rPr>
                <w:rFonts w:eastAsia="Calibri" w:cs="Calibri"/>
                <w:noProof/>
              </w:rPr>
            </w:pPr>
            <w:r>
              <w:rPr>
                <w:noProof/>
              </w:rPr>
              <w:t>Sistemul de preluare a deșeurilor electrice și a echipamentelor electronice</w:t>
            </w:r>
          </w:p>
        </w:tc>
      </w:tr>
      <w:tr w:rsidR="00A15990" w14:paraId="7F4AB35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EA878" w14:textId="77777777" w:rsidR="00A15990" w:rsidRDefault="00686A62">
            <w:pPr>
              <w:pStyle w:val="P68B1DB1-Normal23"/>
              <w:spacing w:after="0"/>
              <w:jc w:val="center"/>
              <w:rPr>
                <w:rFonts w:eastAsia="Calibri" w:cs="Calibri"/>
                <w:noProof/>
              </w:rPr>
            </w:pPr>
            <w:r>
              <w:rPr>
                <w:noProof/>
              </w:rPr>
              <w:t>13.3</w:t>
            </w:r>
          </w:p>
        </w:tc>
        <w:tc>
          <w:tcPr>
            <w:tcW w:w="1760" w:type="dxa"/>
            <w:tcBorders>
              <w:top w:val="nil"/>
              <w:left w:val="nil"/>
              <w:bottom w:val="single" w:sz="4" w:space="0" w:color="auto"/>
              <w:right w:val="single" w:sz="4" w:space="0" w:color="auto"/>
            </w:tcBorders>
            <w:shd w:val="clear" w:color="auto" w:fill="C4EFCE"/>
            <w:vAlign w:val="center"/>
            <w:hideMark/>
          </w:tcPr>
          <w:p w14:paraId="2711CA67" w14:textId="77777777" w:rsidR="00A15990" w:rsidRDefault="00686A62">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708E9DD8"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A4BCD" w14:textId="77777777" w:rsidR="00A15990" w:rsidRDefault="00686A62">
            <w:pPr>
              <w:pStyle w:val="P68B1DB1-Normal23"/>
              <w:spacing w:after="0"/>
              <w:jc w:val="both"/>
              <w:rPr>
                <w:rFonts w:eastAsia="Calibri" w:cs="Calibri"/>
                <w:noProof/>
              </w:rPr>
            </w:pPr>
            <w:r>
              <w:rPr>
                <w:noProof/>
              </w:rPr>
              <w:t>„Vouchere pentru eficiență” distribuite gospodăriilor afectate de sărăcia energetică pentru a înlocui echipamentele vechi și a adopta soluții eficiente din punct de vedere energetic</w:t>
            </w:r>
          </w:p>
        </w:tc>
      </w:tr>
      <w:tr w:rsidR="00A15990" w14:paraId="10CFDBA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CEEF76" w14:textId="77777777" w:rsidR="00A15990" w:rsidRDefault="00686A62">
            <w:pPr>
              <w:pStyle w:val="P68B1DB1-Normal23"/>
              <w:spacing w:after="0"/>
              <w:jc w:val="center"/>
              <w:rPr>
                <w:rFonts w:eastAsia="Calibri" w:cs="Calibri"/>
                <w:noProof/>
              </w:rPr>
            </w:pPr>
            <w:r>
              <w:rPr>
                <w:noProof/>
              </w:rPr>
              <w:t>13.4</w:t>
            </w:r>
          </w:p>
        </w:tc>
        <w:tc>
          <w:tcPr>
            <w:tcW w:w="1760" w:type="dxa"/>
            <w:tcBorders>
              <w:top w:val="nil"/>
              <w:left w:val="nil"/>
              <w:bottom w:val="single" w:sz="4" w:space="0" w:color="auto"/>
              <w:right w:val="single" w:sz="4" w:space="0" w:color="auto"/>
            </w:tcBorders>
            <w:shd w:val="clear" w:color="auto" w:fill="C4EFCE"/>
            <w:vAlign w:val="center"/>
            <w:hideMark/>
          </w:tcPr>
          <w:p w14:paraId="70C58091" w14:textId="77777777" w:rsidR="00A15990" w:rsidRDefault="00686A62">
            <w:pPr>
              <w:pStyle w:val="P68B1DB1-Normal23"/>
              <w:spacing w:after="0"/>
              <w:jc w:val="center"/>
              <w:rPr>
                <w:rFonts w:eastAsia="Calibri" w:cs="Calibri"/>
                <w:noProof/>
              </w:rPr>
            </w:pPr>
            <w:r>
              <w:rPr>
                <w:noProof/>
              </w:rPr>
              <w:t>TC-C13-I01</w:t>
            </w:r>
          </w:p>
        </w:tc>
        <w:tc>
          <w:tcPr>
            <w:tcW w:w="1520" w:type="dxa"/>
            <w:tcBorders>
              <w:top w:val="nil"/>
              <w:left w:val="nil"/>
              <w:bottom w:val="single" w:sz="4" w:space="0" w:color="auto"/>
              <w:right w:val="single" w:sz="4" w:space="0" w:color="auto"/>
            </w:tcBorders>
            <w:shd w:val="clear" w:color="auto" w:fill="C4EFCE"/>
            <w:vAlign w:val="center"/>
            <w:hideMark/>
          </w:tcPr>
          <w:p w14:paraId="63E240D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9DF9123" w14:textId="77777777" w:rsidR="00A15990" w:rsidRDefault="00686A62">
            <w:pPr>
              <w:pStyle w:val="P68B1DB1-Normal23"/>
              <w:spacing w:after="0"/>
              <w:jc w:val="both"/>
              <w:rPr>
                <w:rFonts w:eastAsia="Calibri" w:cs="Calibri"/>
                <w:noProof/>
              </w:rPr>
            </w:pPr>
            <w:r>
              <w:rPr>
                <w:noProof/>
              </w:rPr>
              <w:t>Capacitate suplimentară de producție de energie din surse regenerabile pentru autoconsum și pentru utilizare în comunitățile de energie din surse regenerabile din sectorul rezidențial privat</w:t>
            </w:r>
          </w:p>
        </w:tc>
      </w:tr>
      <w:tr w:rsidR="00A15990" w14:paraId="5266E9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2AA442" w14:textId="77777777" w:rsidR="00A15990" w:rsidRDefault="00686A62">
            <w:pPr>
              <w:pStyle w:val="P68B1DB1-Normal23"/>
              <w:spacing w:after="0"/>
              <w:jc w:val="center"/>
              <w:rPr>
                <w:rFonts w:eastAsia="Calibri" w:cs="Calibri"/>
                <w:noProof/>
              </w:rPr>
            </w:pPr>
            <w:r>
              <w:rPr>
                <w:noProof/>
              </w:rPr>
              <w:t>13.6</w:t>
            </w:r>
          </w:p>
        </w:tc>
        <w:tc>
          <w:tcPr>
            <w:tcW w:w="1760" w:type="dxa"/>
            <w:tcBorders>
              <w:top w:val="nil"/>
              <w:left w:val="nil"/>
              <w:bottom w:val="single" w:sz="4" w:space="0" w:color="auto"/>
              <w:right w:val="single" w:sz="4" w:space="0" w:color="auto"/>
            </w:tcBorders>
            <w:shd w:val="clear" w:color="auto" w:fill="C4EFCE"/>
            <w:vAlign w:val="center"/>
            <w:hideMark/>
          </w:tcPr>
          <w:p w14:paraId="2BEC44DB" w14:textId="77777777" w:rsidR="00A15990" w:rsidRDefault="00686A62">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221A46F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2187E3" w14:textId="77777777" w:rsidR="00A15990" w:rsidRDefault="00686A62">
            <w:pPr>
              <w:pStyle w:val="P68B1DB1-Normal23"/>
              <w:spacing w:after="0"/>
              <w:jc w:val="both"/>
              <w:rPr>
                <w:rFonts w:eastAsia="Calibri" w:cs="Calibri"/>
                <w:noProof/>
              </w:rPr>
            </w:pPr>
            <w:r>
              <w:rPr>
                <w:noProof/>
              </w:rPr>
              <w:t>Renovarea clădirilor administrației centrale din punctul de vedere al eficienței energetice</w:t>
            </w:r>
          </w:p>
        </w:tc>
      </w:tr>
      <w:tr w:rsidR="00A15990" w14:paraId="3C9445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11CA67D" w14:textId="77777777" w:rsidR="00A15990" w:rsidRDefault="00686A62">
            <w:pPr>
              <w:pStyle w:val="P68B1DB1-Normal23"/>
              <w:spacing w:after="0"/>
              <w:jc w:val="center"/>
              <w:rPr>
                <w:rFonts w:eastAsia="Calibri" w:cs="Calibri"/>
                <w:noProof/>
              </w:rPr>
            </w:pPr>
            <w:r>
              <w:rPr>
                <w:noProof/>
              </w:rPr>
              <w:t>13.7</w:t>
            </w:r>
          </w:p>
        </w:tc>
        <w:tc>
          <w:tcPr>
            <w:tcW w:w="1760" w:type="dxa"/>
            <w:tcBorders>
              <w:top w:val="nil"/>
              <w:left w:val="nil"/>
              <w:bottom w:val="single" w:sz="4" w:space="0" w:color="auto"/>
              <w:right w:val="single" w:sz="4" w:space="0" w:color="auto"/>
            </w:tcBorders>
            <w:shd w:val="clear" w:color="auto" w:fill="C4EFCE"/>
            <w:vAlign w:val="center"/>
            <w:hideMark/>
          </w:tcPr>
          <w:p w14:paraId="532BF8AE" w14:textId="77777777" w:rsidR="00A15990" w:rsidRDefault="00686A62">
            <w:pPr>
              <w:pStyle w:val="P68B1DB1-Normal23"/>
              <w:spacing w:after="0"/>
              <w:jc w:val="center"/>
              <w:rPr>
                <w:rFonts w:eastAsia="Calibri" w:cs="Calibri"/>
                <w:noProof/>
              </w:rPr>
            </w:pPr>
            <w:r>
              <w:rPr>
                <w:noProof/>
              </w:rPr>
              <w:t>TC-C13-I02</w:t>
            </w:r>
          </w:p>
        </w:tc>
        <w:tc>
          <w:tcPr>
            <w:tcW w:w="1520" w:type="dxa"/>
            <w:tcBorders>
              <w:top w:val="nil"/>
              <w:left w:val="nil"/>
              <w:bottom w:val="single" w:sz="4" w:space="0" w:color="auto"/>
              <w:right w:val="single" w:sz="4" w:space="0" w:color="auto"/>
            </w:tcBorders>
            <w:shd w:val="clear" w:color="auto" w:fill="C4EFCE"/>
            <w:vAlign w:val="center"/>
            <w:hideMark/>
          </w:tcPr>
          <w:p w14:paraId="58EFFAE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97A86DB" w14:textId="77777777" w:rsidR="00A15990" w:rsidRDefault="00686A62">
            <w:pPr>
              <w:pStyle w:val="P68B1DB1-Normal23"/>
              <w:spacing w:after="0"/>
              <w:jc w:val="both"/>
              <w:rPr>
                <w:rFonts w:eastAsia="Calibri" w:cs="Calibri"/>
                <w:noProof/>
              </w:rPr>
            </w:pPr>
            <w:r>
              <w:rPr>
                <w:noProof/>
              </w:rPr>
              <w:t>Capacitate suplimentară de producție de energie din surse regenerabile pentru autoconsum și pentru utilizare în comunitățile de energie din surse regenerabile din clădirile administrației centrale</w:t>
            </w:r>
          </w:p>
        </w:tc>
      </w:tr>
      <w:tr w:rsidR="00A15990" w14:paraId="3D6B69D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F48317C" w14:textId="77777777" w:rsidR="00A15990" w:rsidRDefault="00686A62">
            <w:pPr>
              <w:pStyle w:val="P68B1DB1-Normal23"/>
              <w:spacing w:after="0"/>
              <w:jc w:val="center"/>
              <w:rPr>
                <w:rFonts w:eastAsia="Calibri" w:cs="Calibri"/>
                <w:noProof/>
              </w:rPr>
            </w:pPr>
            <w:r>
              <w:rPr>
                <w:noProof/>
              </w:rPr>
              <w:t>13.9</w:t>
            </w:r>
          </w:p>
        </w:tc>
        <w:tc>
          <w:tcPr>
            <w:tcW w:w="1760" w:type="dxa"/>
            <w:tcBorders>
              <w:top w:val="nil"/>
              <w:left w:val="nil"/>
              <w:bottom w:val="single" w:sz="4" w:space="0" w:color="auto"/>
              <w:right w:val="single" w:sz="4" w:space="0" w:color="auto"/>
            </w:tcBorders>
            <w:shd w:val="clear" w:color="auto" w:fill="C4EFCE"/>
            <w:vAlign w:val="center"/>
            <w:hideMark/>
          </w:tcPr>
          <w:p w14:paraId="2F9F167F" w14:textId="77777777" w:rsidR="00A15990" w:rsidRDefault="00686A62">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052EE5A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2DC1A9" w14:textId="77777777" w:rsidR="00A15990" w:rsidRDefault="00686A62">
            <w:pPr>
              <w:pStyle w:val="P68B1DB1-Normal23"/>
              <w:spacing w:after="0"/>
              <w:jc w:val="both"/>
              <w:rPr>
                <w:rFonts w:eastAsia="Calibri" w:cs="Calibri"/>
                <w:noProof/>
              </w:rPr>
            </w:pPr>
            <w:r>
              <w:rPr>
                <w:noProof/>
              </w:rPr>
              <w:t>Renovarea clădirilor de servicii private din punctul de vedere al eficienței energetice</w:t>
            </w:r>
          </w:p>
        </w:tc>
      </w:tr>
      <w:tr w:rsidR="00A15990" w14:paraId="142EE0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C8BAF7" w14:textId="77777777" w:rsidR="00A15990" w:rsidRDefault="00686A62">
            <w:pPr>
              <w:pStyle w:val="P68B1DB1-Normal23"/>
              <w:spacing w:after="0"/>
              <w:jc w:val="center"/>
              <w:rPr>
                <w:rFonts w:eastAsia="Calibri" w:cs="Calibri"/>
                <w:noProof/>
              </w:rPr>
            </w:pPr>
            <w:r>
              <w:rPr>
                <w:noProof/>
              </w:rPr>
              <w:t>13.10</w:t>
            </w:r>
          </w:p>
        </w:tc>
        <w:tc>
          <w:tcPr>
            <w:tcW w:w="1760" w:type="dxa"/>
            <w:tcBorders>
              <w:top w:val="nil"/>
              <w:left w:val="nil"/>
              <w:bottom w:val="single" w:sz="4" w:space="0" w:color="auto"/>
              <w:right w:val="single" w:sz="4" w:space="0" w:color="auto"/>
            </w:tcBorders>
            <w:shd w:val="clear" w:color="auto" w:fill="C4EFCE"/>
            <w:vAlign w:val="center"/>
            <w:hideMark/>
          </w:tcPr>
          <w:p w14:paraId="1BB98FB7" w14:textId="77777777" w:rsidR="00A15990" w:rsidRDefault="00686A62">
            <w:pPr>
              <w:pStyle w:val="P68B1DB1-Normal23"/>
              <w:spacing w:after="0"/>
              <w:jc w:val="center"/>
              <w:rPr>
                <w:rFonts w:eastAsia="Calibri" w:cs="Calibri"/>
                <w:noProof/>
              </w:rPr>
            </w:pPr>
            <w:r>
              <w:rPr>
                <w:noProof/>
              </w:rPr>
              <w:t>TC-C13-I03</w:t>
            </w:r>
          </w:p>
        </w:tc>
        <w:tc>
          <w:tcPr>
            <w:tcW w:w="1520" w:type="dxa"/>
            <w:tcBorders>
              <w:top w:val="nil"/>
              <w:left w:val="nil"/>
              <w:bottom w:val="single" w:sz="4" w:space="0" w:color="auto"/>
              <w:right w:val="single" w:sz="4" w:space="0" w:color="auto"/>
            </w:tcBorders>
            <w:shd w:val="clear" w:color="auto" w:fill="C4EFCE"/>
            <w:vAlign w:val="center"/>
            <w:hideMark/>
          </w:tcPr>
          <w:p w14:paraId="38CB2E3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5B96399" w14:textId="77777777" w:rsidR="00A15990" w:rsidRDefault="00686A62">
            <w:pPr>
              <w:pStyle w:val="P68B1DB1-Normal23"/>
              <w:spacing w:after="0"/>
              <w:jc w:val="both"/>
              <w:rPr>
                <w:rFonts w:eastAsia="Calibri" w:cs="Calibri"/>
                <w:noProof/>
              </w:rPr>
            </w:pPr>
            <w:r>
              <w:rPr>
                <w:noProof/>
              </w:rPr>
              <w:t>Capacitate suplimentară de producție de energie din surse regenerabile pentru autoconsum și pentru utilizare în comunitățile de energie din surse regenerabile din sectorul serviciilor private</w:t>
            </w:r>
          </w:p>
        </w:tc>
      </w:tr>
      <w:tr w:rsidR="00A15990" w14:paraId="1F41F64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5650C31" w14:textId="77777777" w:rsidR="00A15990" w:rsidRDefault="00686A62">
            <w:pPr>
              <w:pStyle w:val="P68B1DB1-Normal23"/>
              <w:spacing w:after="0"/>
              <w:jc w:val="center"/>
              <w:rPr>
                <w:rFonts w:eastAsia="Calibri" w:cs="Calibri"/>
                <w:noProof/>
              </w:rPr>
            </w:pPr>
            <w:r>
              <w:rPr>
                <w:noProof/>
              </w:rPr>
              <w:t>14.9</w:t>
            </w:r>
          </w:p>
        </w:tc>
        <w:tc>
          <w:tcPr>
            <w:tcW w:w="1760" w:type="dxa"/>
            <w:tcBorders>
              <w:top w:val="nil"/>
              <w:left w:val="nil"/>
              <w:bottom w:val="single" w:sz="4" w:space="0" w:color="auto"/>
              <w:right w:val="single" w:sz="4" w:space="0" w:color="auto"/>
            </w:tcBorders>
            <w:shd w:val="clear" w:color="auto" w:fill="C4EFCE"/>
            <w:vAlign w:val="center"/>
            <w:hideMark/>
          </w:tcPr>
          <w:p w14:paraId="70919607" w14:textId="77777777" w:rsidR="00A15990" w:rsidRDefault="00686A62">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C358FC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DD92A8B" w14:textId="77777777" w:rsidR="00A15990" w:rsidRDefault="00686A62">
            <w:pPr>
              <w:pStyle w:val="P68B1DB1-Normal23"/>
              <w:spacing w:after="0"/>
              <w:jc w:val="both"/>
              <w:rPr>
                <w:rFonts w:eastAsia="Calibri" w:cs="Calibri"/>
                <w:noProof/>
              </w:rPr>
            </w:pPr>
            <w:r>
              <w:rPr>
                <w:noProof/>
              </w:rPr>
              <w:t>Instalarea contoarelor inteligente</w:t>
            </w:r>
          </w:p>
        </w:tc>
      </w:tr>
      <w:tr w:rsidR="00A15990" w14:paraId="41E942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090FAB3" w14:textId="77777777" w:rsidR="00A15990" w:rsidRDefault="00686A62">
            <w:pPr>
              <w:pStyle w:val="P68B1DB1-Normal23"/>
              <w:spacing w:after="0"/>
              <w:jc w:val="center"/>
              <w:rPr>
                <w:rFonts w:eastAsia="Calibri" w:cs="Calibri"/>
                <w:noProof/>
              </w:rPr>
            </w:pPr>
            <w:r>
              <w:rPr>
                <w:noProof/>
              </w:rPr>
              <w:t>14.10</w:t>
            </w:r>
          </w:p>
        </w:tc>
        <w:tc>
          <w:tcPr>
            <w:tcW w:w="1760" w:type="dxa"/>
            <w:tcBorders>
              <w:top w:val="nil"/>
              <w:left w:val="nil"/>
              <w:bottom w:val="single" w:sz="4" w:space="0" w:color="auto"/>
              <w:right w:val="single" w:sz="4" w:space="0" w:color="auto"/>
            </w:tcBorders>
            <w:shd w:val="clear" w:color="auto" w:fill="C4EFCE"/>
            <w:vAlign w:val="center"/>
            <w:hideMark/>
          </w:tcPr>
          <w:p w14:paraId="14EE6BC3" w14:textId="77777777" w:rsidR="00A15990" w:rsidRDefault="00686A62">
            <w:pPr>
              <w:pStyle w:val="P68B1DB1-Normal23"/>
              <w:spacing w:after="0"/>
              <w:jc w:val="center"/>
              <w:rPr>
                <w:rFonts w:eastAsia="Calibri" w:cs="Calibri"/>
                <w:noProof/>
              </w:rPr>
            </w:pPr>
            <w:r>
              <w:rPr>
                <w:noProof/>
              </w:rPr>
              <w:t>TC-C14-i02-RAM</w:t>
            </w:r>
          </w:p>
        </w:tc>
        <w:tc>
          <w:tcPr>
            <w:tcW w:w="1520" w:type="dxa"/>
            <w:tcBorders>
              <w:top w:val="nil"/>
              <w:left w:val="nil"/>
              <w:bottom w:val="single" w:sz="4" w:space="0" w:color="auto"/>
              <w:right w:val="single" w:sz="4" w:space="0" w:color="auto"/>
            </w:tcBorders>
            <w:shd w:val="clear" w:color="auto" w:fill="C4EFCE"/>
            <w:vAlign w:val="center"/>
            <w:hideMark/>
          </w:tcPr>
          <w:p w14:paraId="19A8DD4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E3E950E" w14:textId="77777777" w:rsidR="00A15990" w:rsidRDefault="00686A62">
            <w:pPr>
              <w:pStyle w:val="P68B1DB1-Normal23"/>
              <w:spacing w:after="0"/>
              <w:jc w:val="both"/>
              <w:rPr>
                <w:rFonts w:eastAsia="Calibri" w:cs="Calibri"/>
                <w:noProof/>
              </w:rPr>
            </w:pPr>
            <w:r>
              <w:rPr>
                <w:noProof/>
              </w:rPr>
              <w:t>Înlocuirea punctelor de iluminat stradal</w:t>
            </w:r>
          </w:p>
        </w:tc>
      </w:tr>
      <w:tr w:rsidR="00A15990" w14:paraId="1259CE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C9EACEC" w14:textId="77777777" w:rsidR="00A15990" w:rsidRDefault="00686A62">
            <w:pPr>
              <w:pStyle w:val="P68B1DB1-Normal23"/>
              <w:spacing w:after="0"/>
              <w:jc w:val="center"/>
              <w:rPr>
                <w:rFonts w:eastAsia="Calibri" w:cs="Calibri"/>
                <w:noProof/>
              </w:rPr>
            </w:pPr>
            <w:r>
              <w:rPr>
                <w:noProof/>
              </w:rPr>
              <w:t>14.14</w:t>
            </w:r>
          </w:p>
        </w:tc>
        <w:tc>
          <w:tcPr>
            <w:tcW w:w="1760" w:type="dxa"/>
            <w:tcBorders>
              <w:top w:val="nil"/>
              <w:left w:val="nil"/>
              <w:bottom w:val="single" w:sz="4" w:space="0" w:color="auto"/>
              <w:right w:val="single" w:sz="4" w:space="0" w:color="auto"/>
            </w:tcBorders>
            <w:shd w:val="clear" w:color="auto" w:fill="C4EFCE"/>
            <w:vAlign w:val="center"/>
            <w:hideMark/>
          </w:tcPr>
          <w:p w14:paraId="5E5CAB41" w14:textId="77777777" w:rsidR="00A15990" w:rsidRDefault="00686A62">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2422CE6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56286D" w14:textId="77777777" w:rsidR="00A15990" w:rsidRDefault="00686A62">
            <w:pPr>
              <w:pStyle w:val="P68B1DB1-Normal23"/>
              <w:spacing w:after="0"/>
              <w:jc w:val="both"/>
              <w:rPr>
                <w:rFonts w:eastAsia="Calibri" w:cs="Calibri"/>
                <w:noProof/>
              </w:rPr>
            </w:pPr>
            <w:r>
              <w:rPr>
                <w:noProof/>
              </w:rPr>
              <w:t>Instalarea de instalații fotovoltaice de mici dimensiuni pentru producția și consumul local de energie electrică</w:t>
            </w:r>
          </w:p>
        </w:tc>
      </w:tr>
      <w:tr w:rsidR="00A15990" w14:paraId="28AF18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A65ACC1" w14:textId="77777777" w:rsidR="00A15990" w:rsidRDefault="00686A62">
            <w:pPr>
              <w:pStyle w:val="P68B1DB1-Normal23"/>
              <w:spacing w:after="0"/>
              <w:jc w:val="center"/>
              <w:rPr>
                <w:rFonts w:eastAsia="Calibri" w:cs="Calibri"/>
                <w:noProof/>
              </w:rPr>
            </w:pPr>
            <w:r>
              <w:rPr>
                <w:noProof/>
              </w:rPr>
              <w:t>16.3</w:t>
            </w:r>
          </w:p>
        </w:tc>
        <w:tc>
          <w:tcPr>
            <w:tcW w:w="1760" w:type="dxa"/>
            <w:tcBorders>
              <w:top w:val="nil"/>
              <w:left w:val="nil"/>
              <w:bottom w:val="single" w:sz="4" w:space="0" w:color="auto"/>
              <w:right w:val="single" w:sz="4" w:space="0" w:color="auto"/>
            </w:tcBorders>
            <w:shd w:val="clear" w:color="auto" w:fill="C4EFCE"/>
            <w:vAlign w:val="center"/>
            <w:hideMark/>
          </w:tcPr>
          <w:p w14:paraId="49A1257B" w14:textId="77777777" w:rsidR="00A15990" w:rsidRDefault="00686A62">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4627B07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BA94AFF" w14:textId="77777777" w:rsidR="00A15990" w:rsidRDefault="00686A62">
            <w:pPr>
              <w:pStyle w:val="P68B1DB1-Normal23"/>
              <w:spacing w:after="0"/>
              <w:jc w:val="both"/>
              <w:rPr>
                <w:rFonts w:eastAsia="Calibri" w:cs="Calibri"/>
                <w:noProof/>
              </w:rPr>
            </w:pPr>
            <w:r>
              <w:rPr>
                <w:noProof/>
              </w:rPr>
              <w:t>Ocuparea forței de muncă + participanți la formarea digitală</w:t>
            </w:r>
          </w:p>
        </w:tc>
      </w:tr>
      <w:tr w:rsidR="00A15990" w14:paraId="1C0A03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44A2AE" w14:textId="77777777" w:rsidR="00A15990" w:rsidRDefault="00686A62">
            <w:pPr>
              <w:pStyle w:val="P68B1DB1-Normal23"/>
              <w:spacing w:after="0"/>
              <w:jc w:val="center"/>
              <w:rPr>
                <w:rFonts w:eastAsia="Calibri" w:cs="Calibri"/>
                <w:noProof/>
              </w:rPr>
            </w:pPr>
            <w:r>
              <w:rPr>
                <w:noProof/>
              </w:rPr>
              <w:t>16.4</w:t>
            </w:r>
          </w:p>
        </w:tc>
        <w:tc>
          <w:tcPr>
            <w:tcW w:w="1760" w:type="dxa"/>
            <w:tcBorders>
              <w:top w:val="nil"/>
              <w:left w:val="nil"/>
              <w:bottom w:val="single" w:sz="4" w:space="0" w:color="auto"/>
              <w:right w:val="single" w:sz="4" w:space="0" w:color="auto"/>
            </w:tcBorders>
            <w:shd w:val="clear" w:color="auto" w:fill="C4EFCE"/>
            <w:vAlign w:val="center"/>
            <w:hideMark/>
          </w:tcPr>
          <w:p w14:paraId="4421E373" w14:textId="77777777" w:rsidR="00A15990" w:rsidRDefault="00686A62">
            <w:pPr>
              <w:pStyle w:val="P68B1DB1-Normal23"/>
              <w:spacing w:after="0"/>
              <w:jc w:val="center"/>
              <w:rPr>
                <w:rFonts w:eastAsia="Calibri" w:cs="Calibri"/>
                <w:noProof/>
              </w:rPr>
            </w:pPr>
            <w:r>
              <w:rPr>
                <w:noProof/>
              </w:rPr>
              <w:t>TD-C16-i01</w:t>
            </w:r>
          </w:p>
        </w:tc>
        <w:tc>
          <w:tcPr>
            <w:tcW w:w="1520" w:type="dxa"/>
            <w:tcBorders>
              <w:top w:val="nil"/>
              <w:left w:val="nil"/>
              <w:bottom w:val="single" w:sz="4" w:space="0" w:color="auto"/>
              <w:right w:val="single" w:sz="4" w:space="0" w:color="auto"/>
            </w:tcBorders>
            <w:shd w:val="clear" w:color="auto" w:fill="C4EFCE"/>
            <w:vAlign w:val="center"/>
            <w:hideMark/>
          </w:tcPr>
          <w:p w14:paraId="631F7E6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4033A4" w14:textId="77777777" w:rsidR="00A15990" w:rsidRDefault="00686A62">
            <w:pPr>
              <w:pStyle w:val="P68B1DB1-Normal23"/>
              <w:spacing w:after="0"/>
              <w:jc w:val="both"/>
              <w:rPr>
                <w:rFonts w:eastAsia="Calibri" w:cs="Calibri"/>
                <w:noProof/>
              </w:rPr>
            </w:pPr>
            <w:r>
              <w:rPr>
                <w:noProof/>
              </w:rPr>
              <w:t>Portugalia Participanți la cursuri de formare în cadrul Academiei digitale</w:t>
            </w:r>
          </w:p>
        </w:tc>
      </w:tr>
      <w:tr w:rsidR="00A15990" w14:paraId="1F4920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73CE429" w14:textId="77777777" w:rsidR="00A15990" w:rsidRDefault="00686A62">
            <w:pPr>
              <w:pStyle w:val="P68B1DB1-Normal23"/>
              <w:spacing w:after="0"/>
              <w:jc w:val="center"/>
              <w:rPr>
                <w:rFonts w:eastAsia="Calibri" w:cs="Calibri"/>
                <w:noProof/>
              </w:rPr>
            </w:pPr>
            <w:r>
              <w:rPr>
                <w:noProof/>
              </w:rPr>
              <w:t>16.8</w:t>
            </w:r>
          </w:p>
        </w:tc>
        <w:tc>
          <w:tcPr>
            <w:tcW w:w="1760" w:type="dxa"/>
            <w:tcBorders>
              <w:top w:val="nil"/>
              <w:left w:val="nil"/>
              <w:bottom w:val="single" w:sz="4" w:space="0" w:color="auto"/>
              <w:right w:val="single" w:sz="4" w:space="0" w:color="auto"/>
            </w:tcBorders>
            <w:shd w:val="clear" w:color="auto" w:fill="C4EFCE"/>
            <w:vAlign w:val="center"/>
            <w:hideMark/>
          </w:tcPr>
          <w:p w14:paraId="0609D596" w14:textId="77777777" w:rsidR="00A15990" w:rsidRDefault="00686A62">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253830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8D78655" w14:textId="77777777" w:rsidR="00A15990" w:rsidRDefault="00686A62">
            <w:pPr>
              <w:pStyle w:val="P68B1DB1-Normal23"/>
              <w:spacing w:after="0"/>
              <w:jc w:val="both"/>
              <w:rPr>
                <w:rFonts w:eastAsia="Calibri" w:cs="Calibri"/>
                <w:noProof/>
              </w:rPr>
            </w:pPr>
            <w:r>
              <w:rPr>
                <w:noProof/>
              </w:rPr>
              <w:t xml:space="preserve">Dezvoltarea de produse și servicii pilot ale rețelei naționale de baze de testare </w:t>
            </w:r>
          </w:p>
        </w:tc>
      </w:tr>
      <w:tr w:rsidR="00A15990" w14:paraId="292D08F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82F634" w14:textId="77777777" w:rsidR="00A15990" w:rsidRDefault="00686A62">
            <w:pPr>
              <w:pStyle w:val="P68B1DB1-Normal23"/>
              <w:spacing w:after="0"/>
              <w:jc w:val="center"/>
              <w:rPr>
                <w:rFonts w:eastAsia="Calibri" w:cs="Calibri"/>
                <w:noProof/>
              </w:rPr>
            </w:pPr>
            <w:r>
              <w:rPr>
                <w:noProof/>
              </w:rPr>
              <w:t>16.9</w:t>
            </w:r>
          </w:p>
        </w:tc>
        <w:tc>
          <w:tcPr>
            <w:tcW w:w="1760" w:type="dxa"/>
            <w:tcBorders>
              <w:top w:val="nil"/>
              <w:left w:val="nil"/>
              <w:bottom w:val="single" w:sz="4" w:space="0" w:color="auto"/>
              <w:right w:val="single" w:sz="4" w:space="0" w:color="auto"/>
            </w:tcBorders>
            <w:shd w:val="clear" w:color="auto" w:fill="C4EFCE"/>
            <w:vAlign w:val="center"/>
            <w:hideMark/>
          </w:tcPr>
          <w:p w14:paraId="622C0B7F" w14:textId="77777777" w:rsidR="00A15990" w:rsidRDefault="00686A62">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4EC1E27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F1A25E7" w14:textId="77777777" w:rsidR="00A15990" w:rsidRDefault="00686A62">
            <w:pPr>
              <w:pStyle w:val="P68B1DB1-Normal23"/>
              <w:spacing w:after="0"/>
              <w:jc w:val="both"/>
              <w:rPr>
                <w:rFonts w:eastAsia="Calibri" w:cs="Calibri"/>
                <w:noProof/>
              </w:rPr>
            </w:pPr>
            <w:r>
              <w:rPr>
                <w:noProof/>
              </w:rPr>
              <w:t>Cartierele comerțului digital</w:t>
            </w:r>
          </w:p>
        </w:tc>
      </w:tr>
      <w:tr w:rsidR="00A15990" w14:paraId="0F22019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BE349D" w14:textId="77777777" w:rsidR="00A15990" w:rsidRDefault="00686A62">
            <w:pPr>
              <w:pStyle w:val="P68B1DB1-Normal23"/>
              <w:spacing w:after="0"/>
              <w:jc w:val="center"/>
              <w:rPr>
                <w:rFonts w:eastAsia="Calibri" w:cs="Calibri"/>
                <w:noProof/>
              </w:rPr>
            </w:pPr>
            <w:r>
              <w:rPr>
                <w:noProof/>
              </w:rPr>
              <w:t>16.10</w:t>
            </w:r>
          </w:p>
        </w:tc>
        <w:tc>
          <w:tcPr>
            <w:tcW w:w="1760" w:type="dxa"/>
            <w:tcBorders>
              <w:top w:val="nil"/>
              <w:left w:val="nil"/>
              <w:bottom w:val="single" w:sz="4" w:space="0" w:color="auto"/>
              <w:right w:val="single" w:sz="4" w:space="0" w:color="auto"/>
            </w:tcBorders>
            <w:shd w:val="clear" w:color="auto" w:fill="C4EFCE"/>
            <w:vAlign w:val="center"/>
            <w:hideMark/>
          </w:tcPr>
          <w:p w14:paraId="7EF5440C" w14:textId="77777777" w:rsidR="00A15990" w:rsidRDefault="00686A62">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2240787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5A7407" w14:textId="77777777" w:rsidR="00A15990" w:rsidRDefault="00686A62">
            <w:pPr>
              <w:pStyle w:val="P68B1DB1-Normal23"/>
              <w:spacing w:after="0"/>
              <w:jc w:val="both"/>
              <w:rPr>
                <w:rFonts w:eastAsia="Calibri" w:cs="Calibri"/>
                <w:noProof/>
              </w:rPr>
            </w:pPr>
            <w:r>
              <w:rPr>
                <w:noProof/>
              </w:rPr>
              <w:t>IMM-uri sprijinite de acceleratori ai comerțului digital</w:t>
            </w:r>
          </w:p>
        </w:tc>
      </w:tr>
      <w:tr w:rsidR="00A15990" w14:paraId="395EF5A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6A4D268" w14:textId="77777777" w:rsidR="00A15990" w:rsidRDefault="00686A62">
            <w:pPr>
              <w:pStyle w:val="P68B1DB1-Normal23"/>
              <w:spacing w:after="0"/>
              <w:jc w:val="center"/>
              <w:rPr>
                <w:rFonts w:eastAsia="Calibri" w:cs="Calibri"/>
                <w:noProof/>
              </w:rPr>
            </w:pPr>
            <w:r>
              <w:rPr>
                <w:noProof/>
              </w:rPr>
              <w:t>16.11</w:t>
            </w:r>
          </w:p>
        </w:tc>
        <w:tc>
          <w:tcPr>
            <w:tcW w:w="1760" w:type="dxa"/>
            <w:tcBorders>
              <w:top w:val="nil"/>
              <w:left w:val="nil"/>
              <w:bottom w:val="single" w:sz="4" w:space="0" w:color="auto"/>
              <w:right w:val="single" w:sz="4" w:space="0" w:color="auto"/>
            </w:tcBorders>
            <w:shd w:val="clear" w:color="auto" w:fill="C4EFCE"/>
            <w:vAlign w:val="center"/>
            <w:hideMark/>
          </w:tcPr>
          <w:p w14:paraId="1C28A89D" w14:textId="77777777" w:rsidR="00A15990" w:rsidRDefault="00686A62">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5ED957C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09C888" w14:textId="77777777" w:rsidR="00A15990" w:rsidRDefault="00686A62">
            <w:pPr>
              <w:pStyle w:val="P68B1DB1-Normal23"/>
              <w:spacing w:after="0"/>
              <w:jc w:val="both"/>
              <w:rPr>
                <w:rFonts w:eastAsia="Calibri" w:cs="Calibri"/>
                <w:noProof/>
              </w:rPr>
            </w:pPr>
            <w:r>
              <w:rPr>
                <w:noProof/>
              </w:rPr>
              <w:t>IMM-urile și incubatoarele de întreprinderi nou-înființate sprijinite direct de programele de digitalizare</w:t>
            </w:r>
          </w:p>
        </w:tc>
      </w:tr>
      <w:tr w:rsidR="00A15990" w14:paraId="2F2CE55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03D9BF" w14:textId="77777777" w:rsidR="00A15990" w:rsidRDefault="00686A62">
            <w:pPr>
              <w:pStyle w:val="P68B1DB1-Normal23"/>
              <w:spacing w:after="0"/>
              <w:jc w:val="center"/>
              <w:rPr>
                <w:rFonts w:eastAsia="Calibri" w:cs="Calibri"/>
                <w:noProof/>
              </w:rPr>
            </w:pPr>
            <w:r>
              <w:rPr>
                <w:noProof/>
              </w:rPr>
              <w:t>16.12</w:t>
            </w:r>
          </w:p>
        </w:tc>
        <w:tc>
          <w:tcPr>
            <w:tcW w:w="1760" w:type="dxa"/>
            <w:tcBorders>
              <w:top w:val="nil"/>
              <w:left w:val="nil"/>
              <w:bottom w:val="single" w:sz="4" w:space="0" w:color="auto"/>
              <w:right w:val="single" w:sz="4" w:space="0" w:color="auto"/>
            </w:tcBorders>
            <w:shd w:val="clear" w:color="auto" w:fill="C4EFCE"/>
            <w:vAlign w:val="center"/>
            <w:hideMark/>
          </w:tcPr>
          <w:p w14:paraId="2DC53D71" w14:textId="77777777" w:rsidR="00A15990" w:rsidRDefault="00686A62">
            <w:pPr>
              <w:pStyle w:val="P68B1DB1-Normal23"/>
              <w:spacing w:after="0"/>
              <w:jc w:val="center"/>
              <w:rPr>
                <w:rFonts w:eastAsia="Calibri" w:cs="Calibri"/>
                <w:noProof/>
              </w:rPr>
            </w:pPr>
            <w:r>
              <w:rPr>
                <w:noProof/>
              </w:rPr>
              <w:t>TD-C16-i02</w:t>
            </w:r>
          </w:p>
        </w:tc>
        <w:tc>
          <w:tcPr>
            <w:tcW w:w="1520" w:type="dxa"/>
            <w:tcBorders>
              <w:top w:val="nil"/>
              <w:left w:val="nil"/>
              <w:bottom w:val="single" w:sz="4" w:space="0" w:color="auto"/>
              <w:right w:val="single" w:sz="4" w:space="0" w:color="auto"/>
            </w:tcBorders>
            <w:shd w:val="clear" w:color="auto" w:fill="C4EFCE"/>
            <w:vAlign w:val="center"/>
            <w:hideMark/>
          </w:tcPr>
          <w:p w14:paraId="02D2F5B7"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2922E7" w14:textId="77777777" w:rsidR="00A15990" w:rsidRDefault="00686A62">
            <w:pPr>
              <w:pStyle w:val="P68B1DB1-Normal23"/>
              <w:spacing w:after="0"/>
              <w:jc w:val="both"/>
              <w:rPr>
                <w:rFonts w:eastAsia="Calibri" w:cs="Calibri"/>
                <w:noProof/>
              </w:rPr>
            </w:pPr>
            <w:r>
              <w:rPr>
                <w:noProof/>
              </w:rPr>
              <w:t>Startup-uri cartografiate pe platforma Startup Portugal</w:t>
            </w:r>
          </w:p>
        </w:tc>
      </w:tr>
      <w:tr w:rsidR="00A15990" w14:paraId="1185F1D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662678" w14:textId="77777777" w:rsidR="00A15990" w:rsidRDefault="00686A62">
            <w:pPr>
              <w:pStyle w:val="P68B1DB1-Normal23"/>
              <w:spacing w:after="0"/>
              <w:jc w:val="center"/>
              <w:rPr>
                <w:rFonts w:eastAsia="Calibri" w:cs="Calibri"/>
                <w:noProof/>
              </w:rPr>
            </w:pPr>
            <w:r>
              <w:rPr>
                <w:noProof/>
              </w:rPr>
              <w:t>16.15</w:t>
            </w:r>
          </w:p>
        </w:tc>
        <w:tc>
          <w:tcPr>
            <w:tcW w:w="1760" w:type="dxa"/>
            <w:tcBorders>
              <w:top w:val="nil"/>
              <w:left w:val="nil"/>
              <w:bottom w:val="single" w:sz="4" w:space="0" w:color="auto"/>
              <w:right w:val="single" w:sz="4" w:space="0" w:color="auto"/>
            </w:tcBorders>
            <w:shd w:val="clear" w:color="auto" w:fill="C4EFCE"/>
            <w:vAlign w:val="center"/>
            <w:hideMark/>
          </w:tcPr>
          <w:p w14:paraId="31DEC5D3" w14:textId="77777777" w:rsidR="00A15990" w:rsidRDefault="00686A62">
            <w:pPr>
              <w:pStyle w:val="P68B1DB1-Normal23"/>
              <w:spacing w:after="0"/>
              <w:jc w:val="center"/>
              <w:rPr>
                <w:rFonts w:eastAsia="Calibri" w:cs="Calibri"/>
                <w:noProof/>
              </w:rPr>
            </w:pPr>
            <w:r>
              <w:rPr>
                <w:noProof/>
              </w:rPr>
              <w:t>TD-C16-i03</w:t>
            </w:r>
          </w:p>
        </w:tc>
        <w:tc>
          <w:tcPr>
            <w:tcW w:w="1520" w:type="dxa"/>
            <w:tcBorders>
              <w:top w:val="nil"/>
              <w:left w:val="nil"/>
              <w:bottom w:val="single" w:sz="4" w:space="0" w:color="auto"/>
              <w:right w:val="single" w:sz="4" w:space="0" w:color="auto"/>
            </w:tcBorders>
            <w:shd w:val="clear" w:color="auto" w:fill="C4EFCE"/>
            <w:vAlign w:val="center"/>
            <w:hideMark/>
          </w:tcPr>
          <w:p w14:paraId="4A580FA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5CADD8" w14:textId="77777777" w:rsidR="00A15990" w:rsidRDefault="00686A62">
            <w:pPr>
              <w:pStyle w:val="P68B1DB1-Normal23"/>
              <w:spacing w:after="0"/>
              <w:jc w:val="both"/>
              <w:rPr>
                <w:rFonts w:eastAsia="Calibri" w:cs="Calibri"/>
                <w:noProof/>
              </w:rPr>
            </w:pPr>
            <w:r>
              <w:rPr>
                <w:noProof/>
              </w:rPr>
              <w:t>Beneficiarii serviciilor de consultanță ale centrelor de inovare digitală</w:t>
            </w:r>
          </w:p>
        </w:tc>
      </w:tr>
      <w:tr w:rsidR="00A15990" w14:paraId="161C3A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A9B8BB0" w14:textId="77777777" w:rsidR="00A15990" w:rsidRDefault="00686A62">
            <w:pPr>
              <w:pStyle w:val="P68B1DB1-Normal23"/>
              <w:spacing w:after="0"/>
              <w:jc w:val="center"/>
              <w:rPr>
                <w:rFonts w:eastAsia="Calibri" w:cs="Calibri"/>
                <w:noProof/>
              </w:rPr>
            </w:pPr>
            <w:r>
              <w:rPr>
                <w:noProof/>
              </w:rPr>
              <w:t>16.17</w:t>
            </w:r>
          </w:p>
        </w:tc>
        <w:tc>
          <w:tcPr>
            <w:tcW w:w="1760" w:type="dxa"/>
            <w:tcBorders>
              <w:top w:val="nil"/>
              <w:left w:val="nil"/>
              <w:bottom w:val="single" w:sz="4" w:space="0" w:color="auto"/>
              <w:right w:val="single" w:sz="4" w:space="0" w:color="auto"/>
            </w:tcBorders>
            <w:shd w:val="clear" w:color="auto" w:fill="C4EFCE"/>
            <w:vAlign w:val="center"/>
            <w:hideMark/>
          </w:tcPr>
          <w:p w14:paraId="1C4ABCD3" w14:textId="77777777" w:rsidR="00A15990" w:rsidRDefault="00686A62">
            <w:pPr>
              <w:pStyle w:val="P68B1DB1-Normal23"/>
              <w:spacing w:after="0"/>
              <w:jc w:val="center"/>
              <w:rPr>
                <w:rFonts w:eastAsia="Calibri" w:cs="Calibri"/>
                <w:noProof/>
              </w:rPr>
            </w:pPr>
            <w:r>
              <w:rPr>
                <w:noProof/>
              </w:rPr>
              <w:t>TD-C16-i04</w:t>
            </w:r>
          </w:p>
        </w:tc>
        <w:tc>
          <w:tcPr>
            <w:tcW w:w="1520" w:type="dxa"/>
            <w:tcBorders>
              <w:top w:val="nil"/>
              <w:left w:val="nil"/>
              <w:bottom w:val="single" w:sz="4" w:space="0" w:color="auto"/>
              <w:right w:val="single" w:sz="4" w:space="0" w:color="auto"/>
            </w:tcBorders>
            <w:shd w:val="clear" w:color="auto" w:fill="C4EFCE"/>
            <w:vAlign w:val="center"/>
            <w:hideMark/>
          </w:tcPr>
          <w:p w14:paraId="7A3AB4F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93DE237" w14:textId="77777777" w:rsidR="00A15990" w:rsidRDefault="00686A62">
            <w:pPr>
              <w:pStyle w:val="P68B1DB1-Normal23"/>
              <w:spacing w:after="0"/>
              <w:jc w:val="both"/>
              <w:rPr>
                <w:rFonts w:eastAsia="Calibri" w:cs="Calibri"/>
                <w:noProof/>
              </w:rPr>
            </w:pPr>
            <w:r>
              <w:rPr>
                <w:noProof/>
              </w:rPr>
              <w:t>Finalizarea proiectelor din cadrul Industriei 4.0</w:t>
            </w:r>
          </w:p>
        </w:tc>
      </w:tr>
      <w:tr w:rsidR="00A15990" w14:paraId="2775448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C8F97AC" w14:textId="77777777" w:rsidR="00A15990" w:rsidRDefault="00686A62">
            <w:pPr>
              <w:pStyle w:val="P68B1DB1-Normal23"/>
              <w:spacing w:after="0"/>
              <w:jc w:val="center"/>
              <w:rPr>
                <w:rFonts w:eastAsia="Calibri" w:cs="Calibri"/>
                <w:noProof/>
              </w:rPr>
            </w:pPr>
            <w:r>
              <w:rPr>
                <w:noProof/>
              </w:rPr>
              <w:t>16.20</w:t>
            </w:r>
          </w:p>
        </w:tc>
        <w:tc>
          <w:tcPr>
            <w:tcW w:w="1760" w:type="dxa"/>
            <w:tcBorders>
              <w:top w:val="nil"/>
              <w:left w:val="nil"/>
              <w:bottom w:val="single" w:sz="4" w:space="0" w:color="auto"/>
              <w:right w:val="single" w:sz="4" w:space="0" w:color="auto"/>
            </w:tcBorders>
            <w:shd w:val="clear" w:color="auto" w:fill="C4EFCE"/>
            <w:vAlign w:val="center"/>
            <w:hideMark/>
          </w:tcPr>
          <w:p w14:paraId="6BBA6CB6" w14:textId="42406519" w:rsidR="00A15990" w:rsidRDefault="00686A62">
            <w:pPr>
              <w:pStyle w:val="P68B1DB1-Normal23"/>
              <w:spacing w:after="0"/>
              <w:jc w:val="center"/>
              <w:rPr>
                <w:rFonts w:eastAsia="Calibri" w:cs="Calibri"/>
                <w:noProof/>
              </w:rPr>
            </w:pPr>
            <w:r>
              <w:rPr>
                <w:noProof/>
              </w:rPr>
              <w:t>TD-C16-i06-RAM</w:t>
            </w:r>
          </w:p>
        </w:tc>
        <w:tc>
          <w:tcPr>
            <w:tcW w:w="1520" w:type="dxa"/>
            <w:tcBorders>
              <w:top w:val="nil"/>
              <w:left w:val="nil"/>
              <w:bottom w:val="single" w:sz="4" w:space="0" w:color="auto"/>
              <w:right w:val="single" w:sz="4" w:space="0" w:color="auto"/>
            </w:tcBorders>
            <w:shd w:val="clear" w:color="auto" w:fill="C4EFCE"/>
            <w:vAlign w:val="center"/>
            <w:hideMark/>
          </w:tcPr>
          <w:p w14:paraId="69E96A0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A95FF70" w14:textId="3BE1C11E" w:rsidR="00A15990" w:rsidRDefault="00686A62">
            <w:pPr>
              <w:pStyle w:val="P68B1DB1-Normal23"/>
              <w:spacing w:after="0"/>
              <w:jc w:val="both"/>
              <w:rPr>
                <w:rFonts w:eastAsia="Calibri" w:cs="Calibri"/>
                <w:noProof/>
              </w:rPr>
            </w:pPr>
            <w:r>
              <w:rPr>
                <w:noProof/>
              </w:rPr>
              <w:t>Întreprinderea 4.0</w:t>
            </w:r>
          </w:p>
        </w:tc>
      </w:tr>
      <w:tr w:rsidR="00A15990" w14:paraId="5F8D113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8D3BF65" w14:textId="77777777" w:rsidR="00A15990" w:rsidRDefault="00686A62">
            <w:pPr>
              <w:pStyle w:val="P68B1DB1-Normal23"/>
              <w:spacing w:after="0"/>
              <w:jc w:val="center"/>
              <w:rPr>
                <w:rFonts w:eastAsia="Calibri" w:cs="Calibri"/>
                <w:noProof/>
              </w:rPr>
            </w:pPr>
            <w:r>
              <w:rPr>
                <w:noProof/>
              </w:rPr>
              <w:t>17.4</w:t>
            </w:r>
          </w:p>
        </w:tc>
        <w:tc>
          <w:tcPr>
            <w:tcW w:w="1760" w:type="dxa"/>
            <w:tcBorders>
              <w:top w:val="nil"/>
              <w:left w:val="nil"/>
              <w:bottom w:val="single" w:sz="4" w:space="0" w:color="auto"/>
              <w:right w:val="single" w:sz="4" w:space="0" w:color="auto"/>
            </w:tcBorders>
            <w:shd w:val="clear" w:color="auto" w:fill="C4EFCE"/>
            <w:vAlign w:val="center"/>
            <w:hideMark/>
          </w:tcPr>
          <w:p w14:paraId="4E626E4A" w14:textId="77777777" w:rsidR="00A15990" w:rsidRDefault="00686A62">
            <w:pPr>
              <w:pStyle w:val="P68B1DB1-Normal23"/>
              <w:spacing w:after="0"/>
              <w:jc w:val="center"/>
              <w:rPr>
                <w:rFonts w:eastAsia="Calibri" w:cs="Calibri"/>
                <w:noProof/>
              </w:rPr>
            </w:pPr>
            <w:r>
              <w:rPr>
                <w:noProof/>
              </w:rPr>
              <w:t>TD-C17-r32</w:t>
            </w:r>
          </w:p>
        </w:tc>
        <w:tc>
          <w:tcPr>
            <w:tcW w:w="1520" w:type="dxa"/>
            <w:tcBorders>
              <w:top w:val="nil"/>
              <w:left w:val="nil"/>
              <w:bottom w:val="single" w:sz="4" w:space="0" w:color="auto"/>
              <w:right w:val="single" w:sz="4" w:space="0" w:color="auto"/>
            </w:tcBorders>
            <w:shd w:val="clear" w:color="auto" w:fill="C4EFCE"/>
            <w:vAlign w:val="center"/>
            <w:hideMark/>
          </w:tcPr>
          <w:p w14:paraId="312DFC9A"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40731E" w14:textId="77777777" w:rsidR="00A15990" w:rsidRDefault="00686A62">
            <w:pPr>
              <w:pStyle w:val="P68B1DB1-Normal23"/>
              <w:spacing w:after="0"/>
              <w:jc w:val="both"/>
              <w:rPr>
                <w:rFonts w:eastAsia="Calibri" w:cs="Calibri"/>
                <w:noProof/>
              </w:rPr>
            </w:pPr>
            <w:r>
              <w:rPr>
                <w:noProof/>
              </w:rPr>
              <w:t>Adoptarea modelului de calculare a costurilor pentru întocmirea bugetului programelor</w:t>
            </w:r>
          </w:p>
        </w:tc>
      </w:tr>
      <w:tr w:rsidR="00A15990" w14:paraId="28486F34"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41D9C06C" w14:textId="77777777" w:rsidR="00A15990" w:rsidRDefault="00686A62">
            <w:pPr>
              <w:pStyle w:val="P68B1DB1-Normal23"/>
              <w:spacing w:after="0"/>
              <w:jc w:val="center"/>
              <w:rPr>
                <w:rFonts w:eastAsia="Calibri" w:cs="Calibri"/>
                <w:noProof/>
              </w:rPr>
            </w:pPr>
            <w:r>
              <w:rPr>
                <w:noProof/>
              </w:rPr>
              <w:t>17.8</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59B7C27A" w14:textId="77777777" w:rsidR="00A15990" w:rsidRDefault="00686A62">
            <w:pPr>
              <w:pStyle w:val="P68B1DB1-Normal23"/>
              <w:spacing w:after="0"/>
              <w:jc w:val="center"/>
              <w:rPr>
                <w:rFonts w:eastAsia="Calibri" w:cs="Calibri"/>
                <w:noProof/>
              </w:rPr>
            </w:pPr>
            <w:r>
              <w:rPr>
                <w:noProof/>
              </w:rPr>
              <w:t>TD-C17-r32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79ACBAF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28D0D69" w14:textId="77777777" w:rsidR="00A15990" w:rsidRDefault="00686A62">
            <w:pPr>
              <w:pStyle w:val="P68B1DB1-Normal23"/>
              <w:spacing w:after="0"/>
              <w:jc w:val="both"/>
              <w:rPr>
                <w:rFonts w:eastAsia="Calibri" w:cs="Calibri"/>
                <w:noProof/>
              </w:rPr>
            </w:pPr>
            <w:r>
              <w:rPr>
                <w:noProof/>
              </w:rPr>
              <w:t>Numărul de planuri bugetare și de activități ale întreprinderilor de stat aprobate în mod consecvent de ministrul de finanțe și de ministrul (miniștrii) de resort respectiv (i)</w:t>
            </w:r>
          </w:p>
        </w:tc>
      </w:tr>
      <w:tr w:rsidR="00A15990" w14:paraId="0FFE3D6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DEF3AE" w14:textId="77777777" w:rsidR="00A15990" w:rsidRDefault="00686A62">
            <w:pPr>
              <w:pStyle w:val="P68B1DB1-Normal23"/>
              <w:spacing w:after="0"/>
              <w:jc w:val="center"/>
              <w:rPr>
                <w:rFonts w:eastAsia="Calibri" w:cs="Calibri"/>
                <w:noProof/>
              </w:rPr>
            </w:pPr>
            <w:r>
              <w:rPr>
                <w:noProof/>
              </w:rPr>
              <w:t>17.11</w:t>
            </w:r>
          </w:p>
        </w:tc>
        <w:tc>
          <w:tcPr>
            <w:tcW w:w="1760" w:type="dxa"/>
            <w:tcBorders>
              <w:top w:val="nil"/>
              <w:left w:val="nil"/>
              <w:bottom w:val="single" w:sz="4" w:space="0" w:color="auto"/>
              <w:right w:val="single" w:sz="4" w:space="0" w:color="auto"/>
            </w:tcBorders>
            <w:shd w:val="clear" w:color="auto" w:fill="C4EFCE"/>
            <w:vAlign w:val="center"/>
            <w:hideMark/>
          </w:tcPr>
          <w:p w14:paraId="6D375996" w14:textId="77777777" w:rsidR="00A15990" w:rsidRDefault="00686A62">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7F74C799"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E1A3F61" w14:textId="77777777" w:rsidR="00A15990" w:rsidRDefault="00686A62">
            <w:pPr>
              <w:pStyle w:val="P68B1DB1-Normal23"/>
              <w:spacing w:after="0"/>
              <w:jc w:val="both"/>
              <w:rPr>
                <w:rFonts w:eastAsia="Calibri" w:cs="Calibri"/>
                <w:noProof/>
              </w:rPr>
            </w:pPr>
            <w:r>
              <w:rPr>
                <w:noProof/>
              </w:rPr>
              <w:t>Punerea în funcțiune a unui sistem informatic de sprijin pentru noul model de control bugetar și financiar</w:t>
            </w:r>
          </w:p>
        </w:tc>
      </w:tr>
      <w:tr w:rsidR="00A15990" w14:paraId="4E7B346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785CDF1" w14:textId="77777777" w:rsidR="00A15990" w:rsidRDefault="00686A62">
            <w:pPr>
              <w:pStyle w:val="P68B1DB1-Normal23"/>
              <w:spacing w:after="0"/>
              <w:jc w:val="center"/>
              <w:rPr>
                <w:rFonts w:eastAsia="Calibri" w:cs="Calibri"/>
                <w:noProof/>
              </w:rPr>
            </w:pPr>
            <w:r>
              <w:rPr>
                <w:noProof/>
              </w:rPr>
              <w:t>17.14</w:t>
            </w:r>
          </w:p>
        </w:tc>
        <w:tc>
          <w:tcPr>
            <w:tcW w:w="1760" w:type="dxa"/>
            <w:tcBorders>
              <w:top w:val="nil"/>
              <w:left w:val="nil"/>
              <w:bottom w:val="single" w:sz="4" w:space="0" w:color="auto"/>
              <w:right w:val="single" w:sz="4" w:space="0" w:color="auto"/>
            </w:tcBorders>
            <w:shd w:val="clear" w:color="auto" w:fill="C4EFCE"/>
            <w:vAlign w:val="center"/>
            <w:hideMark/>
          </w:tcPr>
          <w:p w14:paraId="533A5B42" w14:textId="77777777" w:rsidR="00A15990" w:rsidRDefault="00686A62">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00CBE279"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BFA39" w14:textId="77777777" w:rsidR="00A15990" w:rsidRDefault="00686A62">
            <w:pPr>
              <w:pStyle w:val="P68B1DB1-Normal23"/>
              <w:spacing w:after="0"/>
              <w:jc w:val="both"/>
              <w:rPr>
                <w:rFonts w:eastAsia="Calibri" w:cs="Calibri"/>
                <w:noProof/>
              </w:rPr>
            </w:pPr>
            <w:r>
              <w:rPr>
                <w:noProof/>
              </w:rPr>
              <w:t>Finalizarea punerii în aplicare a centrului operațional de securitate</w:t>
            </w:r>
          </w:p>
        </w:tc>
      </w:tr>
      <w:tr w:rsidR="00A15990" w14:paraId="2825FB9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79519C8" w14:textId="77777777" w:rsidR="00A15990" w:rsidRDefault="00686A62">
            <w:pPr>
              <w:pStyle w:val="P68B1DB1-Normal23"/>
              <w:spacing w:after="0"/>
              <w:jc w:val="center"/>
              <w:rPr>
                <w:rFonts w:eastAsia="Calibri" w:cs="Calibri"/>
                <w:noProof/>
              </w:rPr>
            </w:pPr>
            <w:r>
              <w:rPr>
                <w:noProof/>
              </w:rPr>
              <w:t>17.16</w:t>
            </w:r>
          </w:p>
        </w:tc>
        <w:tc>
          <w:tcPr>
            <w:tcW w:w="1760" w:type="dxa"/>
            <w:tcBorders>
              <w:top w:val="nil"/>
              <w:left w:val="nil"/>
              <w:bottom w:val="single" w:sz="4" w:space="0" w:color="auto"/>
              <w:right w:val="single" w:sz="4" w:space="0" w:color="auto"/>
            </w:tcBorders>
            <w:shd w:val="clear" w:color="auto" w:fill="C4EFCE"/>
            <w:vAlign w:val="center"/>
            <w:hideMark/>
          </w:tcPr>
          <w:p w14:paraId="5E0AFA27" w14:textId="77777777" w:rsidR="00A15990" w:rsidRDefault="00686A62">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62B849B"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E8B115D" w14:textId="77777777" w:rsidR="00A15990" w:rsidRDefault="00686A62">
            <w:pPr>
              <w:pStyle w:val="P68B1DB1-Normal23"/>
              <w:spacing w:after="0"/>
              <w:jc w:val="both"/>
              <w:rPr>
                <w:rFonts w:eastAsia="Calibri" w:cs="Calibri"/>
                <w:noProof/>
              </w:rPr>
            </w:pPr>
            <w:r>
              <w:rPr>
                <w:noProof/>
              </w:rPr>
              <w:t>Furnizarea și operaționalizarea versiunii finale a sistemului informatic care sprijină evaluarea simplificată a proprietăților din mediul rural</w:t>
            </w:r>
          </w:p>
        </w:tc>
      </w:tr>
      <w:tr w:rsidR="00A15990" w14:paraId="54C1C6B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30E143" w14:textId="77777777" w:rsidR="00A15990" w:rsidRDefault="00686A62">
            <w:pPr>
              <w:pStyle w:val="P68B1DB1-Normal23"/>
              <w:spacing w:after="0"/>
              <w:jc w:val="center"/>
              <w:rPr>
                <w:rFonts w:eastAsia="Calibri" w:cs="Calibri"/>
                <w:noProof/>
              </w:rPr>
            </w:pPr>
            <w:r>
              <w:rPr>
                <w:noProof/>
              </w:rPr>
              <w:t>17.17</w:t>
            </w:r>
          </w:p>
        </w:tc>
        <w:tc>
          <w:tcPr>
            <w:tcW w:w="1760" w:type="dxa"/>
            <w:tcBorders>
              <w:top w:val="nil"/>
              <w:left w:val="nil"/>
              <w:bottom w:val="single" w:sz="4" w:space="0" w:color="auto"/>
              <w:right w:val="single" w:sz="4" w:space="0" w:color="auto"/>
            </w:tcBorders>
            <w:shd w:val="clear" w:color="auto" w:fill="C4EFCE"/>
            <w:vAlign w:val="center"/>
            <w:hideMark/>
          </w:tcPr>
          <w:p w14:paraId="723E9D48" w14:textId="77777777" w:rsidR="00A15990" w:rsidRDefault="00686A62">
            <w:pPr>
              <w:pStyle w:val="P68B1DB1-Normal23"/>
              <w:spacing w:after="0"/>
              <w:jc w:val="center"/>
              <w:rPr>
                <w:rFonts w:eastAsia="Calibri" w:cs="Calibri"/>
                <w:noProof/>
              </w:rPr>
            </w:pPr>
            <w:r>
              <w:rPr>
                <w:noProof/>
              </w:rPr>
              <w:t>TD-C17-i02</w:t>
            </w:r>
          </w:p>
        </w:tc>
        <w:tc>
          <w:tcPr>
            <w:tcW w:w="1520" w:type="dxa"/>
            <w:tcBorders>
              <w:top w:val="nil"/>
              <w:left w:val="nil"/>
              <w:bottom w:val="single" w:sz="4" w:space="0" w:color="auto"/>
              <w:right w:val="single" w:sz="4" w:space="0" w:color="auto"/>
            </w:tcBorders>
            <w:shd w:val="clear" w:color="auto" w:fill="C4EFCE"/>
            <w:vAlign w:val="center"/>
            <w:hideMark/>
          </w:tcPr>
          <w:p w14:paraId="6724BA1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048DD5" w14:textId="77777777" w:rsidR="00A15990" w:rsidRDefault="00686A62">
            <w:pPr>
              <w:pStyle w:val="P68B1DB1-Normal23"/>
              <w:spacing w:after="0"/>
              <w:jc w:val="both"/>
              <w:rPr>
                <w:rFonts w:eastAsia="Calibri" w:cs="Calibri"/>
                <w:noProof/>
              </w:rPr>
            </w:pPr>
            <w:r>
              <w:rPr>
                <w:noProof/>
              </w:rPr>
              <w:t>Finalizarea caracterizării edafo-climato-morfologice (pedologice și climatice) și evaluarea potențialului economic al proprietăților rurale</w:t>
            </w:r>
          </w:p>
        </w:tc>
      </w:tr>
      <w:tr w:rsidR="00A15990" w14:paraId="3DB5C5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F07BD9" w14:textId="77777777" w:rsidR="00A15990" w:rsidRDefault="00686A62">
            <w:pPr>
              <w:pStyle w:val="P68B1DB1-Normal23"/>
              <w:spacing w:after="0"/>
              <w:jc w:val="center"/>
              <w:rPr>
                <w:rFonts w:eastAsia="Calibri" w:cs="Calibri"/>
                <w:noProof/>
              </w:rPr>
            </w:pPr>
            <w:r>
              <w:rPr>
                <w:noProof/>
              </w:rPr>
              <w:t>17.18</w:t>
            </w:r>
          </w:p>
        </w:tc>
        <w:tc>
          <w:tcPr>
            <w:tcW w:w="1760" w:type="dxa"/>
            <w:tcBorders>
              <w:top w:val="nil"/>
              <w:left w:val="nil"/>
              <w:bottom w:val="single" w:sz="4" w:space="0" w:color="auto"/>
              <w:right w:val="single" w:sz="4" w:space="0" w:color="auto"/>
            </w:tcBorders>
            <w:shd w:val="clear" w:color="auto" w:fill="C4EFCE"/>
            <w:vAlign w:val="center"/>
            <w:hideMark/>
          </w:tcPr>
          <w:p w14:paraId="2CCBFDDD" w14:textId="77777777" w:rsidR="00A15990" w:rsidRDefault="00686A62">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28D6CC7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36DFDFD" w14:textId="77777777" w:rsidR="00A15990" w:rsidRDefault="00686A62">
            <w:pPr>
              <w:pStyle w:val="P68B1DB1-Normal23"/>
              <w:spacing w:after="0"/>
              <w:jc w:val="both"/>
              <w:rPr>
                <w:rFonts w:eastAsia="Calibri" w:cs="Calibri"/>
                <w:noProof/>
              </w:rPr>
            </w:pPr>
            <w:r>
              <w:rPr>
                <w:noProof/>
              </w:rPr>
              <w:t>Extinderea funcționalităților site-ului Segurança Social Direta, prin adăugarea a cinci noi servicii online</w:t>
            </w:r>
          </w:p>
        </w:tc>
      </w:tr>
      <w:tr w:rsidR="00A15990" w14:paraId="47DDC2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5A2944" w14:textId="77777777" w:rsidR="00A15990" w:rsidRDefault="00686A62">
            <w:pPr>
              <w:pStyle w:val="P68B1DB1-Normal23"/>
              <w:spacing w:after="0"/>
              <w:jc w:val="center"/>
              <w:rPr>
                <w:rFonts w:eastAsia="Calibri" w:cs="Calibri"/>
                <w:noProof/>
              </w:rPr>
            </w:pPr>
            <w:r>
              <w:rPr>
                <w:noProof/>
              </w:rPr>
              <w:t>17.19</w:t>
            </w:r>
          </w:p>
        </w:tc>
        <w:tc>
          <w:tcPr>
            <w:tcW w:w="1760" w:type="dxa"/>
            <w:tcBorders>
              <w:top w:val="nil"/>
              <w:left w:val="nil"/>
              <w:bottom w:val="single" w:sz="4" w:space="0" w:color="auto"/>
              <w:right w:val="single" w:sz="4" w:space="0" w:color="auto"/>
            </w:tcBorders>
            <w:shd w:val="clear" w:color="auto" w:fill="C4EFCE"/>
            <w:vAlign w:val="center"/>
            <w:hideMark/>
          </w:tcPr>
          <w:p w14:paraId="7AEDC7FA" w14:textId="77777777" w:rsidR="00A15990" w:rsidRDefault="00686A62">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0F1DBD7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F9E549" w14:textId="77777777" w:rsidR="00A15990" w:rsidRDefault="00686A62">
            <w:pPr>
              <w:pStyle w:val="P68B1DB1-Normal23"/>
              <w:spacing w:after="0"/>
              <w:jc w:val="both"/>
              <w:rPr>
                <w:rFonts w:eastAsia="Calibri" w:cs="Calibri"/>
                <w:noProof/>
              </w:rPr>
            </w:pPr>
            <w:r>
              <w:rPr>
                <w:noProof/>
              </w:rPr>
              <w:t>Reducerea cu 80 % a numărului mediu de zile necesare pentru a acorda prestații sociale cu caracter contributiv, pentru cele care au o durată medie de acordare mai mare de 10 de zile</w:t>
            </w:r>
          </w:p>
        </w:tc>
      </w:tr>
      <w:tr w:rsidR="00A15990" w14:paraId="5B84839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754C84" w14:textId="77777777" w:rsidR="00A15990" w:rsidRDefault="00686A62">
            <w:pPr>
              <w:pStyle w:val="P68B1DB1-Normal23"/>
              <w:spacing w:after="0"/>
              <w:jc w:val="center"/>
              <w:rPr>
                <w:rFonts w:eastAsia="Calibri" w:cs="Calibri"/>
                <w:noProof/>
              </w:rPr>
            </w:pPr>
            <w:r>
              <w:rPr>
                <w:noProof/>
              </w:rPr>
              <w:t>17.20</w:t>
            </w:r>
          </w:p>
        </w:tc>
        <w:tc>
          <w:tcPr>
            <w:tcW w:w="1760" w:type="dxa"/>
            <w:tcBorders>
              <w:top w:val="nil"/>
              <w:left w:val="nil"/>
              <w:bottom w:val="single" w:sz="4" w:space="0" w:color="auto"/>
              <w:right w:val="single" w:sz="4" w:space="0" w:color="auto"/>
            </w:tcBorders>
            <w:shd w:val="clear" w:color="auto" w:fill="C4EFCE"/>
            <w:vAlign w:val="center"/>
            <w:hideMark/>
          </w:tcPr>
          <w:p w14:paraId="2C052451" w14:textId="77777777" w:rsidR="00A15990" w:rsidRDefault="00686A62">
            <w:pPr>
              <w:pStyle w:val="P68B1DB1-Normal23"/>
              <w:spacing w:after="0"/>
              <w:jc w:val="center"/>
              <w:rPr>
                <w:rFonts w:eastAsia="Calibri" w:cs="Calibri"/>
                <w:noProof/>
              </w:rPr>
            </w:pPr>
            <w:r>
              <w:rPr>
                <w:noProof/>
              </w:rPr>
              <w:t>TD-C17-i03</w:t>
            </w:r>
          </w:p>
        </w:tc>
        <w:tc>
          <w:tcPr>
            <w:tcW w:w="1520" w:type="dxa"/>
            <w:tcBorders>
              <w:top w:val="nil"/>
              <w:left w:val="nil"/>
              <w:bottom w:val="single" w:sz="4" w:space="0" w:color="auto"/>
              <w:right w:val="single" w:sz="4" w:space="0" w:color="auto"/>
            </w:tcBorders>
            <w:shd w:val="clear" w:color="auto" w:fill="C4EFCE"/>
            <w:vAlign w:val="center"/>
            <w:hideMark/>
          </w:tcPr>
          <w:p w14:paraId="5C4F126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0814D6F" w14:textId="77777777" w:rsidR="00A15990" w:rsidRDefault="00686A62">
            <w:pPr>
              <w:pStyle w:val="P68B1DB1-Normal23"/>
              <w:spacing w:after="0"/>
              <w:jc w:val="both"/>
              <w:rPr>
                <w:rFonts w:eastAsia="Calibri" w:cs="Calibri"/>
                <w:noProof/>
              </w:rPr>
            </w:pPr>
            <w:r>
              <w:rPr>
                <w:noProof/>
              </w:rPr>
              <w:t>Punerea în aplicare a unor modele de supraveghere inteligente pentru a sprijini prevenirea fraudei, pe baza proceselor de învățare automată</w:t>
            </w:r>
          </w:p>
        </w:tc>
      </w:tr>
      <w:tr w:rsidR="00A15990" w14:paraId="3EABB5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5BA64F9" w14:textId="77777777" w:rsidR="00A15990" w:rsidRDefault="00686A62">
            <w:pPr>
              <w:pStyle w:val="P68B1DB1-Normal23"/>
              <w:spacing w:after="0"/>
              <w:jc w:val="center"/>
              <w:rPr>
                <w:rFonts w:eastAsia="Calibri" w:cs="Calibri"/>
                <w:noProof/>
              </w:rPr>
            </w:pPr>
            <w:r>
              <w:rPr>
                <w:noProof/>
              </w:rPr>
              <w:t>18.4</w:t>
            </w:r>
          </w:p>
        </w:tc>
        <w:tc>
          <w:tcPr>
            <w:tcW w:w="1760" w:type="dxa"/>
            <w:tcBorders>
              <w:top w:val="nil"/>
              <w:left w:val="nil"/>
              <w:bottom w:val="single" w:sz="4" w:space="0" w:color="auto"/>
              <w:right w:val="single" w:sz="4" w:space="0" w:color="auto"/>
            </w:tcBorders>
            <w:shd w:val="clear" w:color="auto" w:fill="C4EFCE"/>
            <w:vAlign w:val="center"/>
            <w:hideMark/>
          </w:tcPr>
          <w:p w14:paraId="5AC061BF" w14:textId="77777777" w:rsidR="00A15990" w:rsidRDefault="00686A62">
            <w:pPr>
              <w:pStyle w:val="P68B1DB1-Normal23"/>
              <w:spacing w:after="0"/>
              <w:jc w:val="center"/>
              <w:rPr>
                <w:rFonts w:eastAsia="Calibri" w:cs="Calibri"/>
                <w:noProof/>
              </w:rPr>
            </w:pPr>
            <w:r>
              <w:rPr>
                <w:noProof/>
              </w:rPr>
              <w:t>TD-C18-r33</w:t>
            </w:r>
          </w:p>
        </w:tc>
        <w:tc>
          <w:tcPr>
            <w:tcW w:w="1520" w:type="dxa"/>
            <w:tcBorders>
              <w:top w:val="nil"/>
              <w:left w:val="nil"/>
              <w:bottom w:val="single" w:sz="4" w:space="0" w:color="auto"/>
              <w:right w:val="single" w:sz="4" w:space="0" w:color="auto"/>
            </w:tcBorders>
            <w:shd w:val="clear" w:color="auto" w:fill="C4EFCE"/>
            <w:vAlign w:val="center"/>
            <w:hideMark/>
          </w:tcPr>
          <w:p w14:paraId="2172CC8E"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1E3A34" w14:textId="77777777" w:rsidR="00A15990" w:rsidRDefault="00686A62">
            <w:pPr>
              <w:pStyle w:val="P68B1DB1-Normal23"/>
              <w:spacing w:after="0"/>
              <w:jc w:val="both"/>
              <w:rPr>
                <w:rFonts w:eastAsia="Calibri" w:cs="Calibri"/>
                <w:noProof/>
              </w:rPr>
            </w:pPr>
            <w:r>
              <w:rPr>
                <w:noProof/>
              </w:rPr>
              <w:t>Intrarea în vigoare a pachetului legislativ privind eliminarea barierelor din calea acordării licențelor și a noului cadru juridic pentru arbitrajul administrativ voluntar</w:t>
            </w:r>
          </w:p>
        </w:tc>
      </w:tr>
      <w:tr w:rsidR="00A15990" w14:paraId="45D451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C6B7728" w14:textId="77777777" w:rsidR="00A15990" w:rsidRDefault="00686A62">
            <w:pPr>
              <w:pStyle w:val="P68B1DB1-Normal23"/>
              <w:spacing w:after="0"/>
              <w:jc w:val="center"/>
              <w:rPr>
                <w:rFonts w:eastAsia="Calibri" w:cs="Calibri"/>
                <w:noProof/>
              </w:rPr>
            </w:pPr>
            <w:r>
              <w:rPr>
                <w:noProof/>
              </w:rPr>
              <w:t>18.7</w:t>
            </w:r>
          </w:p>
        </w:tc>
        <w:tc>
          <w:tcPr>
            <w:tcW w:w="1760" w:type="dxa"/>
            <w:tcBorders>
              <w:top w:val="nil"/>
              <w:left w:val="nil"/>
              <w:bottom w:val="single" w:sz="4" w:space="0" w:color="auto"/>
              <w:right w:val="single" w:sz="4" w:space="0" w:color="auto"/>
            </w:tcBorders>
            <w:shd w:val="clear" w:color="auto" w:fill="C4EFCE"/>
            <w:vAlign w:val="center"/>
            <w:hideMark/>
          </w:tcPr>
          <w:p w14:paraId="21C71E03" w14:textId="77777777" w:rsidR="00A15990" w:rsidRDefault="00686A62">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ED722D1"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E5FA1F0" w14:textId="77777777" w:rsidR="00A15990" w:rsidRDefault="00686A62">
            <w:pPr>
              <w:pStyle w:val="P68B1DB1-Normal23"/>
              <w:spacing w:after="0"/>
              <w:jc w:val="both"/>
              <w:rPr>
                <w:rFonts w:eastAsia="Calibri" w:cs="Calibri"/>
                <w:noProof/>
              </w:rPr>
            </w:pPr>
            <w:r>
              <w:rPr>
                <w:noProof/>
              </w:rPr>
              <w:t>Noul sistem de informații pentru transformarea digitală a instanțelor și a parchetului</w:t>
            </w:r>
          </w:p>
        </w:tc>
      </w:tr>
      <w:tr w:rsidR="00A15990" w14:paraId="1BD13F4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D40AE85" w14:textId="77777777" w:rsidR="00A15990" w:rsidRDefault="00686A62">
            <w:pPr>
              <w:pStyle w:val="P68B1DB1-Normal23"/>
              <w:spacing w:after="0"/>
              <w:jc w:val="center"/>
              <w:rPr>
                <w:rFonts w:eastAsia="Calibri" w:cs="Calibri"/>
                <w:noProof/>
              </w:rPr>
            </w:pPr>
            <w:r>
              <w:rPr>
                <w:noProof/>
              </w:rPr>
              <w:t>18.8</w:t>
            </w:r>
          </w:p>
        </w:tc>
        <w:tc>
          <w:tcPr>
            <w:tcW w:w="1760" w:type="dxa"/>
            <w:tcBorders>
              <w:top w:val="nil"/>
              <w:left w:val="nil"/>
              <w:bottom w:val="single" w:sz="4" w:space="0" w:color="auto"/>
              <w:right w:val="single" w:sz="4" w:space="0" w:color="auto"/>
            </w:tcBorders>
            <w:shd w:val="clear" w:color="auto" w:fill="C4EFCE"/>
            <w:vAlign w:val="center"/>
            <w:hideMark/>
          </w:tcPr>
          <w:p w14:paraId="35742E8F" w14:textId="77777777" w:rsidR="00A15990" w:rsidRDefault="00686A62">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452B02B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E14B786" w14:textId="77777777" w:rsidR="00A15990" w:rsidRDefault="00686A62">
            <w:pPr>
              <w:pStyle w:val="P68B1DB1-Normal23"/>
              <w:spacing w:after="0"/>
              <w:jc w:val="both"/>
              <w:rPr>
                <w:rFonts w:eastAsia="Calibri" w:cs="Calibri"/>
                <w:noProof/>
              </w:rPr>
            </w:pPr>
            <w:r>
              <w:rPr>
                <w:noProof/>
              </w:rPr>
              <w:t>Punerea în aplicare a noului plan tehnologic</w:t>
            </w:r>
          </w:p>
        </w:tc>
      </w:tr>
      <w:tr w:rsidR="00A15990" w14:paraId="63D2E9F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74ADEE" w14:textId="77777777" w:rsidR="00A15990" w:rsidRDefault="00686A62">
            <w:pPr>
              <w:pStyle w:val="P68B1DB1-Normal23"/>
              <w:spacing w:after="0"/>
              <w:jc w:val="center"/>
              <w:rPr>
                <w:rFonts w:eastAsia="Calibri" w:cs="Calibri"/>
                <w:noProof/>
              </w:rPr>
            </w:pPr>
            <w:r>
              <w:rPr>
                <w:noProof/>
              </w:rPr>
              <w:t>18.9</w:t>
            </w:r>
          </w:p>
        </w:tc>
        <w:tc>
          <w:tcPr>
            <w:tcW w:w="1760" w:type="dxa"/>
            <w:tcBorders>
              <w:top w:val="nil"/>
              <w:left w:val="nil"/>
              <w:bottom w:val="single" w:sz="4" w:space="0" w:color="auto"/>
              <w:right w:val="single" w:sz="4" w:space="0" w:color="auto"/>
            </w:tcBorders>
            <w:shd w:val="clear" w:color="auto" w:fill="C4EFCE"/>
            <w:vAlign w:val="center"/>
            <w:hideMark/>
          </w:tcPr>
          <w:p w14:paraId="28414CF8" w14:textId="77777777" w:rsidR="00A15990" w:rsidRDefault="00686A62">
            <w:pPr>
              <w:pStyle w:val="P68B1DB1-Normal23"/>
              <w:spacing w:after="0"/>
              <w:jc w:val="center"/>
              <w:rPr>
                <w:rFonts w:eastAsia="Calibri" w:cs="Calibri"/>
                <w:noProof/>
              </w:rPr>
            </w:pPr>
            <w:r>
              <w:rPr>
                <w:noProof/>
              </w:rPr>
              <w:t>TD-C18-i01</w:t>
            </w:r>
          </w:p>
        </w:tc>
        <w:tc>
          <w:tcPr>
            <w:tcW w:w="1520" w:type="dxa"/>
            <w:tcBorders>
              <w:top w:val="nil"/>
              <w:left w:val="nil"/>
              <w:bottom w:val="single" w:sz="4" w:space="0" w:color="auto"/>
              <w:right w:val="single" w:sz="4" w:space="0" w:color="auto"/>
            </w:tcBorders>
            <w:shd w:val="clear" w:color="auto" w:fill="C4EFCE"/>
            <w:vAlign w:val="center"/>
            <w:hideMark/>
          </w:tcPr>
          <w:p w14:paraId="6C3280D6"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8857B2A" w14:textId="77777777" w:rsidR="00A15990" w:rsidRDefault="00686A62">
            <w:pPr>
              <w:pStyle w:val="P68B1DB1-Normal23"/>
              <w:spacing w:after="0"/>
              <w:jc w:val="both"/>
              <w:rPr>
                <w:rFonts w:eastAsia="Calibri" w:cs="Calibri"/>
                <w:noProof/>
              </w:rPr>
            </w:pPr>
            <w:r>
              <w:rPr>
                <w:noProof/>
              </w:rPr>
              <w:t>Platforme de gestionare a cunoștințelor în justiție</w:t>
            </w:r>
          </w:p>
        </w:tc>
      </w:tr>
      <w:tr w:rsidR="00A15990" w14:paraId="31EEFCD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6EEFE" w14:textId="77777777" w:rsidR="00A15990" w:rsidRDefault="00686A62">
            <w:pPr>
              <w:pStyle w:val="P68B1DB1-Normal23"/>
              <w:spacing w:after="0"/>
              <w:jc w:val="center"/>
              <w:rPr>
                <w:rFonts w:eastAsia="Calibri" w:cs="Calibri"/>
                <w:noProof/>
              </w:rPr>
            </w:pPr>
            <w:r>
              <w:rPr>
                <w:noProof/>
              </w:rPr>
              <w:t>19.13</w:t>
            </w:r>
          </w:p>
        </w:tc>
        <w:tc>
          <w:tcPr>
            <w:tcW w:w="1760" w:type="dxa"/>
            <w:tcBorders>
              <w:top w:val="nil"/>
              <w:left w:val="nil"/>
              <w:bottom w:val="single" w:sz="4" w:space="0" w:color="auto"/>
              <w:right w:val="single" w:sz="4" w:space="0" w:color="auto"/>
            </w:tcBorders>
            <w:shd w:val="clear" w:color="auto" w:fill="C4EFCE"/>
            <w:vAlign w:val="center"/>
            <w:hideMark/>
          </w:tcPr>
          <w:p w14:paraId="60EB5193" w14:textId="77777777" w:rsidR="00A15990" w:rsidRDefault="00686A62">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3EA5634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9DF2DDA" w14:textId="77777777" w:rsidR="00A15990" w:rsidRDefault="00686A62">
            <w:pPr>
              <w:pStyle w:val="P68B1DB1-Normal23"/>
              <w:spacing w:after="0"/>
              <w:jc w:val="both"/>
              <w:rPr>
                <w:rFonts w:eastAsia="Calibri" w:cs="Calibri"/>
                <w:noProof/>
              </w:rPr>
            </w:pPr>
            <w:r>
              <w:rPr>
                <w:noProof/>
              </w:rPr>
              <w:t>Finalizarea modernizării infrastructurilor digitale critice</w:t>
            </w:r>
          </w:p>
        </w:tc>
      </w:tr>
      <w:tr w:rsidR="00A15990" w14:paraId="71D989E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663BCA" w14:textId="77777777" w:rsidR="00A15990" w:rsidRDefault="00686A62">
            <w:pPr>
              <w:pStyle w:val="P68B1DB1-Normal23"/>
              <w:spacing w:after="0"/>
              <w:jc w:val="center"/>
              <w:rPr>
                <w:rFonts w:eastAsia="Calibri" w:cs="Calibri"/>
                <w:noProof/>
              </w:rPr>
            </w:pPr>
            <w:r>
              <w:rPr>
                <w:noProof/>
              </w:rPr>
              <w:t>19.18</w:t>
            </w:r>
          </w:p>
        </w:tc>
        <w:tc>
          <w:tcPr>
            <w:tcW w:w="1760" w:type="dxa"/>
            <w:tcBorders>
              <w:top w:val="nil"/>
              <w:left w:val="nil"/>
              <w:bottom w:val="single" w:sz="4" w:space="0" w:color="auto"/>
              <w:right w:val="single" w:sz="4" w:space="0" w:color="auto"/>
            </w:tcBorders>
            <w:shd w:val="clear" w:color="auto" w:fill="C4EFCE"/>
            <w:vAlign w:val="center"/>
            <w:hideMark/>
          </w:tcPr>
          <w:p w14:paraId="45108801" w14:textId="77777777" w:rsidR="00A15990" w:rsidRDefault="00686A62">
            <w:pPr>
              <w:pStyle w:val="P68B1DB1-Normal23"/>
              <w:spacing w:after="0"/>
              <w:jc w:val="center"/>
              <w:rPr>
                <w:rFonts w:eastAsia="Calibri" w:cs="Calibri"/>
                <w:noProof/>
              </w:rPr>
            </w:pPr>
            <w:r>
              <w:rPr>
                <w:noProof/>
              </w:rPr>
              <w:t>TD-C19-i06-RAA</w:t>
            </w:r>
          </w:p>
        </w:tc>
        <w:tc>
          <w:tcPr>
            <w:tcW w:w="1520" w:type="dxa"/>
            <w:tcBorders>
              <w:top w:val="nil"/>
              <w:left w:val="nil"/>
              <w:bottom w:val="single" w:sz="4" w:space="0" w:color="auto"/>
              <w:right w:val="single" w:sz="4" w:space="0" w:color="auto"/>
            </w:tcBorders>
            <w:shd w:val="clear" w:color="auto" w:fill="C4EFCE"/>
            <w:vAlign w:val="center"/>
            <w:hideMark/>
          </w:tcPr>
          <w:p w14:paraId="263E5D1D"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186F7B4" w14:textId="77777777" w:rsidR="00A15990" w:rsidRDefault="00686A62">
            <w:pPr>
              <w:pStyle w:val="P68B1DB1-Normal23"/>
              <w:spacing w:after="0"/>
              <w:jc w:val="both"/>
              <w:rPr>
                <w:rFonts w:eastAsia="Calibri" w:cs="Calibri"/>
                <w:noProof/>
              </w:rPr>
            </w:pPr>
            <w:r>
              <w:rPr>
                <w:noProof/>
              </w:rPr>
              <w:t>Digitalizarea administrației publice regionale a ARA</w:t>
            </w:r>
          </w:p>
        </w:tc>
      </w:tr>
      <w:tr w:rsidR="00A15990" w14:paraId="4826CD0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B869B" w14:textId="77777777" w:rsidR="00A15990" w:rsidRDefault="00686A62">
            <w:pPr>
              <w:pStyle w:val="P68B1DB1-Normal23"/>
              <w:spacing w:after="0"/>
              <w:jc w:val="center"/>
              <w:rPr>
                <w:rFonts w:eastAsia="Calibri" w:cs="Calibri"/>
                <w:noProof/>
              </w:rPr>
            </w:pPr>
            <w:r>
              <w:rPr>
                <w:noProof/>
              </w:rPr>
              <w:t>19.29</w:t>
            </w:r>
          </w:p>
        </w:tc>
        <w:tc>
          <w:tcPr>
            <w:tcW w:w="1760" w:type="dxa"/>
            <w:tcBorders>
              <w:top w:val="nil"/>
              <w:left w:val="nil"/>
              <w:bottom w:val="single" w:sz="4" w:space="0" w:color="auto"/>
              <w:right w:val="single" w:sz="4" w:space="0" w:color="auto"/>
            </w:tcBorders>
            <w:shd w:val="clear" w:color="auto" w:fill="C4EFCE"/>
            <w:vAlign w:val="center"/>
            <w:hideMark/>
          </w:tcPr>
          <w:p w14:paraId="20B7CA8B" w14:textId="5ECEEBAE" w:rsidR="00A15990" w:rsidRDefault="00686A62">
            <w:pPr>
              <w:pStyle w:val="P68B1DB1-Normal23"/>
              <w:spacing w:after="0"/>
              <w:jc w:val="center"/>
              <w:rPr>
                <w:rFonts w:eastAsia="Calibri" w:cs="Calibri"/>
                <w:noProof/>
              </w:rPr>
            </w:pPr>
            <w:r>
              <w:rPr>
                <w:noProof/>
              </w:rPr>
              <w:t>TD-C19-i05-RAM</w:t>
            </w:r>
          </w:p>
        </w:tc>
        <w:tc>
          <w:tcPr>
            <w:tcW w:w="1520" w:type="dxa"/>
            <w:tcBorders>
              <w:top w:val="nil"/>
              <w:left w:val="nil"/>
              <w:bottom w:val="single" w:sz="4" w:space="0" w:color="auto"/>
              <w:right w:val="single" w:sz="4" w:space="0" w:color="auto"/>
            </w:tcBorders>
            <w:shd w:val="clear" w:color="auto" w:fill="C4EFCE"/>
            <w:vAlign w:val="center"/>
            <w:hideMark/>
          </w:tcPr>
          <w:p w14:paraId="45E1EEFE"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9A5E78" w14:textId="77777777" w:rsidR="00A15990" w:rsidRDefault="00686A62">
            <w:pPr>
              <w:pStyle w:val="P68B1DB1-Normal23"/>
              <w:spacing w:after="0"/>
              <w:jc w:val="both"/>
              <w:rPr>
                <w:rFonts w:eastAsia="Calibri" w:cs="Calibri"/>
                <w:noProof/>
              </w:rPr>
            </w:pPr>
            <w:r>
              <w:rPr>
                <w:noProof/>
              </w:rPr>
              <w:t>Soluția centralizată de gestionare a datelor</w:t>
            </w:r>
          </w:p>
        </w:tc>
      </w:tr>
      <w:tr w:rsidR="00A15990" w14:paraId="4F0A919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6A267A" w14:textId="77777777" w:rsidR="00A15990" w:rsidRDefault="00686A62">
            <w:pPr>
              <w:pStyle w:val="P68B1DB1-Normal23"/>
              <w:spacing w:after="0"/>
              <w:jc w:val="center"/>
              <w:rPr>
                <w:rFonts w:eastAsia="Calibri" w:cs="Calibri"/>
                <w:noProof/>
              </w:rPr>
            </w:pPr>
            <w:r>
              <w:rPr>
                <w:noProof/>
              </w:rPr>
              <w:t>19.36</w:t>
            </w:r>
          </w:p>
        </w:tc>
        <w:tc>
          <w:tcPr>
            <w:tcW w:w="1760" w:type="dxa"/>
            <w:tcBorders>
              <w:top w:val="nil"/>
              <w:left w:val="nil"/>
              <w:bottom w:val="single" w:sz="4" w:space="0" w:color="auto"/>
              <w:right w:val="single" w:sz="4" w:space="0" w:color="auto"/>
            </w:tcBorders>
            <w:shd w:val="clear" w:color="auto" w:fill="C4EFCE"/>
            <w:vAlign w:val="center"/>
            <w:hideMark/>
          </w:tcPr>
          <w:p w14:paraId="4C52EF1C" w14:textId="77777777" w:rsidR="00A15990" w:rsidRDefault="00686A62">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24ABE861"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1FE9798" w14:textId="77777777" w:rsidR="00A15990" w:rsidRDefault="00686A62">
            <w:pPr>
              <w:pStyle w:val="P68B1DB1-Normal23"/>
              <w:spacing w:after="0"/>
              <w:jc w:val="both"/>
              <w:rPr>
                <w:rFonts w:eastAsia="Calibri" w:cs="Calibri"/>
                <w:noProof/>
              </w:rPr>
            </w:pPr>
            <w:r>
              <w:rPr>
                <w:noProof/>
              </w:rPr>
              <w:t>Formare privind teritoriile inteligente</w:t>
            </w:r>
          </w:p>
        </w:tc>
      </w:tr>
      <w:tr w:rsidR="00A15990" w14:paraId="164483C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37F1827" w14:textId="77777777" w:rsidR="00A15990" w:rsidRDefault="00686A62">
            <w:pPr>
              <w:pStyle w:val="P68B1DB1-Normal23"/>
              <w:spacing w:after="0"/>
              <w:jc w:val="center"/>
              <w:rPr>
                <w:rFonts w:eastAsia="Calibri" w:cs="Calibri"/>
                <w:noProof/>
              </w:rPr>
            </w:pPr>
            <w:r>
              <w:rPr>
                <w:noProof/>
              </w:rPr>
              <w:t>20.1</w:t>
            </w:r>
          </w:p>
        </w:tc>
        <w:tc>
          <w:tcPr>
            <w:tcW w:w="1760" w:type="dxa"/>
            <w:tcBorders>
              <w:top w:val="nil"/>
              <w:left w:val="nil"/>
              <w:bottom w:val="single" w:sz="4" w:space="0" w:color="auto"/>
              <w:right w:val="single" w:sz="4" w:space="0" w:color="auto"/>
            </w:tcBorders>
            <w:shd w:val="clear" w:color="auto" w:fill="C4EFCE"/>
            <w:vAlign w:val="center"/>
            <w:hideMark/>
          </w:tcPr>
          <w:p w14:paraId="1DCE7E04" w14:textId="77777777" w:rsidR="00A15990" w:rsidRDefault="00686A62">
            <w:pPr>
              <w:pStyle w:val="P68B1DB1-Normal23"/>
              <w:spacing w:after="0"/>
              <w:jc w:val="center"/>
              <w:rPr>
                <w:rFonts w:eastAsia="Calibri" w:cs="Calibri"/>
                <w:noProof/>
              </w:rPr>
            </w:pPr>
            <w:r>
              <w:rPr>
                <w:noProof/>
              </w:rPr>
              <w:t>TD-C20-r37</w:t>
            </w:r>
          </w:p>
        </w:tc>
        <w:tc>
          <w:tcPr>
            <w:tcW w:w="1520" w:type="dxa"/>
            <w:tcBorders>
              <w:top w:val="nil"/>
              <w:left w:val="nil"/>
              <w:bottom w:val="single" w:sz="4" w:space="0" w:color="auto"/>
              <w:right w:val="single" w:sz="4" w:space="0" w:color="auto"/>
            </w:tcBorders>
            <w:shd w:val="clear" w:color="auto" w:fill="C4EFCE"/>
            <w:vAlign w:val="center"/>
            <w:hideMark/>
          </w:tcPr>
          <w:p w14:paraId="15C51DD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617B340" w14:textId="77777777" w:rsidR="00A15990" w:rsidRDefault="00686A62">
            <w:pPr>
              <w:pStyle w:val="P68B1DB1-Normal23"/>
              <w:spacing w:after="0"/>
              <w:jc w:val="both"/>
              <w:rPr>
                <w:rFonts w:eastAsia="Calibri" w:cs="Calibri"/>
                <w:noProof/>
              </w:rPr>
            </w:pPr>
            <w:r>
              <w:rPr>
                <w:noProof/>
              </w:rPr>
              <w:t>Formarea competențelor digitale pentru cadrele didactice și personalul nedidactic din rețeaua publică de învățământ</w:t>
            </w:r>
          </w:p>
        </w:tc>
      </w:tr>
      <w:tr w:rsidR="00A15990" w14:paraId="57E2CB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D8047DA" w14:textId="77777777" w:rsidR="00A15990" w:rsidRDefault="00686A62">
            <w:pPr>
              <w:pStyle w:val="P68B1DB1-Normal23"/>
              <w:spacing w:after="0"/>
              <w:jc w:val="center"/>
              <w:rPr>
                <w:rFonts w:eastAsia="Calibri" w:cs="Calibri"/>
                <w:noProof/>
              </w:rPr>
            </w:pPr>
            <w:r>
              <w:rPr>
                <w:noProof/>
              </w:rPr>
              <w:t>20.8</w:t>
            </w:r>
          </w:p>
        </w:tc>
        <w:tc>
          <w:tcPr>
            <w:tcW w:w="1760" w:type="dxa"/>
            <w:tcBorders>
              <w:top w:val="nil"/>
              <w:left w:val="nil"/>
              <w:bottom w:val="single" w:sz="4" w:space="0" w:color="auto"/>
              <w:right w:val="single" w:sz="4" w:space="0" w:color="auto"/>
            </w:tcBorders>
            <w:shd w:val="clear" w:color="auto" w:fill="C4EFCE"/>
            <w:vAlign w:val="center"/>
            <w:hideMark/>
          </w:tcPr>
          <w:p w14:paraId="1D5158E1" w14:textId="77777777" w:rsidR="00A15990" w:rsidRDefault="00686A62">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54CB6BA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AEED80B" w14:textId="77777777" w:rsidR="00A15990" w:rsidRDefault="00686A62">
            <w:pPr>
              <w:pStyle w:val="P68B1DB1-Normal23"/>
              <w:spacing w:after="0"/>
              <w:jc w:val="both"/>
              <w:rPr>
                <w:rFonts w:eastAsia="Calibri" w:cs="Calibri"/>
                <w:noProof/>
              </w:rPr>
            </w:pPr>
            <w:r>
              <w:rPr>
                <w:noProof/>
              </w:rPr>
              <w:t>Resurse educaționale digitale</w:t>
            </w:r>
          </w:p>
        </w:tc>
      </w:tr>
      <w:tr w:rsidR="00A15990" w14:paraId="1EA89E3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2AD8A97" w14:textId="77777777" w:rsidR="00A15990" w:rsidRDefault="00686A62">
            <w:pPr>
              <w:pStyle w:val="P68B1DB1-Normal23"/>
              <w:spacing w:after="0"/>
              <w:jc w:val="center"/>
              <w:rPr>
                <w:rFonts w:eastAsia="Calibri" w:cs="Calibri"/>
                <w:noProof/>
              </w:rPr>
            </w:pPr>
            <w:r>
              <w:rPr>
                <w:noProof/>
              </w:rPr>
              <w:t>20.9</w:t>
            </w:r>
          </w:p>
        </w:tc>
        <w:tc>
          <w:tcPr>
            <w:tcW w:w="1760" w:type="dxa"/>
            <w:tcBorders>
              <w:top w:val="nil"/>
              <w:left w:val="nil"/>
              <w:bottom w:val="single" w:sz="4" w:space="0" w:color="auto"/>
              <w:right w:val="single" w:sz="4" w:space="0" w:color="auto"/>
            </w:tcBorders>
            <w:shd w:val="clear" w:color="auto" w:fill="C4EFCE"/>
            <w:vAlign w:val="center"/>
            <w:hideMark/>
          </w:tcPr>
          <w:p w14:paraId="46AA804C" w14:textId="77777777" w:rsidR="00A15990" w:rsidRDefault="00686A62">
            <w:pPr>
              <w:pStyle w:val="P68B1DB1-Normal23"/>
              <w:spacing w:after="0"/>
              <w:jc w:val="center"/>
              <w:rPr>
                <w:rFonts w:eastAsia="Calibri" w:cs="Calibri"/>
                <w:noProof/>
              </w:rPr>
            </w:pPr>
            <w:r>
              <w:rPr>
                <w:noProof/>
              </w:rPr>
              <w:t>TD-C20-i01</w:t>
            </w:r>
          </w:p>
        </w:tc>
        <w:tc>
          <w:tcPr>
            <w:tcW w:w="1520" w:type="dxa"/>
            <w:tcBorders>
              <w:top w:val="nil"/>
              <w:left w:val="nil"/>
              <w:bottom w:val="single" w:sz="4" w:space="0" w:color="auto"/>
              <w:right w:val="single" w:sz="4" w:space="0" w:color="auto"/>
            </w:tcBorders>
            <w:shd w:val="clear" w:color="auto" w:fill="C4EFCE"/>
            <w:vAlign w:val="center"/>
            <w:hideMark/>
          </w:tcPr>
          <w:p w14:paraId="1608BB5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083A11" w14:textId="77777777" w:rsidR="00A15990" w:rsidRDefault="00686A62">
            <w:pPr>
              <w:pStyle w:val="P68B1DB1-Normal23"/>
              <w:spacing w:after="0"/>
              <w:jc w:val="both"/>
              <w:rPr>
                <w:rFonts w:eastAsia="Calibri" w:cs="Calibri"/>
                <w:noProof/>
              </w:rPr>
            </w:pPr>
            <w:r>
              <w:rPr>
                <w:noProof/>
              </w:rPr>
              <w:t>Teste și examene digitale în școli</w:t>
            </w:r>
          </w:p>
        </w:tc>
      </w:tr>
      <w:tr w:rsidR="00A15990" w14:paraId="49E74A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CB012B" w14:textId="77777777" w:rsidR="00A15990" w:rsidRDefault="00686A62">
            <w:pPr>
              <w:pStyle w:val="P68B1DB1-Normal23"/>
              <w:spacing w:after="0"/>
              <w:jc w:val="center"/>
              <w:rPr>
                <w:rFonts w:eastAsia="Calibri" w:cs="Calibri"/>
                <w:noProof/>
              </w:rPr>
            </w:pPr>
            <w:r>
              <w:rPr>
                <w:noProof/>
              </w:rPr>
              <w:t>20.11</w:t>
            </w:r>
          </w:p>
        </w:tc>
        <w:tc>
          <w:tcPr>
            <w:tcW w:w="1760" w:type="dxa"/>
            <w:tcBorders>
              <w:top w:val="nil"/>
              <w:left w:val="nil"/>
              <w:bottom w:val="single" w:sz="4" w:space="0" w:color="auto"/>
              <w:right w:val="single" w:sz="4" w:space="0" w:color="auto"/>
            </w:tcBorders>
            <w:shd w:val="clear" w:color="auto" w:fill="C4EFCE"/>
            <w:vAlign w:val="center"/>
            <w:hideMark/>
          </w:tcPr>
          <w:p w14:paraId="17F8B041" w14:textId="77777777" w:rsidR="00A15990" w:rsidRDefault="00686A62">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3A8E7B17"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714F428" w14:textId="77777777" w:rsidR="00A15990" w:rsidRDefault="00686A62">
            <w:pPr>
              <w:pStyle w:val="P68B1DB1-Normal23"/>
              <w:spacing w:after="0"/>
              <w:jc w:val="both"/>
              <w:rPr>
                <w:rFonts w:eastAsia="Calibri" w:cs="Calibri"/>
                <w:noProof/>
              </w:rPr>
            </w:pPr>
            <w:r>
              <w:rPr>
                <w:noProof/>
              </w:rPr>
              <w:t>Laptopuri și tablete noi pentru școlile din ARA</w:t>
            </w:r>
          </w:p>
        </w:tc>
      </w:tr>
      <w:tr w:rsidR="00A15990" w14:paraId="1053A19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934CF69" w14:textId="77777777" w:rsidR="00A15990" w:rsidRDefault="00686A62">
            <w:pPr>
              <w:pStyle w:val="P68B1DB1-Normal23"/>
              <w:spacing w:after="0"/>
              <w:jc w:val="center"/>
              <w:rPr>
                <w:rFonts w:eastAsia="Calibri" w:cs="Calibri"/>
                <w:noProof/>
              </w:rPr>
            </w:pPr>
            <w:r>
              <w:rPr>
                <w:noProof/>
              </w:rPr>
              <w:t>20.12</w:t>
            </w:r>
          </w:p>
        </w:tc>
        <w:tc>
          <w:tcPr>
            <w:tcW w:w="1760" w:type="dxa"/>
            <w:tcBorders>
              <w:top w:val="nil"/>
              <w:left w:val="nil"/>
              <w:bottom w:val="single" w:sz="4" w:space="0" w:color="auto"/>
              <w:right w:val="single" w:sz="4" w:space="0" w:color="auto"/>
            </w:tcBorders>
            <w:shd w:val="clear" w:color="auto" w:fill="C4EFCE"/>
            <w:vAlign w:val="center"/>
            <w:hideMark/>
          </w:tcPr>
          <w:p w14:paraId="0A05C085" w14:textId="77777777" w:rsidR="00A15990" w:rsidRDefault="00686A62">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19B76BD6"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CB0A917" w14:textId="77777777" w:rsidR="00A15990" w:rsidRDefault="00686A62">
            <w:pPr>
              <w:pStyle w:val="P68B1DB1-Normal23"/>
              <w:spacing w:after="0"/>
              <w:jc w:val="both"/>
              <w:rPr>
                <w:rFonts w:eastAsia="Calibri" w:cs="Calibri"/>
                <w:noProof/>
              </w:rPr>
            </w:pPr>
            <w:r>
              <w:rPr>
                <w:noProof/>
              </w:rPr>
              <w:t>Echipamentele digitale și resursele educaționale digitale ale școlilor în ARA</w:t>
            </w:r>
          </w:p>
        </w:tc>
      </w:tr>
      <w:tr w:rsidR="00A15990" w14:paraId="2E23C5A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6BB7BC" w14:textId="77777777" w:rsidR="00A15990" w:rsidRDefault="00686A62">
            <w:pPr>
              <w:pStyle w:val="P68B1DB1-Normal23"/>
              <w:spacing w:after="0"/>
              <w:jc w:val="center"/>
              <w:rPr>
                <w:rFonts w:eastAsia="Calibri" w:cs="Calibri"/>
                <w:noProof/>
              </w:rPr>
            </w:pPr>
            <w:r>
              <w:rPr>
                <w:noProof/>
              </w:rPr>
              <w:t>20.13</w:t>
            </w:r>
          </w:p>
        </w:tc>
        <w:tc>
          <w:tcPr>
            <w:tcW w:w="1760" w:type="dxa"/>
            <w:tcBorders>
              <w:top w:val="nil"/>
              <w:left w:val="nil"/>
              <w:bottom w:val="single" w:sz="4" w:space="0" w:color="auto"/>
              <w:right w:val="single" w:sz="4" w:space="0" w:color="auto"/>
            </w:tcBorders>
            <w:shd w:val="clear" w:color="auto" w:fill="C4EFCE"/>
            <w:vAlign w:val="center"/>
            <w:hideMark/>
          </w:tcPr>
          <w:p w14:paraId="06748DE1" w14:textId="77777777" w:rsidR="00A15990" w:rsidRDefault="00686A62">
            <w:pPr>
              <w:pStyle w:val="P68B1DB1-Normal23"/>
              <w:spacing w:after="0"/>
              <w:jc w:val="center"/>
              <w:rPr>
                <w:rFonts w:eastAsia="Calibri" w:cs="Calibri"/>
                <w:noProof/>
              </w:rPr>
            </w:pPr>
            <w:r>
              <w:rPr>
                <w:noProof/>
              </w:rPr>
              <w:t>TD-C20-i02-RAA</w:t>
            </w:r>
          </w:p>
        </w:tc>
        <w:tc>
          <w:tcPr>
            <w:tcW w:w="1520" w:type="dxa"/>
            <w:tcBorders>
              <w:top w:val="nil"/>
              <w:left w:val="nil"/>
              <w:bottom w:val="single" w:sz="4" w:space="0" w:color="auto"/>
              <w:right w:val="single" w:sz="4" w:space="0" w:color="auto"/>
            </w:tcBorders>
            <w:shd w:val="clear" w:color="auto" w:fill="C4EFCE"/>
            <w:vAlign w:val="center"/>
            <w:hideMark/>
          </w:tcPr>
          <w:p w14:paraId="4073977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86F9A4" w14:textId="77777777" w:rsidR="00A15990" w:rsidRDefault="00686A62">
            <w:pPr>
              <w:pStyle w:val="P68B1DB1-Normal23"/>
              <w:spacing w:after="0"/>
              <w:jc w:val="both"/>
              <w:rPr>
                <w:rFonts w:eastAsia="Calibri" w:cs="Calibri"/>
                <w:noProof/>
              </w:rPr>
            </w:pPr>
            <w:r>
              <w:rPr>
                <w:noProof/>
              </w:rPr>
              <w:t>Cursuri online deschise și în masă pentru profesori și părinți în ARA</w:t>
            </w:r>
          </w:p>
        </w:tc>
      </w:tr>
      <w:tr w:rsidR="00A15990" w14:paraId="6530CA1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D622635" w14:textId="77777777" w:rsidR="00A15990" w:rsidRDefault="00686A62">
            <w:pPr>
              <w:pStyle w:val="P68B1DB1-Normal23"/>
              <w:spacing w:after="0"/>
              <w:jc w:val="center"/>
              <w:rPr>
                <w:rFonts w:eastAsia="Calibri" w:cs="Calibri"/>
                <w:noProof/>
              </w:rPr>
            </w:pPr>
            <w:r>
              <w:rPr>
                <w:noProof/>
              </w:rPr>
              <w:t>20.16</w:t>
            </w:r>
          </w:p>
        </w:tc>
        <w:tc>
          <w:tcPr>
            <w:tcW w:w="1760" w:type="dxa"/>
            <w:tcBorders>
              <w:top w:val="nil"/>
              <w:left w:val="nil"/>
              <w:bottom w:val="single" w:sz="4" w:space="0" w:color="auto"/>
              <w:right w:val="single" w:sz="4" w:space="0" w:color="auto"/>
            </w:tcBorders>
            <w:shd w:val="clear" w:color="auto" w:fill="C4EFCE"/>
            <w:vAlign w:val="center"/>
            <w:hideMark/>
          </w:tcPr>
          <w:p w14:paraId="29607BDF" w14:textId="77777777" w:rsidR="00A15990" w:rsidRDefault="00686A62">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757CF1D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556275C" w14:textId="77777777" w:rsidR="00A15990" w:rsidRDefault="00686A62">
            <w:pPr>
              <w:pStyle w:val="P68B1DB1-Normal23"/>
              <w:spacing w:after="0"/>
              <w:jc w:val="both"/>
              <w:rPr>
                <w:rFonts w:eastAsia="Calibri" w:cs="Calibri"/>
                <w:noProof/>
              </w:rPr>
            </w:pPr>
            <w:r>
              <w:rPr>
                <w:noProof/>
              </w:rPr>
              <w:t>Manuale digitale pentru elevii din ciclul 2 și 3 și pentru elevii din învățământul secundar din cadrul ARM</w:t>
            </w:r>
          </w:p>
        </w:tc>
      </w:tr>
      <w:tr w:rsidR="00A15990" w14:paraId="412F7A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C4B942" w14:textId="77777777" w:rsidR="00A15990" w:rsidRDefault="00686A62">
            <w:pPr>
              <w:pStyle w:val="P68B1DB1-Normal23"/>
              <w:spacing w:after="0"/>
              <w:jc w:val="center"/>
              <w:rPr>
                <w:rFonts w:eastAsia="Calibri" w:cs="Calibri"/>
                <w:noProof/>
              </w:rPr>
            </w:pPr>
            <w:r>
              <w:rPr>
                <w:noProof/>
              </w:rPr>
              <w:t>20.17</w:t>
            </w:r>
          </w:p>
        </w:tc>
        <w:tc>
          <w:tcPr>
            <w:tcW w:w="1760" w:type="dxa"/>
            <w:tcBorders>
              <w:top w:val="nil"/>
              <w:left w:val="nil"/>
              <w:bottom w:val="single" w:sz="4" w:space="0" w:color="auto"/>
              <w:right w:val="single" w:sz="4" w:space="0" w:color="auto"/>
            </w:tcBorders>
            <w:shd w:val="clear" w:color="auto" w:fill="C4EFCE"/>
            <w:vAlign w:val="center"/>
            <w:hideMark/>
          </w:tcPr>
          <w:p w14:paraId="6503CC9A" w14:textId="77777777" w:rsidR="00A15990" w:rsidRDefault="00686A62">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5DCD0F8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EDA8BBC" w14:textId="5BA216F8" w:rsidR="00A15990" w:rsidRDefault="00686A62">
            <w:pPr>
              <w:pStyle w:val="P68B1DB1-Normal23"/>
              <w:spacing w:after="0"/>
              <w:jc w:val="both"/>
              <w:rPr>
                <w:rFonts w:eastAsia="Calibri" w:cs="Calibri"/>
                <w:noProof/>
              </w:rPr>
            </w:pPr>
            <w:r>
              <w:rPr>
                <w:noProof/>
              </w:rPr>
              <w:t>Formarea cadrelor didactice și a personalului nedidactic în domeniul competențelor digitale în cadrul ARM</w:t>
            </w:r>
          </w:p>
        </w:tc>
      </w:tr>
      <w:tr w:rsidR="00A15990" w14:paraId="7AFE04F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729423" w14:textId="77777777" w:rsidR="00A15990" w:rsidRDefault="00686A62">
            <w:pPr>
              <w:pStyle w:val="P68B1DB1-Normal23"/>
              <w:spacing w:after="0"/>
              <w:jc w:val="center"/>
              <w:rPr>
                <w:rFonts w:eastAsia="Calibri" w:cs="Calibri"/>
                <w:noProof/>
              </w:rPr>
            </w:pPr>
            <w:r>
              <w:rPr>
                <w:noProof/>
              </w:rPr>
              <w:t>20.18</w:t>
            </w:r>
          </w:p>
        </w:tc>
        <w:tc>
          <w:tcPr>
            <w:tcW w:w="1760" w:type="dxa"/>
            <w:tcBorders>
              <w:top w:val="nil"/>
              <w:left w:val="nil"/>
              <w:bottom w:val="single" w:sz="4" w:space="0" w:color="auto"/>
              <w:right w:val="single" w:sz="4" w:space="0" w:color="auto"/>
            </w:tcBorders>
            <w:shd w:val="clear" w:color="auto" w:fill="C4EFCE"/>
            <w:vAlign w:val="center"/>
            <w:hideMark/>
          </w:tcPr>
          <w:p w14:paraId="27A9F236" w14:textId="77777777" w:rsidR="00A15990" w:rsidRDefault="00686A62">
            <w:pPr>
              <w:pStyle w:val="P68B1DB1-Normal23"/>
              <w:spacing w:after="0"/>
              <w:jc w:val="center"/>
              <w:rPr>
                <w:rFonts w:eastAsia="Calibri" w:cs="Calibri"/>
                <w:noProof/>
              </w:rPr>
            </w:pPr>
            <w:r>
              <w:rPr>
                <w:noProof/>
              </w:rPr>
              <w:t>TD-C20-i03-RAM</w:t>
            </w:r>
          </w:p>
        </w:tc>
        <w:tc>
          <w:tcPr>
            <w:tcW w:w="1520" w:type="dxa"/>
            <w:tcBorders>
              <w:top w:val="nil"/>
              <w:left w:val="nil"/>
              <w:bottom w:val="single" w:sz="4" w:space="0" w:color="auto"/>
              <w:right w:val="single" w:sz="4" w:space="0" w:color="auto"/>
            </w:tcBorders>
            <w:shd w:val="clear" w:color="auto" w:fill="C4EFCE"/>
            <w:vAlign w:val="center"/>
            <w:hideMark/>
          </w:tcPr>
          <w:p w14:paraId="3DBDBFE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37718C5" w14:textId="77777777" w:rsidR="00A15990" w:rsidRDefault="00686A62">
            <w:pPr>
              <w:pStyle w:val="P68B1DB1-Normal23"/>
              <w:spacing w:after="0"/>
              <w:jc w:val="both"/>
              <w:rPr>
                <w:rFonts w:eastAsia="Calibri" w:cs="Calibri"/>
                <w:noProof/>
              </w:rPr>
            </w:pPr>
            <w:r>
              <w:rPr>
                <w:noProof/>
              </w:rPr>
              <w:t>Furnizarea de echipamente științifice și tehnologice școlilor din ARM</w:t>
            </w:r>
          </w:p>
        </w:tc>
      </w:tr>
      <w:tr w:rsidR="00A15990" w14:paraId="007A1F3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11A244" w14:textId="77777777" w:rsidR="00A15990" w:rsidRDefault="00686A62">
            <w:pPr>
              <w:pStyle w:val="P68B1DB1-Normal23"/>
              <w:spacing w:after="0"/>
              <w:jc w:val="center"/>
              <w:rPr>
                <w:rFonts w:eastAsia="Calibri" w:cs="Calibri"/>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058AF46E" w14:textId="77777777" w:rsidR="00A15990" w:rsidRDefault="00686A62">
            <w:pPr>
              <w:pStyle w:val="P68B1DB1-Normal23"/>
              <w:spacing w:after="0"/>
              <w:jc w:val="center"/>
              <w:rPr>
                <w:rFonts w:eastAsia="Calibri" w:cs="Calibri"/>
                <w:noProof/>
              </w:rPr>
            </w:pPr>
            <w:r>
              <w:rPr>
                <w:noProof/>
              </w:rPr>
              <w:t>RP-C21-i02</w:t>
            </w:r>
          </w:p>
        </w:tc>
        <w:tc>
          <w:tcPr>
            <w:tcW w:w="1520" w:type="dxa"/>
            <w:tcBorders>
              <w:top w:val="nil"/>
              <w:left w:val="nil"/>
              <w:bottom w:val="single" w:sz="4" w:space="0" w:color="auto"/>
              <w:right w:val="single" w:sz="4" w:space="0" w:color="auto"/>
            </w:tcBorders>
            <w:shd w:val="clear" w:color="auto" w:fill="C4EFCE"/>
            <w:vAlign w:val="center"/>
            <w:hideMark/>
          </w:tcPr>
          <w:p w14:paraId="3ECFDED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7A42DB4" w14:textId="77777777" w:rsidR="00A15990" w:rsidRDefault="00686A62">
            <w:pPr>
              <w:pStyle w:val="P68B1DB1-Normal23"/>
              <w:spacing w:after="0"/>
              <w:jc w:val="both"/>
              <w:rPr>
                <w:rFonts w:eastAsia="Calibri" w:cs="Calibri"/>
                <w:noProof/>
              </w:rPr>
            </w:pPr>
            <w:r>
              <w:rPr>
                <w:noProof/>
              </w:rPr>
              <w:t>Renovarea clădirilor rezidențiale private din punctul de vedere al eficienței energetice</w:t>
            </w:r>
          </w:p>
        </w:tc>
      </w:tr>
      <w:tr w:rsidR="00A15990" w14:paraId="44A00B2D" w14:textId="77777777">
        <w:trPr>
          <w:trHeight w:val="440"/>
        </w:trPr>
        <w:tc>
          <w:tcPr>
            <w:tcW w:w="1200" w:type="dxa"/>
            <w:tcBorders>
              <w:top w:val="single" w:sz="4" w:space="0" w:color="auto"/>
              <w:left w:val="single" w:sz="4" w:space="0" w:color="auto"/>
              <w:bottom w:val="single" w:sz="4" w:space="0" w:color="auto"/>
              <w:right w:val="single" w:sz="4" w:space="0" w:color="auto"/>
            </w:tcBorders>
            <w:shd w:val="clear" w:color="auto" w:fill="C4EFCE"/>
            <w:vAlign w:val="center"/>
            <w:hideMark/>
          </w:tcPr>
          <w:p w14:paraId="680B7B9B" w14:textId="77777777" w:rsidR="00A15990" w:rsidRDefault="00686A62">
            <w:pPr>
              <w:pStyle w:val="P68B1DB1-Normal23"/>
              <w:spacing w:after="0"/>
              <w:jc w:val="center"/>
              <w:rPr>
                <w:rFonts w:eastAsia="Calibri" w:cs="Calibri"/>
                <w:noProof/>
              </w:rPr>
            </w:pPr>
            <w:r>
              <w:rPr>
                <w:noProof/>
              </w:rPr>
              <w:t>21.3</w:t>
            </w:r>
          </w:p>
        </w:tc>
        <w:tc>
          <w:tcPr>
            <w:tcW w:w="1760" w:type="dxa"/>
            <w:tcBorders>
              <w:top w:val="single" w:sz="4" w:space="0" w:color="auto"/>
              <w:left w:val="nil"/>
              <w:bottom w:val="single" w:sz="4" w:space="0" w:color="auto"/>
              <w:right w:val="single" w:sz="4" w:space="0" w:color="auto"/>
            </w:tcBorders>
            <w:shd w:val="clear" w:color="auto" w:fill="C4EFCE"/>
            <w:vAlign w:val="center"/>
            <w:hideMark/>
          </w:tcPr>
          <w:p w14:paraId="1B91DD3A" w14:textId="77777777" w:rsidR="00A15990" w:rsidRDefault="00686A62">
            <w:pPr>
              <w:pStyle w:val="P68B1DB1-Normal23"/>
              <w:spacing w:after="0"/>
              <w:jc w:val="center"/>
              <w:rPr>
                <w:rFonts w:eastAsia="Calibri" w:cs="Calibri"/>
                <w:noProof/>
              </w:rPr>
            </w:pPr>
            <w:r>
              <w:rPr>
                <w:noProof/>
              </w:rPr>
              <w:t>RP-C21-i02</w:t>
            </w:r>
          </w:p>
        </w:tc>
        <w:tc>
          <w:tcPr>
            <w:tcW w:w="1520" w:type="dxa"/>
            <w:tcBorders>
              <w:top w:val="single" w:sz="4" w:space="0" w:color="auto"/>
              <w:left w:val="nil"/>
              <w:bottom w:val="single" w:sz="4" w:space="0" w:color="auto"/>
              <w:right w:val="single" w:sz="4" w:space="0" w:color="auto"/>
            </w:tcBorders>
            <w:shd w:val="clear" w:color="auto" w:fill="C4EFCE"/>
            <w:vAlign w:val="center"/>
            <w:hideMark/>
          </w:tcPr>
          <w:p w14:paraId="45E0B8E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2391DF" w14:textId="52537185" w:rsidR="00A15990" w:rsidRDefault="00686A62">
            <w:pPr>
              <w:pStyle w:val="P68B1DB1-Normal23"/>
              <w:spacing w:after="0"/>
              <w:jc w:val="both"/>
              <w:rPr>
                <w:rFonts w:eastAsia="Calibri" w:cs="Calibri"/>
                <w:noProof/>
              </w:rPr>
            </w:pPr>
            <w:r>
              <w:rPr>
                <w:noProof/>
              </w:rPr>
              <w:t>Capacitate suplimentară de producție de energie din surse regenerabile pentru autoconsum și pentru utilizare în comunitățile de energie din surse regenerabile din sectorul rezidențial privat</w:t>
            </w:r>
          </w:p>
        </w:tc>
      </w:tr>
      <w:tr w:rsidR="00A15990" w14:paraId="2E3B4A3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D99E28" w14:textId="77777777" w:rsidR="00A15990" w:rsidRDefault="00686A62">
            <w:pPr>
              <w:pStyle w:val="P68B1DB1-Normal23"/>
              <w:spacing w:after="0"/>
              <w:jc w:val="center"/>
              <w:rPr>
                <w:rFonts w:eastAsia="Calibri" w:cs="Calibri"/>
                <w:noProof/>
              </w:rPr>
            </w:pPr>
            <w:r>
              <w:rPr>
                <w:noProof/>
              </w:rPr>
              <w:t>21.5</w:t>
            </w:r>
          </w:p>
        </w:tc>
        <w:tc>
          <w:tcPr>
            <w:tcW w:w="1760" w:type="dxa"/>
            <w:tcBorders>
              <w:top w:val="nil"/>
              <w:left w:val="nil"/>
              <w:bottom w:val="single" w:sz="4" w:space="0" w:color="auto"/>
              <w:right w:val="single" w:sz="4" w:space="0" w:color="auto"/>
            </w:tcBorders>
            <w:shd w:val="clear" w:color="auto" w:fill="C4EFCE"/>
            <w:vAlign w:val="center"/>
            <w:hideMark/>
          </w:tcPr>
          <w:p w14:paraId="19953216" w14:textId="77777777" w:rsidR="00A15990" w:rsidRDefault="00686A62">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0BAF296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D3D265" w14:textId="3EA05A82" w:rsidR="00A15990" w:rsidRDefault="00686A62">
            <w:pPr>
              <w:pStyle w:val="P68B1DB1-Normal23"/>
              <w:spacing w:after="0"/>
              <w:jc w:val="both"/>
              <w:rPr>
                <w:rFonts w:eastAsia="Calibri" w:cs="Calibri"/>
                <w:noProof/>
              </w:rPr>
            </w:pPr>
            <w:r>
              <w:rPr>
                <w:noProof/>
              </w:rPr>
              <w:t>Capacitatea suplimentară de producție de energie din surse regenerabile pentru autoconsum și utilizarea în comunitate a energiei din surse regenerabile în clădirile renovate utilizate de sectorul utilităților publice</w:t>
            </w:r>
          </w:p>
        </w:tc>
      </w:tr>
      <w:tr w:rsidR="00A15990" w14:paraId="060AEF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9A7ABE" w14:textId="77777777" w:rsidR="00A15990" w:rsidRDefault="00686A62">
            <w:pPr>
              <w:pStyle w:val="P68B1DB1-Normal23"/>
              <w:spacing w:after="0"/>
              <w:jc w:val="center"/>
              <w:rPr>
                <w:rFonts w:eastAsia="Calibri" w:cs="Calibri"/>
                <w:noProof/>
              </w:rPr>
            </w:pPr>
            <w:r>
              <w:rPr>
                <w:noProof/>
              </w:rPr>
              <w:t>21.6</w:t>
            </w:r>
          </w:p>
        </w:tc>
        <w:tc>
          <w:tcPr>
            <w:tcW w:w="1760" w:type="dxa"/>
            <w:tcBorders>
              <w:top w:val="nil"/>
              <w:left w:val="nil"/>
              <w:bottom w:val="single" w:sz="4" w:space="0" w:color="auto"/>
              <w:right w:val="single" w:sz="4" w:space="0" w:color="auto"/>
            </w:tcBorders>
            <w:shd w:val="clear" w:color="auto" w:fill="C4EFCE"/>
            <w:vAlign w:val="center"/>
            <w:hideMark/>
          </w:tcPr>
          <w:p w14:paraId="48639A4C" w14:textId="77777777" w:rsidR="00A15990" w:rsidRDefault="00686A62">
            <w:pPr>
              <w:pStyle w:val="P68B1DB1-Normal23"/>
              <w:spacing w:after="0"/>
              <w:jc w:val="center"/>
              <w:rPr>
                <w:rFonts w:eastAsia="Calibri" w:cs="Calibri"/>
                <w:noProof/>
              </w:rPr>
            </w:pPr>
            <w:r>
              <w:rPr>
                <w:noProof/>
              </w:rPr>
              <w:t>RP-C21-i04-RAM</w:t>
            </w:r>
          </w:p>
        </w:tc>
        <w:tc>
          <w:tcPr>
            <w:tcW w:w="1520" w:type="dxa"/>
            <w:tcBorders>
              <w:top w:val="nil"/>
              <w:left w:val="nil"/>
              <w:bottom w:val="single" w:sz="4" w:space="0" w:color="auto"/>
              <w:right w:val="single" w:sz="4" w:space="0" w:color="auto"/>
            </w:tcBorders>
            <w:shd w:val="clear" w:color="auto" w:fill="C4EFCE"/>
            <w:vAlign w:val="center"/>
            <w:hideMark/>
          </w:tcPr>
          <w:p w14:paraId="3023363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1E2D4CF" w14:textId="77777777" w:rsidR="00A15990" w:rsidRDefault="00686A62">
            <w:pPr>
              <w:pStyle w:val="P68B1DB1-Normal23"/>
              <w:spacing w:after="0"/>
              <w:jc w:val="both"/>
              <w:rPr>
                <w:rFonts w:eastAsia="Calibri" w:cs="Calibri"/>
                <w:noProof/>
              </w:rPr>
            </w:pPr>
            <w:r>
              <w:rPr>
                <w:noProof/>
              </w:rPr>
              <w:t>Renovarea în vederea eficienței energetice a clădirilor de serviciu public</w:t>
            </w:r>
          </w:p>
        </w:tc>
      </w:tr>
      <w:tr w:rsidR="00A15990" w14:paraId="1EC0C3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C8C3318" w14:textId="77777777" w:rsidR="00A15990" w:rsidRDefault="00686A62">
            <w:pPr>
              <w:pStyle w:val="P68B1DB1-Normal23"/>
              <w:spacing w:after="0"/>
              <w:jc w:val="center"/>
              <w:rPr>
                <w:rFonts w:eastAsia="Calibri" w:cs="Calibri"/>
                <w:noProof/>
              </w:rPr>
            </w:pPr>
            <w:r>
              <w:rPr>
                <w:noProof/>
              </w:rPr>
              <w:t>21.15</w:t>
            </w:r>
          </w:p>
        </w:tc>
        <w:tc>
          <w:tcPr>
            <w:tcW w:w="1760" w:type="dxa"/>
            <w:tcBorders>
              <w:top w:val="nil"/>
              <w:left w:val="nil"/>
              <w:bottom w:val="single" w:sz="4" w:space="0" w:color="auto"/>
              <w:right w:val="single" w:sz="4" w:space="0" w:color="auto"/>
            </w:tcBorders>
            <w:shd w:val="clear" w:color="auto" w:fill="C4EFCE"/>
            <w:vAlign w:val="center"/>
            <w:hideMark/>
          </w:tcPr>
          <w:p w14:paraId="599107CB" w14:textId="3DFFAC63" w:rsidR="00A15990" w:rsidRDefault="00686A62">
            <w:pPr>
              <w:pStyle w:val="P68B1DB1-Normal23"/>
              <w:spacing w:after="0"/>
              <w:jc w:val="center"/>
              <w:rPr>
                <w:rFonts w:eastAsia="Calibri" w:cs="Calibri"/>
                <w:noProof/>
              </w:rPr>
            </w:pPr>
            <w:r>
              <w:rPr>
                <w:noProof/>
              </w:rPr>
              <w:t>RP-C21-r45</w:t>
            </w:r>
          </w:p>
        </w:tc>
        <w:tc>
          <w:tcPr>
            <w:tcW w:w="1520" w:type="dxa"/>
            <w:tcBorders>
              <w:top w:val="nil"/>
              <w:left w:val="nil"/>
              <w:bottom w:val="single" w:sz="4" w:space="0" w:color="auto"/>
              <w:right w:val="single" w:sz="4" w:space="0" w:color="auto"/>
            </w:tcBorders>
            <w:shd w:val="clear" w:color="auto" w:fill="C4EFCE"/>
            <w:vAlign w:val="center"/>
            <w:hideMark/>
          </w:tcPr>
          <w:p w14:paraId="2BE4DC2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5DD8840" w14:textId="77777777" w:rsidR="00A15990" w:rsidRDefault="00686A62">
            <w:pPr>
              <w:pStyle w:val="P68B1DB1-Normal23"/>
              <w:spacing w:after="0"/>
              <w:jc w:val="both"/>
              <w:rPr>
                <w:rFonts w:eastAsia="Calibri" w:cs="Calibri"/>
                <w:noProof/>
              </w:rPr>
            </w:pPr>
            <w:r>
              <w:rPr>
                <w:noProof/>
              </w:rPr>
              <w:t>Acțiuni de formare în domeniul competențelor verzi</w:t>
            </w:r>
          </w:p>
        </w:tc>
      </w:tr>
      <w:tr w:rsidR="00A15990" w14:paraId="088199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424BDC1" w14:textId="77777777" w:rsidR="00A15990" w:rsidRDefault="00686A62">
            <w:pPr>
              <w:pStyle w:val="P68B1DB1-Normal23"/>
              <w:spacing w:after="0"/>
              <w:jc w:val="center"/>
              <w:rPr>
                <w:rFonts w:eastAsia="Calibri" w:cs="Calibri"/>
                <w:noProof/>
              </w:rPr>
            </w:pPr>
            <w:r>
              <w:rPr>
                <w:noProof/>
              </w:rPr>
              <w:t>21.29</w:t>
            </w:r>
          </w:p>
        </w:tc>
        <w:tc>
          <w:tcPr>
            <w:tcW w:w="1760" w:type="dxa"/>
            <w:tcBorders>
              <w:top w:val="nil"/>
              <w:left w:val="nil"/>
              <w:bottom w:val="single" w:sz="4" w:space="0" w:color="auto"/>
              <w:right w:val="single" w:sz="4" w:space="0" w:color="auto"/>
            </w:tcBorders>
            <w:shd w:val="clear" w:color="auto" w:fill="C4EFCE"/>
            <w:vAlign w:val="center"/>
            <w:hideMark/>
          </w:tcPr>
          <w:p w14:paraId="709081FB" w14:textId="160BC41F" w:rsidR="00A15990" w:rsidRDefault="00686A62">
            <w:pPr>
              <w:pStyle w:val="P68B1DB1-Normal23"/>
              <w:spacing w:after="0"/>
              <w:jc w:val="center"/>
              <w:rPr>
                <w:rFonts w:eastAsia="Calibri" w:cs="Calibri"/>
                <w:noProof/>
              </w:rPr>
            </w:pPr>
            <w:r>
              <w:rPr>
                <w:noProof/>
              </w:rPr>
              <w:t>RP-C21-i08</w:t>
            </w:r>
          </w:p>
        </w:tc>
        <w:tc>
          <w:tcPr>
            <w:tcW w:w="1520" w:type="dxa"/>
            <w:tcBorders>
              <w:top w:val="nil"/>
              <w:left w:val="nil"/>
              <w:bottom w:val="single" w:sz="4" w:space="0" w:color="auto"/>
              <w:right w:val="single" w:sz="4" w:space="0" w:color="auto"/>
            </w:tcBorders>
            <w:shd w:val="clear" w:color="auto" w:fill="C4EFCE"/>
            <w:vAlign w:val="center"/>
            <w:hideMark/>
          </w:tcPr>
          <w:p w14:paraId="72D7777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F0EDEAE" w14:textId="77777777" w:rsidR="00A15990" w:rsidRDefault="00686A62">
            <w:pPr>
              <w:pStyle w:val="P68B1DB1-Normal23"/>
              <w:spacing w:after="0"/>
              <w:jc w:val="both"/>
              <w:rPr>
                <w:rFonts w:eastAsia="Calibri" w:cs="Calibri"/>
                <w:noProof/>
              </w:rPr>
            </w:pPr>
            <w:r>
              <w:rPr>
                <w:noProof/>
              </w:rPr>
              <w:t>Instalarea capacității de stocare a energiei electrice</w:t>
            </w:r>
          </w:p>
        </w:tc>
      </w:tr>
      <w:tr w:rsidR="00A15990" w14:paraId="182B195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FB9F7E" w14:textId="77777777" w:rsidR="00A15990" w:rsidRDefault="00686A62">
            <w:pPr>
              <w:pStyle w:val="P68B1DB1-Normal23"/>
              <w:spacing w:after="0"/>
              <w:jc w:val="center"/>
              <w:rPr>
                <w:rFonts w:eastAsia="Calibri" w:cs="Calibri"/>
                <w:noProof/>
              </w:rPr>
            </w:pPr>
            <w:r>
              <w:rPr>
                <w:noProof/>
              </w:rPr>
              <w:t>21.32</w:t>
            </w:r>
          </w:p>
        </w:tc>
        <w:tc>
          <w:tcPr>
            <w:tcW w:w="1760" w:type="dxa"/>
            <w:tcBorders>
              <w:top w:val="nil"/>
              <w:left w:val="nil"/>
              <w:bottom w:val="single" w:sz="4" w:space="0" w:color="auto"/>
              <w:right w:val="single" w:sz="4" w:space="0" w:color="auto"/>
            </w:tcBorders>
            <w:shd w:val="clear" w:color="auto" w:fill="C4EFCE"/>
            <w:vAlign w:val="center"/>
            <w:hideMark/>
          </w:tcPr>
          <w:p w14:paraId="4622A906" w14:textId="5BFBA1D2" w:rsidR="00A15990" w:rsidRDefault="00686A62">
            <w:pPr>
              <w:pStyle w:val="P68B1DB1-Normal23"/>
              <w:spacing w:after="0"/>
              <w:jc w:val="center"/>
              <w:rPr>
                <w:rFonts w:eastAsia="Calibri" w:cs="Calibri"/>
                <w:noProof/>
              </w:rPr>
            </w:pPr>
            <w:r>
              <w:rPr>
                <w:noProof/>
              </w:rPr>
              <w:t>RP-C21-i10-RAA</w:t>
            </w:r>
          </w:p>
        </w:tc>
        <w:tc>
          <w:tcPr>
            <w:tcW w:w="1520" w:type="dxa"/>
            <w:tcBorders>
              <w:top w:val="nil"/>
              <w:left w:val="nil"/>
              <w:bottom w:val="single" w:sz="4" w:space="0" w:color="auto"/>
              <w:right w:val="single" w:sz="4" w:space="0" w:color="auto"/>
            </w:tcBorders>
            <w:shd w:val="clear" w:color="auto" w:fill="C4EFCE"/>
            <w:vAlign w:val="center"/>
            <w:hideMark/>
          </w:tcPr>
          <w:p w14:paraId="3ABB159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637DD21" w14:textId="77777777" w:rsidR="00A15990" w:rsidRDefault="00686A62">
            <w:pPr>
              <w:pStyle w:val="P68B1DB1-Normal23"/>
              <w:spacing w:after="0"/>
              <w:jc w:val="both"/>
              <w:rPr>
                <w:rFonts w:eastAsia="Calibri" w:cs="Calibri"/>
                <w:noProof/>
              </w:rPr>
            </w:pPr>
            <w:r>
              <w:rPr>
                <w:noProof/>
              </w:rPr>
              <w:t>Instalarea capacității de stocare a energiei electrice</w:t>
            </w:r>
          </w:p>
        </w:tc>
      </w:tr>
      <w:tr w:rsidR="00A15990" w14:paraId="54999B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7752ED" w14:textId="77777777" w:rsidR="00A15990" w:rsidRDefault="00686A62">
            <w:pPr>
              <w:pStyle w:val="P68B1DB1-Normal23"/>
              <w:spacing w:after="0"/>
              <w:jc w:val="center"/>
              <w:rPr>
                <w:rFonts w:eastAsia="Calibri" w:cs="Calibri"/>
                <w:noProof/>
              </w:rPr>
            </w:pPr>
            <w:r>
              <w:rPr>
                <w:noProof/>
              </w:rPr>
              <w:t>21.34</w:t>
            </w:r>
          </w:p>
        </w:tc>
        <w:tc>
          <w:tcPr>
            <w:tcW w:w="1760" w:type="dxa"/>
            <w:tcBorders>
              <w:top w:val="nil"/>
              <w:left w:val="nil"/>
              <w:bottom w:val="single" w:sz="4" w:space="0" w:color="auto"/>
              <w:right w:val="single" w:sz="4" w:space="0" w:color="auto"/>
            </w:tcBorders>
            <w:shd w:val="clear" w:color="auto" w:fill="C4EFCE"/>
            <w:vAlign w:val="center"/>
            <w:hideMark/>
          </w:tcPr>
          <w:p w14:paraId="24B53CC5" w14:textId="65310D0F" w:rsidR="00A15990" w:rsidRDefault="00686A62">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E90FE8"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31415EB" w14:textId="77777777" w:rsidR="00A15990" w:rsidRDefault="00686A62">
            <w:pPr>
              <w:pStyle w:val="P68B1DB1-Normal23"/>
              <w:spacing w:after="0"/>
              <w:jc w:val="both"/>
              <w:rPr>
                <w:rFonts w:eastAsia="Calibri" w:cs="Calibri"/>
                <w:noProof/>
              </w:rPr>
            </w:pPr>
            <w:r>
              <w:rPr>
                <w:noProof/>
              </w:rPr>
              <w:t>Consolidarea capacității instalate de energie eoliană</w:t>
            </w:r>
          </w:p>
        </w:tc>
      </w:tr>
      <w:tr w:rsidR="00A15990" w14:paraId="44FCEE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F55A38" w14:textId="77777777" w:rsidR="00A15990" w:rsidRDefault="00686A62">
            <w:pPr>
              <w:pStyle w:val="P68B1DB1-Normal23"/>
              <w:spacing w:after="0"/>
              <w:jc w:val="center"/>
              <w:rPr>
                <w:rFonts w:eastAsia="Calibri" w:cs="Calibri"/>
                <w:noProof/>
              </w:rPr>
            </w:pPr>
            <w:r>
              <w:rPr>
                <w:noProof/>
              </w:rPr>
              <w:t>21.41</w:t>
            </w:r>
          </w:p>
        </w:tc>
        <w:tc>
          <w:tcPr>
            <w:tcW w:w="1760" w:type="dxa"/>
            <w:tcBorders>
              <w:top w:val="nil"/>
              <w:left w:val="nil"/>
              <w:bottom w:val="single" w:sz="4" w:space="0" w:color="auto"/>
              <w:right w:val="single" w:sz="4" w:space="0" w:color="auto"/>
            </w:tcBorders>
            <w:shd w:val="clear" w:color="auto" w:fill="C4EFCE"/>
            <w:vAlign w:val="center"/>
            <w:hideMark/>
          </w:tcPr>
          <w:p w14:paraId="1692D62F" w14:textId="64537686" w:rsidR="00A15990" w:rsidRDefault="00686A62">
            <w:pPr>
              <w:pStyle w:val="P68B1DB1-Normal23"/>
              <w:spacing w:after="0"/>
              <w:jc w:val="center"/>
              <w:rPr>
                <w:rFonts w:eastAsia="Calibri" w:cs="Calibri"/>
                <w:noProof/>
              </w:rPr>
            </w:pPr>
            <w:r>
              <w:rPr>
                <w:noProof/>
              </w:rPr>
              <w:t>RP-C21-i15-RAA</w:t>
            </w:r>
          </w:p>
        </w:tc>
        <w:tc>
          <w:tcPr>
            <w:tcW w:w="1520" w:type="dxa"/>
            <w:tcBorders>
              <w:top w:val="nil"/>
              <w:left w:val="nil"/>
              <w:bottom w:val="single" w:sz="4" w:space="0" w:color="auto"/>
              <w:right w:val="single" w:sz="4" w:space="0" w:color="auto"/>
            </w:tcBorders>
            <w:shd w:val="clear" w:color="auto" w:fill="C4EFCE"/>
            <w:vAlign w:val="center"/>
            <w:hideMark/>
          </w:tcPr>
          <w:p w14:paraId="1A2F99A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F254CB8" w14:textId="77777777" w:rsidR="00A15990" w:rsidRDefault="00686A62">
            <w:pPr>
              <w:pStyle w:val="P68B1DB1-Normal23"/>
              <w:spacing w:after="0"/>
              <w:jc w:val="both"/>
              <w:rPr>
                <w:rFonts w:eastAsia="Calibri" w:cs="Calibri"/>
                <w:noProof/>
              </w:rPr>
            </w:pPr>
            <w:r>
              <w:rPr>
                <w:noProof/>
              </w:rPr>
              <w:t>Punerea în funcțiune a două feriboturi electrice noi</w:t>
            </w:r>
          </w:p>
        </w:tc>
      </w:tr>
      <w:tr w:rsidR="00A15990" w14:paraId="4686FE2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496107"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hideMark/>
          </w:tcPr>
          <w:p w14:paraId="381C23FB" w14:textId="77777777" w:rsidR="00A15990" w:rsidRDefault="00686A62">
            <w:pPr>
              <w:pStyle w:val="P68B1DB1-Normal8"/>
              <w:spacing w:after="0" w:line="240" w:lineRule="auto"/>
              <w:jc w:val="center"/>
              <w:rPr>
                <w:rFonts w:eastAsia="Times New Roman" w:cs="Calibri"/>
                <w:noProof/>
              </w:rPr>
            </w:pPr>
            <w:r>
              <w:rPr>
                <w:noProof/>
              </w:rPr>
              <w:t> </w:t>
            </w:r>
          </w:p>
        </w:tc>
        <w:tc>
          <w:tcPr>
            <w:tcW w:w="1520" w:type="dxa"/>
            <w:tcBorders>
              <w:top w:val="nil"/>
              <w:left w:val="nil"/>
              <w:bottom w:val="single" w:sz="4" w:space="0" w:color="auto"/>
              <w:right w:val="single" w:sz="4" w:space="0" w:color="auto"/>
            </w:tcBorders>
            <w:shd w:val="clear" w:color="auto" w:fill="C4EFCE"/>
            <w:vAlign w:val="center"/>
            <w:hideMark/>
          </w:tcPr>
          <w:p w14:paraId="2A9D373E"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tcBorders>
              <w:top w:val="nil"/>
              <w:left w:val="nil"/>
              <w:bottom w:val="single" w:sz="4" w:space="0" w:color="auto"/>
              <w:right w:val="single" w:sz="4" w:space="0" w:color="auto"/>
            </w:tcBorders>
            <w:shd w:val="clear" w:color="auto" w:fill="C4EFCE"/>
            <w:vAlign w:val="center"/>
            <w:hideMark/>
          </w:tcPr>
          <w:p w14:paraId="6C5CFDF1" w14:textId="3C8B9DE9" w:rsidR="00A15990" w:rsidRDefault="00686A62">
            <w:pPr>
              <w:pStyle w:val="P68B1DB1-Normal25"/>
              <w:spacing w:after="0" w:line="240" w:lineRule="auto"/>
              <w:jc w:val="center"/>
              <w:rPr>
                <w:rFonts w:cs="Calibri"/>
                <w:noProof/>
              </w:rPr>
            </w:pPr>
            <w:r>
              <w:rPr>
                <w:noProof/>
              </w:rPr>
              <w:t xml:space="preserve"> 2 284 617 001 MIL. </w:t>
            </w:r>
          </w:p>
        </w:tc>
      </w:tr>
    </w:tbl>
    <w:p w14:paraId="43D05AA8" w14:textId="77777777" w:rsidR="00A15990" w:rsidRDefault="00A15990">
      <w:pPr>
        <w:keepNext/>
        <w:spacing w:before="40" w:after="160" w:line="259" w:lineRule="auto"/>
        <w:ind w:left="360"/>
        <w:contextualSpacing/>
        <w:jc w:val="both"/>
        <w:rPr>
          <w:rFonts w:ascii="Times New Roman" w:eastAsiaTheme="minorEastAsia" w:hAnsi="Times New Roman" w:cs="Times New Roman"/>
          <w:noProof/>
          <w:sz w:val="24"/>
        </w:rPr>
      </w:pPr>
    </w:p>
    <w:p w14:paraId="607CA0DB" w14:textId="77777777" w:rsidR="00A15990" w:rsidRDefault="00A15990">
      <w:pPr>
        <w:keepNext/>
        <w:spacing w:before="40" w:after="160" w:line="259" w:lineRule="auto"/>
        <w:ind w:left="360"/>
        <w:contextualSpacing/>
        <w:jc w:val="both"/>
        <w:rPr>
          <w:rFonts w:ascii="Times New Roman" w:eastAsiaTheme="minorEastAsia" w:hAnsi="Times New Roman" w:cs="Times New Roman"/>
          <w:noProof/>
          <w:sz w:val="24"/>
        </w:rPr>
      </w:pPr>
    </w:p>
    <w:p w14:paraId="2B32C5FC"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zecea cerere de plată (sprijin nerambursabil): </w:t>
      </w:r>
    </w:p>
    <w:p w14:paraId="55E21E0D"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13" w:type="dxa"/>
        <w:tblLook w:val="04A0" w:firstRow="1" w:lastRow="0" w:firstColumn="1" w:lastColumn="0" w:noHBand="0" w:noVBand="1"/>
      </w:tblPr>
      <w:tblGrid>
        <w:gridCol w:w="1200"/>
        <w:gridCol w:w="1760"/>
        <w:gridCol w:w="1520"/>
        <w:gridCol w:w="5060"/>
      </w:tblGrid>
      <w:tr w:rsidR="00A15990" w14:paraId="7D06A10D"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EA7B9D4"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390E370"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8722F55" w14:textId="2D9B77EB"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F8E9C14"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3D3D479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5D5E3F" w14:textId="77777777" w:rsidR="00A15990" w:rsidRDefault="00686A62">
            <w:pPr>
              <w:pStyle w:val="P68B1DB1-Normal23"/>
              <w:spacing w:after="0"/>
              <w:jc w:val="center"/>
              <w:rPr>
                <w:noProof/>
              </w:rPr>
            </w:pPr>
            <w:r>
              <w:rPr>
                <w:noProof/>
              </w:rPr>
              <w:t>1.15</w:t>
            </w:r>
          </w:p>
        </w:tc>
        <w:tc>
          <w:tcPr>
            <w:tcW w:w="1760" w:type="dxa"/>
            <w:tcBorders>
              <w:top w:val="nil"/>
              <w:left w:val="nil"/>
              <w:bottom w:val="single" w:sz="4" w:space="0" w:color="auto"/>
              <w:right w:val="single" w:sz="4" w:space="0" w:color="auto"/>
            </w:tcBorders>
            <w:shd w:val="clear" w:color="auto" w:fill="C4EFCE"/>
            <w:vAlign w:val="center"/>
            <w:hideMark/>
          </w:tcPr>
          <w:p w14:paraId="52F5475D" w14:textId="77777777" w:rsidR="00A15990" w:rsidRDefault="00686A62">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26BFA8A2"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1B52446" w14:textId="77777777" w:rsidR="00A15990" w:rsidRDefault="00686A62">
            <w:pPr>
              <w:pStyle w:val="P68B1DB1-Normal23"/>
              <w:spacing w:after="0"/>
              <w:jc w:val="both"/>
              <w:rPr>
                <w:rFonts w:eastAsia="Calibri" w:cs="Calibri"/>
                <w:noProof/>
              </w:rPr>
            </w:pPr>
            <w:r>
              <w:rPr>
                <w:noProof/>
              </w:rPr>
              <w:t>Construirea de noi unități sanitare</w:t>
            </w:r>
          </w:p>
        </w:tc>
      </w:tr>
      <w:tr w:rsidR="00A15990" w14:paraId="6806F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2F0C54B" w14:textId="77777777" w:rsidR="00A15990" w:rsidRDefault="00686A62">
            <w:pPr>
              <w:pStyle w:val="P68B1DB1-Normal23"/>
              <w:spacing w:after="0"/>
              <w:jc w:val="center"/>
              <w:rPr>
                <w:noProof/>
              </w:rPr>
            </w:pPr>
            <w:r>
              <w:rPr>
                <w:noProof/>
              </w:rPr>
              <w:t>1.16</w:t>
            </w:r>
          </w:p>
        </w:tc>
        <w:tc>
          <w:tcPr>
            <w:tcW w:w="1760" w:type="dxa"/>
            <w:tcBorders>
              <w:top w:val="nil"/>
              <w:left w:val="nil"/>
              <w:bottom w:val="single" w:sz="4" w:space="0" w:color="auto"/>
              <w:right w:val="single" w:sz="4" w:space="0" w:color="auto"/>
            </w:tcBorders>
            <w:shd w:val="clear" w:color="auto" w:fill="C4EFCE"/>
            <w:vAlign w:val="center"/>
            <w:hideMark/>
          </w:tcPr>
          <w:p w14:paraId="19CDD319" w14:textId="77777777" w:rsidR="00A15990" w:rsidRDefault="00686A62">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08281B82" w14:textId="77777777" w:rsidR="00A15990" w:rsidRDefault="00686A62">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5B41143" w14:textId="77777777" w:rsidR="00A15990" w:rsidRDefault="00686A62">
            <w:pPr>
              <w:pStyle w:val="P68B1DB1-Normal23"/>
              <w:spacing w:after="0"/>
              <w:jc w:val="both"/>
              <w:rPr>
                <w:rFonts w:eastAsia="Calibri" w:cs="Calibri"/>
                <w:noProof/>
              </w:rPr>
            </w:pPr>
            <w:r>
              <w:rPr>
                <w:noProof/>
              </w:rPr>
              <w:t>Finalizarea acoperirii naționale a programelor de screening și diagnosticare timpurie în cadrul asistenței medicale primare</w:t>
            </w:r>
          </w:p>
        </w:tc>
      </w:tr>
      <w:tr w:rsidR="00A15990" w14:paraId="217E40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8A98AA" w14:textId="77777777" w:rsidR="00A15990" w:rsidRDefault="00686A62">
            <w:pPr>
              <w:pStyle w:val="P68B1DB1-Normal23"/>
              <w:spacing w:after="0"/>
              <w:jc w:val="center"/>
              <w:rPr>
                <w:noProof/>
              </w:rPr>
            </w:pPr>
            <w:r>
              <w:rPr>
                <w:noProof/>
              </w:rPr>
              <w:t>1.17</w:t>
            </w:r>
          </w:p>
        </w:tc>
        <w:tc>
          <w:tcPr>
            <w:tcW w:w="1760" w:type="dxa"/>
            <w:tcBorders>
              <w:top w:val="nil"/>
              <w:left w:val="nil"/>
              <w:bottom w:val="single" w:sz="4" w:space="0" w:color="auto"/>
              <w:right w:val="single" w:sz="4" w:space="0" w:color="auto"/>
            </w:tcBorders>
            <w:shd w:val="clear" w:color="auto" w:fill="C4EFCE"/>
            <w:vAlign w:val="center"/>
            <w:hideMark/>
          </w:tcPr>
          <w:p w14:paraId="790F9509" w14:textId="77777777" w:rsidR="00A15990" w:rsidRDefault="00686A62">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65D56E08" w14:textId="77777777" w:rsidR="00A15990" w:rsidRDefault="00686A62">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7EB1B2C" w14:textId="77777777" w:rsidR="00A15990" w:rsidRDefault="00686A62">
            <w:pPr>
              <w:pStyle w:val="P68B1DB1-Normal23"/>
              <w:spacing w:after="0"/>
              <w:jc w:val="both"/>
              <w:rPr>
                <w:rFonts w:eastAsia="Calibri" w:cs="Calibri"/>
                <w:noProof/>
              </w:rPr>
            </w:pPr>
            <w:r>
              <w:rPr>
                <w:noProof/>
              </w:rPr>
              <w:t>Creșterea capacității de răspuns a centrelor medicale primare și extinderea domeniilor lor de intervenție</w:t>
            </w:r>
          </w:p>
        </w:tc>
      </w:tr>
      <w:tr w:rsidR="00A15990" w14:paraId="01A92F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38C9033" w14:textId="77777777" w:rsidR="00A15990" w:rsidRDefault="00686A62">
            <w:pPr>
              <w:pStyle w:val="P68B1DB1-Normal23"/>
              <w:spacing w:after="0"/>
              <w:jc w:val="center"/>
              <w:rPr>
                <w:noProof/>
              </w:rPr>
            </w:pPr>
            <w:r>
              <w:rPr>
                <w:noProof/>
              </w:rPr>
              <w:t>1.18</w:t>
            </w:r>
          </w:p>
        </w:tc>
        <w:tc>
          <w:tcPr>
            <w:tcW w:w="1760" w:type="dxa"/>
            <w:tcBorders>
              <w:top w:val="nil"/>
              <w:left w:val="nil"/>
              <w:bottom w:val="single" w:sz="4" w:space="0" w:color="auto"/>
              <w:right w:val="single" w:sz="4" w:space="0" w:color="auto"/>
            </w:tcBorders>
            <w:shd w:val="clear" w:color="auto" w:fill="C4EFCE"/>
            <w:vAlign w:val="center"/>
            <w:hideMark/>
          </w:tcPr>
          <w:p w14:paraId="4284A36F" w14:textId="77777777" w:rsidR="00A15990" w:rsidRDefault="00686A62">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757EA7EC" w14:textId="77777777" w:rsidR="00A15990" w:rsidRDefault="00686A62">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16FCF755" w14:textId="77777777" w:rsidR="00A15990" w:rsidRDefault="00686A62">
            <w:pPr>
              <w:pStyle w:val="P68B1DB1-Normal23"/>
              <w:spacing w:after="0"/>
              <w:jc w:val="both"/>
              <w:rPr>
                <w:rFonts w:eastAsia="Calibri" w:cs="Calibri"/>
                <w:noProof/>
              </w:rPr>
            </w:pPr>
            <w:r>
              <w:rPr>
                <w:noProof/>
              </w:rPr>
              <w:t>Renovarea unităților și echipamentelor medicale pentru a asigura condiții de accesibilitate, calitate și siguranță în centrele medicale primare</w:t>
            </w:r>
          </w:p>
        </w:tc>
      </w:tr>
      <w:tr w:rsidR="00A15990" w14:paraId="5284CCA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868D01" w14:textId="77777777" w:rsidR="00A15990" w:rsidRDefault="00686A62">
            <w:pPr>
              <w:pStyle w:val="P68B1DB1-Normal23"/>
              <w:spacing w:after="0"/>
              <w:jc w:val="center"/>
              <w:rPr>
                <w:noProof/>
              </w:rPr>
            </w:pPr>
            <w:r>
              <w:rPr>
                <w:noProof/>
              </w:rPr>
              <w:t>1.19</w:t>
            </w:r>
          </w:p>
        </w:tc>
        <w:tc>
          <w:tcPr>
            <w:tcW w:w="1760" w:type="dxa"/>
            <w:tcBorders>
              <w:top w:val="nil"/>
              <w:left w:val="nil"/>
              <w:bottom w:val="single" w:sz="4" w:space="0" w:color="auto"/>
              <w:right w:val="single" w:sz="4" w:space="0" w:color="auto"/>
            </w:tcBorders>
            <w:shd w:val="clear" w:color="auto" w:fill="C4EFCE"/>
            <w:vAlign w:val="center"/>
            <w:hideMark/>
          </w:tcPr>
          <w:p w14:paraId="0EDC48A4" w14:textId="77777777" w:rsidR="00A15990" w:rsidRDefault="00686A62">
            <w:pPr>
              <w:pStyle w:val="P68B1DB1-Normal23"/>
              <w:spacing w:after="0"/>
              <w:jc w:val="center"/>
              <w:rPr>
                <w:noProof/>
              </w:rPr>
            </w:pPr>
            <w:r>
              <w:rPr>
                <w:noProof/>
              </w:rPr>
              <w:t>RE-C01-i01</w:t>
            </w:r>
          </w:p>
        </w:tc>
        <w:tc>
          <w:tcPr>
            <w:tcW w:w="1520" w:type="dxa"/>
            <w:tcBorders>
              <w:top w:val="nil"/>
              <w:left w:val="nil"/>
              <w:bottom w:val="single" w:sz="4" w:space="0" w:color="auto"/>
              <w:right w:val="single" w:sz="4" w:space="0" w:color="auto"/>
            </w:tcBorders>
            <w:shd w:val="clear" w:color="auto" w:fill="C4EFCE"/>
            <w:vAlign w:val="center"/>
            <w:hideMark/>
          </w:tcPr>
          <w:p w14:paraId="33DB8263" w14:textId="77777777" w:rsidR="00A15990" w:rsidRDefault="00686A62">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725DC65" w14:textId="77777777" w:rsidR="00A15990" w:rsidRDefault="00686A62">
            <w:pPr>
              <w:pStyle w:val="P68B1DB1-Normal23"/>
              <w:spacing w:after="0"/>
              <w:jc w:val="both"/>
              <w:rPr>
                <w:rFonts w:eastAsia="Calibri" w:cs="Calibri"/>
                <w:noProof/>
              </w:rPr>
            </w:pPr>
            <w:r>
              <w:rPr>
                <w:noProof/>
              </w:rPr>
              <w:t>Consolidarea asistenței comunitare, a intervențiilor la domiciliu și comunitare</w:t>
            </w:r>
          </w:p>
        </w:tc>
      </w:tr>
      <w:tr w:rsidR="00A15990" w14:paraId="3D01E1B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AC2B30" w14:textId="77777777" w:rsidR="00A15990" w:rsidRDefault="00686A62">
            <w:pPr>
              <w:pStyle w:val="P68B1DB1-Normal23"/>
              <w:spacing w:after="0"/>
              <w:jc w:val="center"/>
              <w:rPr>
                <w:noProof/>
              </w:rPr>
            </w:pPr>
            <w:r>
              <w:rPr>
                <w:noProof/>
              </w:rPr>
              <w:t>1.26</w:t>
            </w:r>
          </w:p>
        </w:tc>
        <w:tc>
          <w:tcPr>
            <w:tcW w:w="1760" w:type="dxa"/>
            <w:tcBorders>
              <w:top w:val="nil"/>
              <w:left w:val="nil"/>
              <w:bottom w:val="single" w:sz="4" w:space="0" w:color="auto"/>
              <w:right w:val="single" w:sz="4" w:space="0" w:color="auto"/>
            </w:tcBorders>
            <w:shd w:val="clear" w:color="auto" w:fill="C4EFCE"/>
            <w:vAlign w:val="center"/>
            <w:hideMark/>
          </w:tcPr>
          <w:p w14:paraId="2701A855" w14:textId="77777777" w:rsidR="00A15990" w:rsidRDefault="00686A62">
            <w:pPr>
              <w:pStyle w:val="P68B1DB1-Normal23"/>
              <w:spacing w:after="0"/>
              <w:jc w:val="center"/>
              <w:rPr>
                <w:noProof/>
              </w:rPr>
            </w:pPr>
            <w:r>
              <w:rPr>
                <w:noProof/>
              </w:rPr>
              <w:t>RE-C01-i04</w:t>
            </w:r>
          </w:p>
        </w:tc>
        <w:tc>
          <w:tcPr>
            <w:tcW w:w="1520" w:type="dxa"/>
            <w:tcBorders>
              <w:top w:val="nil"/>
              <w:left w:val="nil"/>
              <w:bottom w:val="single" w:sz="4" w:space="0" w:color="auto"/>
              <w:right w:val="single" w:sz="4" w:space="0" w:color="auto"/>
            </w:tcBorders>
            <w:shd w:val="clear" w:color="auto" w:fill="C4EFCE"/>
            <w:vAlign w:val="center"/>
            <w:hideMark/>
          </w:tcPr>
          <w:p w14:paraId="05A37AD5" w14:textId="77777777" w:rsidR="00A15990" w:rsidRDefault="00686A62">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BABE876" w14:textId="77777777" w:rsidR="00A15990" w:rsidRDefault="00686A62">
            <w:pPr>
              <w:pStyle w:val="P68B1DB1-Normal23"/>
              <w:spacing w:after="0"/>
              <w:jc w:val="both"/>
              <w:rPr>
                <w:rFonts w:eastAsia="Calibri" w:cs="Calibri"/>
                <w:noProof/>
              </w:rPr>
            </w:pPr>
            <w:r>
              <w:rPr>
                <w:noProof/>
              </w:rPr>
              <w:t>Construirea spitalului East Lisabona și achiziționarea de echipamente pentru spitalele din Lisabona și Vale do Tejo</w:t>
            </w:r>
          </w:p>
        </w:tc>
      </w:tr>
      <w:tr w:rsidR="00A15990" w14:paraId="3D441B1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C3D0439" w14:textId="77777777" w:rsidR="00A15990" w:rsidRDefault="00686A62">
            <w:pPr>
              <w:pStyle w:val="P68B1DB1-Normal23"/>
              <w:spacing w:after="0"/>
              <w:jc w:val="center"/>
              <w:rPr>
                <w:noProof/>
              </w:rPr>
            </w:pPr>
            <w:r>
              <w:rPr>
                <w:noProof/>
              </w:rPr>
              <w:t>1.27</w:t>
            </w:r>
          </w:p>
        </w:tc>
        <w:tc>
          <w:tcPr>
            <w:tcW w:w="1760" w:type="dxa"/>
            <w:tcBorders>
              <w:top w:val="nil"/>
              <w:left w:val="nil"/>
              <w:bottom w:val="single" w:sz="4" w:space="0" w:color="auto"/>
              <w:right w:val="single" w:sz="4" w:space="0" w:color="auto"/>
            </w:tcBorders>
            <w:shd w:val="clear" w:color="auto" w:fill="C4EFCE"/>
            <w:vAlign w:val="center"/>
            <w:hideMark/>
          </w:tcPr>
          <w:p w14:paraId="1BD7B0E9" w14:textId="77777777" w:rsidR="00A15990" w:rsidRDefault="00686A62">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3CAAA8F2"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A201EA2" w14:textId="77777777" w:rsidR="00A15990" w:rsidRDefault="00686A62">
            <w:pPr>
              <w:pStyle w:val="P68B1DB1-Normal23"/>
              <w:spacing w:after="0"/>
              <w:jc w:val="both"/>
              <w:rPr>
                <w:rFonts w:eastAsia="Calibri" w:cs="Calibri"/>
                <w:noProof/>
              </w:rPr>
            </w:pPr>
            <w:r>
              <w:rPr>
                <w:noProof/>
              </w:rPr>
              <w:t>Creșterea numărului de locuri disponibile în sistemul de spitalizare la domiciliu din cadrul serviciului regional de sănătate din Madeira</w:t>
            </w:r>
          </w:p>
        </w:tc>
      </w:tr>
      <w:tr w:rsidR="00A15990" w14:paraId="5762E4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CF62DE" w14:textId="77777777" w:rsidR="00A15990" w:rsidRDefault="00686A62">
            <w:pPr>
              <w:pStyle w:val="P68B1DB1-Normal23"/>
              <w:spacing w:after="0"/>
              <w:jc w:val="center"/>
              <w:rPr>
                <w:noProof/>
              </w:rPr>
            </w:pPr>
            <w:r>
              <w:rPr>
                <w:noProof/>
              </w:rPr>
              <w:t>1.28</w:t>
            </w:r>
          </w:p>
        </w:tc>
        <w:tc>
          <w:tcPr>
            <w:tcW w:w="1760" w:type="dxa"/>
            <w:tcBorders>
              <w:top w:val="nil"/>
              <w:left w:val="nil"/>
              <w:bottom w:val="single" w:sz="4" w:space="0" w:color="auto"/>
              <w:right w:val="single" w:sz="4" w:space="0" w:color="auto"/>
            </w:tcBorders>
            <w:shd w:val="clear" w:color="auto" w:fill="C4EFCE"/>
            <w:vAlign w:val="center"/>
            <w:hideMark/>
          </w:tcPr>
          <w:p w14:paraId="4710DCFA" w14:textId="77777777" w:rsidR="00A15990" w:rsidRDefault="00686A62">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CFA463F"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865E083" w14:textId="77777777" w:rsidR="00A15990" w:rsidRDefault="00686A62">
            <w:pPr>
              <w:pStyle w:val="P68B1DB1-Normal23"/>
              <w:spacing w:after="0"/>
              <w:jc w:val="both"/>
              <w:rPr>
                <w:rFonts w:eastAsia="Calibri" w:cs="Calibri"/>
                <w:noProof/>
              </w:rPr>
            </w:pPr>
            <w:r>
              <w:rPr>
                <w:noProof/>
              </w:rPr>
              <w:t>Înființarea de echipe comunitare de sănătate mintală în cadrul serviciului regional de sănătate din Madeira</w:t>
            </w:r>
          </w:p>
        </w:tc>
      </w:tr>
      <w:tr w:rsidR="00A15990" w14:paraId="01524A3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7ED4C9A" w14:textId="77777777" w:rsidR="00A15990" w:rsidRDefault="00686A62">
            <w:pPr>
              <w:pStyle w:val="P68B1DB1-Normal23"/>
              <w:spacing w:after="0"/>
              <w:jc w:val="center"/>
              <w:rPr>
                <w:noProof/>
              </w:rPr>
            </w:pPr>
            <w:r>
              <w:rPr>
                <w:noProof/>
              </w:rPr>
              <w:t>1.31</w:t>
            </w:r>
          </w:p>
        </w:tc>
        <w:tc>
          <w:tcPr>
            <w:tcW w:w="1760" w:type="dxa"/>
            <w:tcBorders>
              <w:top w:val="nil"/>
              <w:left w:val="nil"/>
              <w:bottom w:val="single" w:sz="4" w:space="0" w:color="auto"/>
              <w:right w:val="single" w:sz="4" w:space="0" w:color="auto"/>
            </w:tcBorders>
            <w:shd w:val="clear" w:color="auto" w:fill="C4EFCE"/>
            <w:vAlign w:val="center"/>
            <w:hideMark/>
          </w:tcPr>
          <w:p w14:paraId="35A056AF" w14:textId="77777777" w:rsidR="00A15990" w:rsidRDefault="00686A62">
            <w:pPr>
              <w:pStyle w:val="P68B1DB1-Normal23"/>
              <w:spacing w:after="0"/>
              <w:jc w:val="center"/>
              <w:rPr>
                <w:noProof/>
              </w:rPr>
            </w:pPr>
            <w:r>
              <w:rPr>
                <w:noProof/>
              </w:rPr>
              <w:t>RE-C01-i05-RAM</w:t>
            </w:r>
          </w:p>
        </w:tc>
        <w:tc>
          <w:tcPr>
            <w:tcW w:w="1520" w:type="dxa"/>
            <w:tcBorders>
              <w:top w:val="nil"/>
              <w:left w:val="nil"/>
              <w:bottom w:val="single" w:sz="4" w:space="0" w:color="auto"/>
              <w:right w:val="single" w:sz="4" w:space="0" w:color="auto"/>
            </w:tcBorders>
            <w:shd w:val="clear" w:color="auto" w:fill="C4EFCE"/>
            <w:vAlign w:val="center"/>
            <w:hideMark/>
          </w:tcPr>
          <w:p w14:paraId="632A4DE4"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FB0741" w14:textId="77777777" w:rsidR="00A15990" w:rsidRDefault="00686A62">
            <w:pPr>
              <w:pStyle w:val="P68B1DB1-Normal23"/>
              <w:spacing w:after="0"/>
              <w:jc w:val="both"/>
              <w:rPr>
                <w:rFonts w:eastAsia="Calibri" w:cs="Calibri"/>
                <w:noProof/>
              </w:rPr>
            </w:pPr>
            <w:r>
              <w:rPr>
                <w:noProof/>
              </w:rPr>
              <w:t>Renovarea serviciilor de asistență medicală primară în cadrul serviciului regional de sănătate din Madeira</w:t>
            </w:r>
          </w:p>
        </w:tc>
      </w:tr>
      <w:tr w:rsidR="00A15990" w14:paraId="5ABD1A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CF6E924" w14:textId="77777777" w:rsidR="00A15990" w:rsidRDefault="00686A62">
            <w:pPr>
              <w:pStyle w:val="P68B1DB1-Normal23"/>
              <w:spacing w:after="0"/>
              <w:jc w:val="center"/>
              <w:rPr>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375AE1E5" w14:textId="77777777" w:rsidR="00A15990" w:rsidRDefault="00686A62">
            <w:pPr>
              <w:pStyle w:val="P68B1DB1-Normal23"/>
              <w:spacing w:after="0"/>
              <w:jc w:val="center"/>
              <w:rPr>
                <w:noProof/>
              </w:rPr>
            </w:pPr>
            <w:r>
              <w:rPr>
                <w:noProof/>
              </w:rPr>
              <w:t>RE-C01-i10</w:t>
            </w:r>
          </w:p>
        </w:tc>
        <w:tc>
          <w:tcPr>
            <w:tcW w:w="1520" w:type="dxa"/>
            <w:tcBorders>
              <w:top w:val="nil"/>
              <w:left w:val="nil"/>
              <w:bottom w:val="single" w:sz="4" w:space="0" w:color="auto"/>
              <w:right w:val="single" w:sz="4" w:space="0" w:color="auto"/>
            </w:tcBorders>
            <w:shd w:val="clear" w:color="auto" w:fill="C4EFCE"/>
            <w:vAlign w:val="center"/>
            <w:hideMark/>
          </w:tcPr>
          <w:p w14:paraId="3498EF00"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A15A08C" w14:textId="77777777" w:rsidR="00A15990" w:rsidRDefault="00686A62">
            <w:pPr>
              <w:pStyle w:val="P68B1DB1-Normal23"/>
              <w:spacing w:after="0"/>
              <w:jc w:val="both"/>
              <w:rPr>
                <w:rFonts w:eastAsia="Calibri" w:cs="Calibri"/>
                <w:noProof/>
              </w:rPr>
            </w:pPr>
            <w:r>
              <w:rPr>
                <w:noProof/>
              </w:rPr>
              <w:t>Achiziționarea de echipamente medicale grele</w:t>
            </w:r>
          </w:p>
        </w:tc>
      </w:tr>
      <w:tr w:rsidR="00A15990" w14:paraId="6AC77FE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C1269E" w14:textId="77777777" w:rsidR="00A15990" w:rsidRDefault="00686A62">
            <w:pPr>
              <w:pStyle w:val="P68B1DB1-Normal23"/>
              <w:spacing w:after="0"/>
              <w:jc w:val="center"/>
              <w:rPr>
                <w:noProof/>
              </w:rPr>
            </w:pPr>
            <w:r>
              <w:rPr>
                <w:noProof/>
              </w:rPr>
              <w:t>2.3</w:t>
            </w:r>
          </w:p>
        </w:tc>
        <w:tc>
          <w:tcPr>
            <w:tcW w:w="1760" w:type="dxa"/>
            <w:tcBorders>
              <w:top w:val="nil"/>
              <w:left w:val="nil"/>
              <w:bottom w:val="single" w:sz="4" w:space="0" w:color="auto"/>
              <w:right w:val="single" w:sz="4" w:space="0" w:color="auto"/>
            </w:tcBorders>
            <w:shd w:val="clear" w:color="auto" w:fill="C4EFCE"/>
            <w:vAlign w:val="center"/>
            <w:hideMark/>
          </w:tcPr>
          <w:p w14:paraId="43F3328C" w14:textId="77777777" w:rsidR="00A15990" w:rsidRDefault="00686A62">
            <w:pPr>
              <w:pStyle w:val="P68B1DB1-Normal23"/>
              <w:spacing w:after="0"/>
              <w:jc w:val="center"/>
              <w:rPr>
                <w:noProof/>
              </w:rPr>
            </w:pPr>
            <w:r>
              <w:rPr>
                <w:noProof/>
              </w:rPr>
              <w:t>RE-C02-i01</w:t>
            </w:r>
          </w:p>
        </w:tc>
        <w:tc>
          <w:tcPr>
            <w:tcW w:w="1520" w:type="dxa"/>
            <w:tcBorders>
              <w:top w:val="nil"/>
              <w:left w:val="nil"/>
              <w:bottom w:val="single" w:sz="4" w:space="0" w:color="auto"/>
              <w:right w:val="single" w:sz="4" w:space="0" w:color="auto"/>
            </w:tcBorders>
            <w:shd w:val="clear" w:color="auto" w:fill="C4EFCE"/>
            <w:vAlign w:val="center"/>
            <w:hideMark/>
          </w:tcPr>
          <w:p w14:paraId="63E6F2B5"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F9FF65" w14:textId="77777777" w:rsidR="00A15990" w:rsidRDefault="00686A62">
            <w:pPr>
              <w:pStyle w:val="P68B1DB1-Normal23"/>
              <w:spacing w:after="0"/>
              <w:jc w:val="both"/>
              <w:rPr>
                <w:rFonts w:eastAsia="Calibri" w:cs="Calibri"/>
                <w:noProof/>
              </w:rPr>
            </w:pPr>
            <w:r>
              <w:rPr>
                <w:noProof/>
              </w:rPr>
              <w:t>Program de sprijin pentru accesul la locuințe – locuințe achiziționate, construite (cu eficiență energetică ridicată) sau reabilitate (cu o performanță energetică îmbunătățită) furnizate gospodăriilor</w:t>
            </w:r>
          </w:p>
        </w:tc>
      </w:tr>
      <w:tr w:rsidR="00A15990" w14:paraId="72A5938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282ECA8" w14:textId="77777777" w:rsidR="00A15990" w:rsidRDefault="00686A62">
            <w:pPr>
              <w:pStyle w:val="P68B1DB1-Normal23"/>
              <w:spacing w:after="0"/>
              <w:jc w:val="center"/>
              <w:rPr>
                <w:noProof/>
              </w:rPr>
            </w:pPr>
            <w:r>
              <w:rPr>
                <w:noProof/>
              </w:rPr>
              <w:t>2.7</w:t>
            </w:r>
          </w:p>
        </w:tc>
        <w:tc>
          <w:tcPr>
            <w:tcW w:w="1760" w:type="dxa"/>
            <w:tcBorders>
              <w:top w:val="nil"/>
              <w:left w:val="nil"/>
              <w:bottom w:val="single" w:sz="4" w:space="0" w:color="auto"/>
              <w:right w:val="single" w:sz="4" w:space="0" w:color="auto"/>
            </w:tcBorders>
            <w:shd w:val="clear" w:color="auto" w:fill="C4EFCE"/>
            <w:vAlign w:val="center"/>
            <w:hideMark/>
          </w:tcPr>
          <w:p w14:paraId="73BDA8CB" w14:textId="77777777" w:rsidR="00A15990" w:rsidRDefault="00686A62">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E0163B1"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65A5618" w14:textId="77777777" w:rsidR="00A15990" w:rsidRDefault="00686A62">
            <w:pPr>
              <w:pStyle w:val="P68B1DB1-Normal23"/>
              <w:spacing w:after="0"/>
              <w:jc w:val="both"/>
              <w:rPr>
                <w:rFonts w:eastAsia="Calibri" w:cs="Calibri"/>
                <w:noProof/>
              </w:rPr>
            </w:pPr>
            <w:r>
              <w:rPr>
                <w:noProof/>
              </w:rPr>
              <w:t>Grant național pentru cazare de urgență și temporară – Unități de cazare pentru situații de urgență și de tranziție create (construite sau achiziționate cu un standard de eficiență energetică sau reabilitate, inclusiv achiziționate, cu o performanță energetică îmbunătățită) și furnizate dezvoltatorilor</w:t>
            </w:r>
          </w:p>
        </w:tc>
      </w:tr>
      <w:tr w:rsidR="00A15990" w14:paraId="0F56588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51AC1AB" w14:textId="77777777" w:rsidR="00A15990" w:rsidRDefault="00686A62">
            <w:pPr>
              <w:pStyle w:val="P68B1DB1-Normal23"/>
              <w:spacing w:after="0"/>
              <w:jc w:val="center"/>
              <w:rPr>
                <w:noProof/>
              </w:rPr>
            </w:pPr>
            <w:r>
              <w:rPr>
                <w:noProof/>
              </w:rPr>
              <w:t>2.8</w:t>
            </w:r>
          </w:p>
        </w:tc>
        <w:tc>
          <w:tcPr>
            <w:tcW w:w="1760" w:type="dxa"/>
            <w:tcBorders>
              <w:top w:val="nil"/>
              <w:left w:val="nil"/>
              <w:bottom w:val="single" w:sz="4" w:space="0" w:color="auto"/>
              <w:right w:val="single" w:sz="4" w:space="0" w:color="auto"/>
            </w:tcBorders>
            <w:shd w:val="clear" w:color="auto" w:fill="C4EFCE"/>
            <w:vAlign w:val="center"/>
            <w:hideMark/>
          </w:tcPr>
          <w:p w14:paraId="7E84AC89" w14:textId="77777777" w:rsidR="00A15990" w:rsidRDefault="00686A62">
            <w:pPr>
              <w:pStyle w:val="P68B1DB1-Normal23"/>
              <w:spacing w:after="0"/>
              <w:jc w:val="center"/>
              <w:rPr>
                <w:noProof/>
              </w:rPr>
            </w:pPr>
            <w:r>
              <w:rPr>
                <w:noProof/>
              </w:rPr>
              <w:t>RE-C02-i02</w:t>
            </w:r>
          </w:p>
        </w:tc>
        <w:tc>
          <w:tcPr>
            <w:tcW w:w="1520" w:type="dxa"/>
            <w:tcBorders>
              <w:top w:val="nil"/>
              <w:left w:val="nil"/>
              <w:bottom w:val="single" w:sz="4" w:space="0" w:color="auto"/>
              <w:right w:val="single" w:sz="4" w:space="0" w:color="auto"/>
            </w:tcBorders>
            <w:shd w:val="clear" w:color="auto" w:fill="C4EFCE"/>
            <w:vAlign w:val="center"/>
            <w:hideMark/>
          </w:tcPr>
          <w:p w14:paraId="42DC07CB"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23D2B0" w14:textId="77777777" w:rsidR="00A15990" w:rsidRDefault="00686A62">
            <w:pPr>
              <w:pStyle w:val="P68B1DB1-Normal23"/>
              <w:spacing w:after="0"/>
              <w:jc w:val="both"/>
              <w:rPr>
                <w:rFonts w:eastAsia="Calibri" w:cs="Calibri"/>
                <w:noProof/>
              </w:rPr>
            </w:pPr>
            <w:r>
              <w:rPr>
                <w:noProof/>
              </w:rPr>
              <w:t>Cazarea livrată forțelor de securitate și cazarea temporară livrată din motive umanitare sau de securitate</w:t>
            </w:r>
          </w:p>
        </w:tc>
      </w:tr>
      <w:tr w:rsidR="00A15990" w14:paraId="02FF4B3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E8FA595" w14:textId="77777777" w:rsidR="00A15990" w:rsidRDefault="00686A62">
            <w:pPr>
              <w:pStyle w:val="P68B1DB1-Normal23"/>
              <w:spacing w:after="0"/>
              <w:jc w:val="center"/>
              <w:rPr>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7D04435" w14:textId="77777777" w:rsidR="00A15990" w:rsidRDefault="00686A62">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3BD5817E"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D58941" w14:textId="77777777" w:rsidR="00A15990" w:rsidRDefault="00686A62">
            <w:pPr>
              <w:pStyle w:val="P68B1DB1-Normal23"/>
              <w:spacing w:after="0"/>
              <w:jc w:val="both"/>
              <w:rPr>
                <w:rFonts w:eastAsia="Calibri" w:cs="Calibri"/>
                <w:noProof/>
              </w:rPr>
            </w:pPr>
            <w:r>
              <w:rPr>
                <w:noProof/>
              </w:rPr>
              <w:t>Locuințe care beneficiază de sprijin în Regiunea Autonomă Madeira</w:t>
            </w:r>
          </w:p>
        </w:tc>
      </w:tr>
      <w:tr w:rsidR="00A15990" w14:paraId="29129C5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6F57D8F" w14:textId="77777777" w:rsidR="00A15990" w:rsidRDefault="00686A62">
            <w:pPr>
              <w:pStyle w:val="P68B1DB1-Normal23"/>
              <w:spacing w:after="0"/>
              <w:jc w:val="center"/>
              <w:rPr>
                <w:noProof/>
              </w:rPr>
            </w:pPr>
            <w:r>
              <w:rPr>
                <w:noProof/>
              </w:rPr>
              <w:t>2.12</w:t>
            </w:r>
          </w:p>
        </w:tc>
        <w:tc>
          <w:tcPr>
            <w:tcW w:w="1760" w:type="dxa"/>
            <w:tcBorders>
              <w:top w:val="nil"/>
              <w:left w:val="nil"/>
              <w:bottom w:val="single" w:sz="4" w:space="0" w:color="auto"/>
              <w:right w:val="single" w:sz="4" w:space="0" w:color="auto"/>
            </w:tcBorders>
            <w:shd w:val="clear" w:color="auto" w:fill="C4EFCE"/>
            <w:vAlign w:val="center"/>
            <w:hideMark/>
          </w:tcPr>
          <w:p w14:paraId="62DEA51A" w14:textId="77777777" w:rsidR="00A15990" w:rsidRDefault="00686A62">
            <w:pPr>
              <w:pStyle w:val="P68B1DB1-Normal23"/>
              <w:spacing w:after="0"/>
              <w:jc w:val="center"/>
              <w:rPr>
                <w:noProof/>
              </w:rPr>
            </w:pPr>
            <w:r>
              <w:rPr>
                <w:noProof/>
              </w:rPr>
              <w:t>RE-C02-i03-RAM</w:t>
            </w:r>
          </w:p>
        </w:tc>
        <w:tc>
          <w:tcPr>
            <w:tcW w:w="1520" w:type="dxa"/>
            <w:tcBorders>
              <w:top w:val="nil"/>
              <w:left w:val="nil"/>
              <w:bottom w:val="single" w:sz="4" w:space="0" w:color="auto"/>
              <w:right w:val="single" w:sz="4" w:space="0" w:color="auto"/>
            </w:tcBorders>
            <w:shd w:val="clear" w:color="auto" w:fill="C4EFCE"/>
            <w:vAlign w:val="center"/>
            <w:hideMark/>
          </w:tcPr>
          <w:p w14:paraId="1270B23C"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726ED5" w14:textId="77777777" w:rsidR="00A15990" w:rsidRDefault="00686A62">
            <w:pPr>
              <w:pStyle w:val="P68B1DB1-Normal23"/>
              <w:spacing w:after="0"/>
              <w:jc w:val="both"/>
              <w:rPr>
                <w:rFonts w:eastAsia="Calibri" w:cs="Calibri"/>
                <w:noProof/>
              </w:rPr>
            </w:pPr>
            <w:r>
              <w:rPr>
                <w:noProof/>
              </w:rPr>
              <w:t>Numărul de locuințe ocupate de proprietari privați renovate, inclusiv cu eficiență energetică îmbunătățită</w:t>
            </w:r>
          </w:p>
        </w:tc>
      </w:tr>
      <w:tr w:rsidR="00A15990" w14:paraId="18ACBA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A04DA4C" w14:textId="77777777" w:rsidR="00A15990" w:rsidRDefault="00686A62">
            <w:pPr>
              <w:pStyle w:val="P68B1DB1-Normal23"/>
              <w:spacing w:after="0"/>
              <w:jc w:val="center"/>
              <w:rPr>
                <w:noProof/>
              </w:rPr>
            </w:pPr>
            <w:r>
              <w:rPr>
                <w:noProof/>
              </w:rPr>
              <w:t>2.30</w:t>
            </w:r>
          </w:p>
        </w:tc>
        <w:tc>
          <w:tcPr>
            <w:tcW w:w="1760" w:type="dxa"/>
            <w:tcBorders>
              <w:top w:val="nil"/>
              <w:left w:val="nil"/>
              <w:bottom w:val="single" w:sz="4" w:space="0" w:color="auto"/>
              <w:right w:val="single" w:sz="4" w:space="0" w:color="auto"/>
            </w:tcBorders>
            <w:shd w:val="clear" w:color="auto" w:fill="C4EFCE"/>
            <w:vAlign w:val="center"/>
            <w:hideMark/>
          </w:tcPr>
          <w:p w14:paraId="373778E4" w14:textId="77777777" w:rsidR="00A15990" w:rsidRDefault="00686A62">
            <w:pPr>
              <w:pStyle w:val="P68B1DB1-Normal23"/>
              <w:spacing w:after="0"/>
              <w:jc w:val="center"/>
              <w:rPr>
                <w:noProof/>
              </w:rPr>
            </w:pPr>
            <w:r>
              <w:rPr>
                <w:noProof/>
              </w:rPr>
              <w:t>RE-C02-i07-RAA</w:t>
            </w:r>
          </w:p>
        </w:tc>
        <w:tc>
          <w:tcPr>
            <w:tcW w:w="1520" w:type="dxa"/>
            <w:tcBorders>
              <w:top w:val="nil"/>
              <w:left w:val="nil"/>
              <w:bottom w:val="single" w:sz="4" w:space="0" w:color="auto"/>
              <w:right w:val="single" w:sz="4" w:space="0" w:color="auto"/>
            </w:tcBorders>
            <w:shd w:val="clear" w:color="auto" w:fill="C4EFCE"/>
            <w:vAlign w:val="center"/>
            <w:hideMark/>
          </w:tcPr>
          <w:p w14:paraId="66259027"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A181364" w14:textId="77777777" w:rsidR="00A15990" w:rsidRDefault="00686A62">
            <w:pPr>
              <w:pStyle w:val="P68B1DB1-Normal23"/>
              <w:spacing w:after="0"/>
              <w:jc w:val="both"/>
              <w:rPr>
                <w:rFonts w:eastAsia="Calibri" w:cs="Calibri"/>
                <w:noProof/>
              </w:rPr>
            </w:pPr>
            <w:r>
              <w:rPr>
                <w:noProof/>
              </w:rPr>
              <w:t>Infrastructura parcelelor de teren</w:t>
            </w:r>
          </w:p>
        </w:tc>
      </w:tr>
      <w:tr w:rsidR="00A15990" w14:paraId="17A4FE4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5779114" w14:textId="77777777" w:rsidR="00A15990" w:rsidRDefault="00686A62">
            <w:pPr>
              <w:pStyle w:val="P68B1DB1-Normal23"/>
              <w:spacing w:after="0"/>
              <w:jc w:val="center"/>
              <w:rPr>
                <w:noProof/>
              </w:rPr>
            </w:pPr>
            <w:r>
              <w:rPr>
                <w:noProof/>
              </w:rPr>
              <w:t>3.1</w:t>
            </w:r>
          </w:p>
        </w:tc>
        <w:tc>
          <w:tcPr>
            <w:tcW w:w="1760" w:type="dxa"/>
            <w:tcBorders>
              <w:top w:val="nil"/>
              <w:left w:val="nil"/>
              <w:bottom w:val="single" w:sz="4" w:space="0" w:color="auto"/>
              <w:right w:val="single" w:sz="4" w:space="0" w:color="auto"/>
            </w:tcBorders>
            <w:shd w:val="clear" w:color="auto" w:fill="C4EFCE"/>
            <w:vAlign w:val="center"/>
            <w:hideMark/>
          </w:tcPr>
          <w:p w14:paraId="470584AE" w14:textId="77777777" w:rsidR="00A15990" w:rsidRDefault="00686A62">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39BFEDF0"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17EB27" w14:textId="77777777" w:rsidR="00A15990" w:rsidRDefault="00686A62">
            <w:pPr>
              <w:pStyle w:val="P68B1DB1-Normal23"/>
              <w:spacing w:after="0"/>
              <w:jc w:val="both"/>
              <w:rPr>
                <w:rFonts w:eastAsia="Calibri" w:cs="Calibri"/>
                <w:noProof/>
              </w:rPr>
            </w:pPr>
            <w:r>
              <w:rPr>
                <w:noProof/>
              </w:rPr>
              <w:t>Livrarea de vehicule electrice</w:t>
            </w:r>
          </w:p>
        </w:tc>
      </w:tr>
      <w:tr w:rsidR="00A15990" w14:paraId="5728D53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FBBABBB" w14:textId="77777777" w:rsidR="00A15990" w:rsidRDefault="00686A62">
            <w:pPr>
              <w:pStyle w:val="P68B1DB1-Normal23"/>
              <w:spacing w:after="0"/>
              <w:jc w:val="center"/>
              <w:rPr>
                <w:noProof/>
              </w:rPr>
            </w:pPr>
            <w:r>
              <w:rPr>
                <w:noProof/>
              </w:rPr>
              <w:t>3.4</w:t>
            </w:r>
          </w:p>
        </w:tc>
        <w:tc>
          <w:tcPr>
            <w:tcW w:w="1760" w:type="dxa"/>
            <w:tcBorders>
              <w:top w:val="nil"/>
              <w:left w:val="nil"/>
              <w:bottom w:val="single" w:sz="4" w:space="0" w:color="auto"/>
              <w:right w:val="single" w:sz="4" w:space="0" w:color="auto"/>
            </w:tcBorders>
            <w:shd w:val="clear" w:color="auto" w:fill="C4EFCE"/>
            <w:vAlign w:val="center"/>
            <w:hideMark/>
          </w:tcPr>
          <w:p w14:paraId="4DB7F8C7" w14:textId="77777777" w:rsidR="00A15990" w:rsidRDefault="00686A62">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25CFCDF3"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1CAD15" w14:textId="77777777" w:rsidR="00A15990" w:rsidRDefault="00686A62">
            <w:pPr>
              <w:pStyle w:val="P68B1DB1-Normal23"/>
              <w:spacing w:after="0"/>
              <w:jc w:val="both"/>
              <w:rPr>
                <w:rFonts w:eastAsia="Calibri" w:cs="Calibri"/>
                <w:noProof/>
              </w:rPr>
            </w:pPr>
            <w:r>
              <w:rPr>
                <w:noProof/>
              </w:rPr>
              <w:t>Crearea de noi locuri și renovarea locurilor existente în unitățile sociale</w:t>
            </w:r>
          </w:p>
        </w:tc>
      </w:tr>
      <w:tr w:rsidR="00A15990" w14:paraId="7D873F1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489AAD3" w14:textId="77777777" w:rsidR="00A15990" w:rsidRDefault="00686A62">
            <w:pPr>
              <w:pStyle w:val="P68B1DB1-Normal23"/>
              <w:spacing w:after="0"/>
              <w:jc w:val="center"/>
              <w:rPr>
                <w:noProof/>
              </w:rPr>
            </w:pPr>
            <w:r>
              <w:rPr>
                <w:noProof/>
              </w:rPr>
              <w:t>3.5</w:t>
            </w:r>
          </w:p>
        </w:tc>
        <w:tc>
          <w:tcPr>
            <w:tcW w:w="1760" w:type="dxa"/>
            <w:tcBorders>
              <w:top w:val="nil"/>
              <w:left w:val="nil"/>
              <w:bottom w:val="single" w:sz="4" w:space="0" w:color="auto"/>
              <w:right w:val="single" w:sz="4" w:space="0" w:color="auto"/>
            </w:tcBorders>
            <w:shd w:val="clear" w:color="auto" w:fill="C4EFCE"/>
            <w:vAlign w:val="center"/>
            <w:hideMark/>
          </w:tcPr>
          <w:p w14:paraId="406B51CB" w14:textId="77777777" w:rsidR="00A15990" w:rsidRDefault="00686A62">
            <w:pPr>
              <w:pStyle w:val="P68B1DB1-Normal23"/>
              <w:spacing w:after="0"/>
              <w:jc w:val="center"/>
              <w:rPr>
                <w:noProof/>
              </w:rPr>
            </w:pPr>
            <w:r>
              <w:rPr>
                <w:noProof/>
              </w:rPr>
              <w:t>RE-C03-i01</w:t>
            </w:r>
          </w:p>
        </w:tc>
        <w:tc>
          <w:tcPr>
            <w:tcW w:w="1520" w:type="dxa"/>
            <w:tcBorders>
              <w:top w:val="nil"/>
              <w:left w:val="nil"/>
              <w:bottom w:val="single" w:sz="4" w:space="0" w:color="auto"/>
              <w:right w:val="single" w:sz="4" w:space="0" w:color="auto"/>
            </w:tcBorders>
            <w:shd w:val="clear" w:color="auto" w:fill="C4EFCE"/>
            <w:vAlign w:val="center"/>
            <w:hideMark/>
          </w:tcPr>
          <w:p w14:paraId="702DBD39"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5C123CD" w14:textId="77777777" w:rsidR="00A15990" w:rsidRDefault="00686A62">
            <w:pPr>
              <w:pStyle w:val="P68B1DB1-Normal23"/>
              <w:spacing w:after="0"/>
              <w:jc w:val="both"/>
              <w:rPr>
                <w:rFonts w:eastAsia="Calibri" w:cs="Calibri"/>
                <w:noProof/>
              </w:rPr>
            </w:pPr>
            <w:r>
              <w:rPr>
                <w:noProof/>
              </w:rPr>
              <w:t>Utilizatorii serviciilor de asistență la domiciliu și personalul care beneficiază de acces la tablete și la alte echipamente informatice și de comunicații, la echipamente de asistență tehnică sau la formare.</w:t>
            </w:r>
          </w:p>
        </w:tc>
      </w:tr>
      <w:tr w:rsidR="00A15990" w14:paraId="221C68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88D6553" w14:textId="77777777" w:rsidR="00A15990" w:rsidRDefault="00686A62">
            <w:pPr>
              <w:pStyle w:val="P68B1DB1-Normal23"/>
              <w:spacing w:after="0"/>
              <w:jc w:val="center"/>
              <w:rPr>
                <w:noProof/>
              </w:rPr>
            </w:pPr>
            <w:r>
              <w:rPr>
                <w:noProof/>
              </w:rPr>
              <w:t>3.13</w:t>
            </w:r>
          </w:p>
        </w:tc>
        <w:tc>
          <w:tcPr>
            <w:tcW w:w="1760" w:type="dxa"/>
            <w:tcBorders>
              <w:top w:val="nil"/>
              <w:left w:val="nil"/>
              <w:bottom w:val="single" w:sz="4" w:space="0" w:color="auto"/>
              <w:right w:val="single" w:sz="4" w:space="0" w:color="auto"/>
            </w:tcBorders>
            <w:shd w:val="clear" w:color="auto" w:fill="C4EFCE"/>
            <w:vAlign w:val="center"/>
            <w:hideMark/>
          </w:tcPr>
          <w:p w14:paraId="7374EBB4" w14:textId="77777777" w:rsidR="00A15990" w:rsidRDefault="00686A62">
            <w:pPr>
              <w:pStyle w:val="P68B1DB1-Normal23"/>
              <w:spacing w:after="0"/>
              <w:jc w:val="center"/>
              <w:rPr>
                <w:noProof/>
              </w:rPr>
            </w:pPr>
            <w:r>
              <w:rPr>
                <w:noProof/>
              </w:rPr>
              <w:t>RE-C03-i04-RAA</w:t>
            </w:r>
          </w:p>
        </w:tc>
        <w:tc>
          <w:tcPr>
            <w:tcW w:w="1520" w:type="dxa"/>
            <w:tcBorders>
              <w:top w:val="nil"/>
              <w:left w:val="nil"/>
              <w:bottom w:val="single" w:sz="4" w:space="0" w:color="auto"/>
              <w:right w:val="single" w:sz="4" w:space="0" w:color="auto"/>
            </w:tcBorders>
            <w:shd w:val="clear" w:color="auto" w:fill="C4EFCE"/>
            <w:vAlign w:val="center"/>
            <w:hideMark/>
          </w:tcPr>
          <w:p w14:paraId="67834E53"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60C2C2" w14:textId="77777777" w:rsidR="00A15990" w:rsidRDefault="00686A62">
            <w:pPr>
              <w:pStyle w:val="P68B1DB1-Normal23"/>
              <w:spacing w:after="0"/>
              <w:jc w:val="both"/>
              <w:rPr>
                <w:rFonts w:eastAsia="Calibri" w:cs="Calibri"/>
                <w:noProof/>
              </w:rPr>
            </w:pPr>
            <w:r>
              <w:rPr>
                <w:noProof/>
              </w:rPr>
              <w:t>Noi locuri pentru persoanele cu handicap în centre de îngrijire care sprijină persoanele cu handicap</w:t>
            </w:r>
          </w:p>
        </w:tc>
      </w:tr>
      <w:tr w:rsidR="00A15990" w14:paraId="4ED34F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F29E92" w14:textId="77777777" w:rsidR="00A15990" w:rsidRDefault="00686A62">
            <w:pPr>
              <w:pStyle w:val="P68B1DB1-Normal23"/>
              <w:spacing w:after="0"/>
              <w:jc w:val="center"/>
              <w:rPr>
                <w:noProof/>
              </w:rPr>
            </w:pPr>
            <w:r>
              <w:rPr>
                <w:noProof/>
              </w:rPr>
              <w:t>3.28</w:t>
            </w:r>
          </w:p>
        </w:tc>
        <w:tc>
          <w:tcPr>
            <w:tcW w:w="1760" w:type="dxa"/>
            <w:tcBorders>
              <w:top w:val="nil"/>
              <w:left w:val="nil"/>
              <w:bottom w:val="single" w:sz="4" w:space="0" w:color="auto"/>
              <w:right w:val="single" w:sz="4" w:space="0" w:color="auto"/>
            </w:tcBorders>
            <w:shd w:val="clear" w:color="auto" w:fill="C4EFCE"/>
            <w:vAlign w:val="center"/>
            <w:hideMark/>
          </w:tcPr>
          <w:p w14:paraId="14BA29A6" w14:textId="77777777" w:rsidR="00A15990" w:rsidRDefault="00686A62">
            <w:pPr>
              <w:pStyle w:val="P68B1DB1-Normal23"/>
              <w:spacing w:after="0"/>
              <w:jc w:val="center"/>
              <w:rPr>
                <w:noProof/>
              </w:rPr>
            </w:pPr>
            <w:r>
              <w:rPr>
                <w:noProof/>
              </w:rPr>
              <w:t>RE-C03-i07-RAA</w:t>
            </w:r>
          </w:p>
        </w:tc>
        <w:tc>
          <w:tcPr>
            <w:tcW w:w="1520" w:type="dxa"/>
            <w:tcBorders>
              <w:top w:val="nil"/>
              <w:left w:val="nil"/>
              <w:bottom w:val="single" w:sz="4" w:space="0" w:color="auto"/>
              <w:right w:val="single" w:sz="4" w:space="0" w:color="auto"/>
            </w:tcBorders>
            <w:shd w:val="clear" w:color="auto" w:fill="C4EFCE"/>
            <w:vAlign w:val="center"/>
            <w:hideMark/>
          </w:tcPr>
          <w:p w14:paraId="44DC7A47" w14:textId="77777777" w:rsidR="00A15990" w:rsidRDefault="00686A62">
            <w:pPr>
              <w:pStyle w:val="P68B1DB1-Normal23"/>
              <w:spacing w:after="0"/>
              <w:jc w:val="center"/>
              <w:rPr>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94BDFBE" w14:textId="77777777" w:rsidR="00A15990" w:rsidRDefault="00686A62">
            <w:pPr>
              <w:pStyle w:val="P68B1DB1-Normal23"/>
              <w:spacing w:after="0"/>
              <w:jc w:val="both"/>
              <w:rPr>
                <w:rFonts w:eastAsia="Calibri" w:cs="Calibri"/>
                <w:noProof/>
              </w:rPr>
            </w:pPr>
            <w:r>
              <w:rPr>
                <w:noProof/>
              </w:rPr>
              <w:t>Locuri extinse sau renovate în centre de îngrijire de tip rezidențial</w:t>
            </w:r>
          </w:p>
        </w:tc>
      </w:tr>
      <w:tr w:rsidR="00A15990" w14:paraId="528550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A61B90" w14:textId="77777777" w:rsidR="00A15990" w:rsidRDefault="00686A62">
            <w:pPr>
              <w:pStyle w:val="P68B1DB1-Normal23"/>
              <w:spacing w:after="0"/>
              <w:jc w:val="center"/>
              <w:rPr>
                <w:noProof/>
              </w:rPr>
            </w:pPr>
            <w:r>
              <w:rPr>
                <w:noProof/>
              </w:rPr>
              <w:t>3.30</w:t>
            </w:r>
          </w:p>
        </w:tc>
        <w:tc>
          <w:tcPr>
            <w:tcW w:w="1760" w:type="dxa"/>
            <w:tcBorders>
              <w:top w:val="nil"/>
              <w:left w:val="nil"/>
              <w:bottom w:val="single" w:sz="4" w:space="0" w:color="auto"/>
              <w:right w:val="single" w:sz="4" w:space="0" w:color="auto"/>
            </w:tcBorders>
            <w:shd w:val="clear" w:color="auto" w:fill="C4EFCE"/>
            <w:vAlign w:val="center"/>
            <w:hideMark/>
          </w:tcPr>
          <w:p w14:paraId="4E7C355C" w14:textId="77777777" w:rsidR="00A15990" w:rsidRDefault="00686A62">
            <w:pPr>
              <w:pStyle w:val="P68B1DB1-Normal23"/>
              <w:spacing w:after="0"/>
              <w:jc w:val="center"/>
              <w:rPr>
                <w:noProof/>
              </w:rPr>
            </w:pPr>
            <w:r>
              <w:rPr>
                <w:noProof/>
              </w:rPr>
              <w:t>RE-C03-r38</w:t>
            </w:r>
          </w:p>
        </w:tc>
        <w:tc>
          <w:tcPr>
            <w:tcW w:w="1520" w:type="dxa"/>
            <w:tcBorders>
              <w:top w:val="nil"/>
              <w:left w:val="nil"/>
              <w:bottom w:val="single" w:sz="4" w:space="0" w:color="auto"/>
              <w:right w:val="single" w:sz="4" w:space="0" w:color="auto"/>
            </w:tcBorders>
            <w:shd w:val="clear" w:color="auto" w:fill="C4EFCE"/>
            <w:vAlign w:val="center"/>
            <w:hideMark/>
          </w:tcPr>
          <w:p w14:paraId="0E17E04B" w14:textId="77777777" w:rsidR="00A15990" w:rsidRDefault="00686A62">
            <w:pPr>
              <w:pStyle w:val="P68B1DB1-Normal23"/>
              <w:spacing w:after="0"/>
              <w:jc w:val="center"/>
              <w:rPr>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50456DE" w14:textId="77777777" w:rsidR="00A15990" w:rsidRDefault="00686A62">
            <w:pPr>
              <w:pStyle w:val="P68B1DB1-Normal23"/>
              <w:spacing w:after="0"/>
              <w:jc w:val="both"/>
              <w:rPr>
                <w:rFonts w:eastAsia="Calibri" w:cs="Calibri"/>
                <w:noProof/>
              </w:rPr>
            </w:pPr>
            <w:r>
              <w:rPr>
                <w:noProof/>
              </w:rPr>
              <w:t>Intrarea în vigoare a prestației sociale unice (în cadrul sistemului de protecție socială a cetățeniei) și a Codului prestațiilor sociale</w:t>
            </w:r>
          </w:p>
        </w:tc>
      </w:tr>
      <w:tr w:rsidR="00A15990" w14:paraId="3397C6F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656E29" w14:textId="77777777" w:rsidR="00A15990" w:rsidRDefault="00686A62">
            <w:pPr>
              <w:pStyle w:val="P68B1DB1-Normal23"/>
              <w:spacing w:after="0"/>
              <w:jc w:val="center"/>
              <w:rPr>
                <w:rFonts w:eastAsia="Calibri" w:cs="Calibri"/>
                <w:noProof/>
              </w:rPr>
            </w:pPr>
            <w:r>
              <w:rPr>
                <w:noProof/>
              </w:rPr>
              <w:t>4.4</w:t>
            </w:r>
          </w:p>
        </w:tc>
        <w:tc>
          <w:tcPr>
            <w:tcW w:w="1760" w:type="dxa"/>
            <w:tcBorders>
              <w:top w:val="nil"/>
              <w:left w:val="nil"/>
              <w:bottom w:val="single" w:sz="4" w:space="0" w:color="auto"/>
              <w:right w:val="single" w:sz="4" w:space="0" w:color="auto"/>
            </w:tcBorders>
            <w:shd w:val="clear" w:color="auto" w:fill="C4EFCE"/>
            <w:vAlign w:val="center"/>
            <w:hideMark/>
          </w:tcPr>
          <w:p w14:paraId="514007D7" w14:textId="77777777" w:rsidR="00A15990" w:rsidRDefault="00686A62">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2079A0FE"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521FA99" w14:textId="77777777" w:rsidR="00A15990" w:rsidRDefault="00686A62">
            <w:pPr>
              <w:pStyle w:val="P68B1DB1-Normal23"/>
              <w:spacing w:after="0"/>
              <w:jc w:val="both"/>
              <w:rPr>
                <w:rFonts w:eastAsia="Calibri" w:cs="Calibri"/>
                <w:noProof/>
              </w:rPr>
            </w:pPr>
            <w:r>
              <w:rPr>
                <w:noProof/>
              </w:rPr>
              <w:t>Furnizarea unei infrastructuri tehnologice modernizate pentru rețeaua de infrastructuri culturale</w:t>
            </w:r>
          </w:p>
        </w:tc>
      </w:tr>
      <w:tr w:rsidR="00A15990" w14:paraId="22480C7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0B94759" w14:textId="77777777" w:rsidR="00A15990" w:rsidRDefault="00686A62">
            <w:pPr>
              <w:pStyle w:val="P68B1DB1-Normal23"/>
              <w:spacing w:after="0"/>
              <w:jc w:val="center"/>
              <w:rPr>
                <w:rFonts w:eastAsia="Calibri" w:cs="Calibri"/>
                <w:noProof/>
              </w:rPr>
            </w:pPr>
            <w:r>
              <w:rPr>
                <w:noProof/>
              </w:rPr>
              <w:t>4.8</w:t>
            </w:r>
          </w:p>
        </w:tc>
        <w:tc>
          <w:tcPr>
            <w:tcW w:w="1760" w:type="dxa"/>
            <w:tcBorders>
              <w:top w:val="nil"/>
              <w:left w:val="nil"/>
              <w:bottom w:val="single" w:sz="4" w:space="0" w:color="auto"/>
              <w:right w:val="single" w:sz="4" w:space="0" w:color="auto"/>
            </w:tcBorders>
            <w:shd w:val="clear" w:color="auto" w:fill="C4EFCE"/>
            <w:vAlign w:val="center"/>
            <w:hideMark/>
          </w:tcPr>
          <w:p w14:paraId="3EF31C11" w14:textId="77777777" w:rsidR="00A15990" w:rsidRDefault="00686A62">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0F887FE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29ED46D" w14:textId="77777777" w:rsidR="00A15990" w:rsidRDefault="00686A62">
            <w:pPr>
              <w:pStyle w:val="P68B1DB1-Normal23"/>
              <w:spacing w:after="0"/>
              <w:jc w:val="both"/>
              <w:rPr>
                <w:rFonts w:eastAsia="Calibri" w:cs="Calibri"/>
                <w:noProof/>
              </w:rPr>
            </w:pPr>
            <w:r>
              <w:rPr>
                <w:noProof/>
              </w:rPr>
              <w:t>Lucrări finalizate pentru reabilitarea și conservarea clădirilor din patrimoniul cultural și a teatrelor naționale</w:t>
            </w:r>
          </w:p>
        </w:tc>
      </w:tr>
      <w:tr w:rsidR="00A15990" w14:paraId="6AE61A9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13649D" w14:textId="77777777" w:rsidR="00A15990" w:rsidRDefault="00686A62">
            <w:pPr>
              <w:pStyle w:val="P68B1DB1-Normal23"/>
              <w:spacing w:after="0"/>
              <w:jc w:val="center"/>
              <w:rPr>
                <w:rFonts w:eastAsia="Calibri" w:cs="Calibri"/>
                <w:noProof/>
              </w:rPr>
            </w:pPr>
            <w:r>
              <w:rPr>
                <w:noProof/>
              </w:rPr>
              <w:t>4.10</w:t>
            </w:r>
          </w:p>
        </w:tc>
        <w:tc>
          <w:tcPr>
            <w:tcW w:w="1760" w:type="dxa"/>
            <w:tcBorders>
              <w:top w:val="nil"/>
              <w:left w:val="nil"/>
              <w:bottom w:val="single" w:sz="4" w:space="0" w:color="auto"/>
              <w:right w:val="single" w:sz="4" w:space="0" w:color="auto"/>
            </w:tcBorders>
            <w:shd w:val="clear" w:color="auto" w:fill="C4EFCE"/>
            <w:vAlign w:val="center"/>
            <w:hideMark/>
          </w:tcPr>
          <w:p w14:paraId="20079FAC" w14:textId="77777777" w:rsidR="00A15990" w:rsidRDefault="00686A62">
            <w:pPr>
              <w:pStyle w:val="P68B1DB1-Normal23"/>
              <w:spacing w:after="0"/>
              <w:jc w:val="center"/>
              <w:rPr>
                <w:rFonts w:eastAsia="Calibri" w:cs="Calibri"/>
                <w:noProof/>
              </w:rPr>
            </w:pPr>
            <w:r>
              <w:rPr>
                <w:noProof/>
              </w:rPr>
              <w:t>RE-C04-i01</w:t>
            </w:r>
          </w:p>
        </w:tc>
        <w:tc>
          <w:tcPr>
            <w:tcW w:w="1520" w:type="dxa"/>
            <w:tcBorders>
              <w:top w:val="nil"/>
              <w:left w:val="nil"/>
              <w:bottom w:val="single" w:sz="4" w:space="0" w:color="auto"/>
              <w:right w:val="single" w:sz="4" w:space="0" w:color="auto"/>
            </w:tcBorders>
            <w:shd w:val="clear" w:color="auto" w:fill="C4EFCE"/>
            <w:vAlign w:val="center"/>
            <w:hideMark/>
          </w:tcPr>
          <w:p w14:paraId="5F854BA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B3E1B2" w14:textId="77777777" w:rsidR="00A15990" w:rsidRDefault="00686A62">
            <w:pPr>
              <w:pStyle w:val="P68B1DB1-Normal23"/>
              <w:spacing w:after="0"/>
              <w:jc w:val="both"/>
              <w:rPr>
                <w:rFonts w:eastAsia="Calibri" w:cs="Calibri"/>
                <w:noProof/>
              </w:rPr>
            </w:pPr>
            <w:r>
              <w:rPr>
                <w:noProof/>
              </w:rPr>
              <w:t>Livrarea de echipamente pentru instalarea Arhivei Naționale de Sound și pentru modernizarea tehnologică a laboratoarelor publice</w:t>
            </w:r>
          </w:p>
        </w:tc>
      </w:tr>
      <w:tr w:rsidR="00A15990" w14:paraId="26B43C5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8970426" w14:textId="77777777" w:rsidR="00A15990" w:rsidRDefault="00686A62">
            <w:pPr>
              <w:pStyle w:val="P68B1DB1-Normal23"/>
              <w:spacing w:after="0"/>
              <w:jc w:val="center"/>
              <w:rPr>
                <w:rFonts w:eastAsia="Calibri" w:cs="Calibri"/>
                <w:noProof/>
              </w:rPr>
            </w:pPr>
            <w:r>
              <w:rPr>
                <w:noProof/>
              </w:rPr>
              <w:t>4.12</w:t>
            </w:r>
          </w:p>
        </w:tc>
        <w:tc>
          <w:tcPr>
            <w:tcW w:w="1760" w:type="dxa"/>
            <w:tcBorders>
              <w:top w:val="nil"/>
              <w:left w:val="nil"/>
              <w:bottom w:val="single" w:sz="4" w:space="0" w:color="auto"/>
              <w:right w:val="single" w:sz="4" w:space="0" w:color="auto"/>
            </w:tcBorders>
            <w:shd w:val="clear" w:color="auto" w:fill="C4EFCE"/>
            <w:vAlign w:val="center"/>
            <w:hideMark/>
          </w:tcPr>
          <w:p w14:paraId="7486F1DB" w14:textId="77777777" w:rsidR="00A15990" w:rsidRDefault="00686A62">
            <w:pPr>
              <w:pStyle w:val="P68B1DB1-Normal23"/>
              <w:spacing w:after="0"/>
              <w:jc w:val="center"/>
              <w:rPr>
                <w:rFonts w:eastAsia="Calibri" w:cs="Calibri"/>
                <w:noProof/>
              </w:rPr>
            </w:pPr>
            <w:r>
              <w:rPr>
                <w:noProof/>
              </w:rPr>
              <w:t>RE-C04-i02</w:t>
            </w:r>
          </w:p>
        </w:tc>
        <w:tc>
          <w:tcPr>
            <w:tcW w:w="1520" w:type="dxa"/>
            <w:tcBorders>
              <w:top w:val="nil"/>
              <w:left w:val="nil"/>
              <w:bottom w:val="single" w:sz="4" w:space="0" w:color="auto"/>
              <w:right w:val="single" w:sz="4" w:space="0" w:color="auto"/>
            </w:tcBorders>
            <w:shd w:val="clear" w:color="auto" w:fill="C4EFCE"/>
            <w:vAlign w:val="center"/>
            <w:hideMark/>
          </w:tcPr>
          <w:p w14:paraId="77F94668"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10EFAB2" w14:textId="77777777" w:rsidR="00A15990" w:rsidRDefault="00686A62">
            <w:pPr>
              <w:pStyle w:val="P68B1DB1-Normal23"/>
              <w:spacing w:after="0"/>
              <w:jc w:val="both"/>
              <w:rPr>
                <w:rFonts w:eastAsia="Calibri" w:cs="Calibri"/>
                <w:noProof/>
              </w:rPr>
            </w:pPr>
            <w:r>
              <w:rPr>
                <w:noProof/>
              </w:rPr>
              <w:t>Finalizarea construcției Arhivei Naționale de Sound</w:t>
            </w:r>
          </w:p>
        </w:tc>
      </w:tr>
      <w:tr w:rsidR="00A15990" w14:paraId="2415A55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B7B4F29" w14:textId="77777777" w:rsidR="00A15990" w:rsidRDefault="00686A62">
            <w:pPr>
              <w:pStyle w:val="P68B1DB1-Normal23"/>
              <w:spacing w:after="0"/>
              <w:jc w:val="center"/>
              <w:rPr>
                <w:rFonts w:eastAsia="Calibri" w:cs="Calibri"/>
                <w:noProof/>
              </w:rPr>
            </w:pPr>
            <w:r>
              <w:rPr>
                <w:noProof/>
              </w:rPr>
              <w:t>5.36</w:t>
            </w:r>
          </w:p>
        </w:tc>
        <w:tc>
          <w:tcPr>
            <w:tcW w:w="1760" w:type="dxa"/>
            <w:tcBorders>
              <w:top w:val="nil"/>
              <w:left w:val="nil"/>
              <w:bottom w:val="single" w:sz="4" w:space="0" w:color="auto"/>
              <w:right w:val="single" w:sz="4" w:space="0" w:color="auto"/>
            </w:tcBorders>
            <w:shd w:val="clear" w:color="auto" w:fill="C4EFCE"/>
            <w:vAlign w:val="center"/>
            <w:hideMark/>
          </w:tcPr>
          <w:p w14:paraId="7498C044" w14:textId="77777777" w:rsidR="00A15990" w:rsidRDefault="00686A62">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2314F1F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5930437" w14:textId="77777777" w:rsidR="00A15990" w:rsidRDefault="00686A62">
            <w:pPr>
              <w:pStyle w:val="P68B1DB1-Normal23"/>
              <w:spacing w:after="0"/>
              <w:jc w:val="both"/>
              <w:rPr>
                <w:rFonts w:eastAsia="Calibri" w:cs="Calibri"/>
                <w:noProof/>
              </w:rPr>
            </w:pPr>
            <w:r>
              <w:rPr>
                <w:noProof/>
              </w:rPr>
              <w:t>Finalizarea proiectelor din cadrul programului C &amp;Dîn administrația publică și a unor noi cursuri pe Platforma națională pentru cursuri online în masă (NAU)</w:t>
            </w:r>
          </w:p>
        </w:tc>
      </w:tr>
      <w:tr w:rsidR="00A15990" w14:paraId="3F7C914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D75FCDC" w14:textId="77777777" w:rsidR="00A15990" w:rsidRDefault="00686A62">
            <w:pPr>
              <w:pStyle w:val="P68B1DB1-Normal23"/>
              <w:spacing w:after="0"/>
              <w:jc w:val="center"/>
              <w:rPr>
                <w:rFonts w:eastAsia="Calibri" w:cs="Calibri"/>
                <w:noProof/>
              </w:rPr>
            </w:pPr>
            <w:r>
              <w:rPr>
                <w:noProof/>
              </w:rPr>
              <w:t>5.38</w:t>
            </w:r>
          </w:p>
        </w:tc>
        <w:tc>
          <w:tcPr>
            <w:tcW w:w="1760" w:type="dxa"/>
            <w:tcBorders>
              <w:top w:val="nil"/>
              <w:left w:val="nil"/>
              <w:bottom w:val="single" w:sz="4" w:space="0" w:color="auto"/>
              <w:right w:val="single" w:sz="4" w:space="0" w:color="auto"/>
            </w:tcBorders>
            <w:shd w:val="clear" w:color="auto" w:fill="C4EFCE"/>
            <w:vAlign w:val="center"/>
            <w:hideMark/>
          </w:tcPr>
          <w:p w14:paraId="62726B79" w14:textId="77777777" w:rsidR="00A15990" w:rsidRDefault="00686A62">
            <w:pPr>
              <w:pStyle w:val="P68B1DB1-Normal23"/>
              <w:spacing w:after="0"/>
              <w:jc w:val="center"/>
              <w:rPr>
                <w:rFonts w:eastAsia="Calibri" w:cs="Calibri"/>
                <w:noProof/>
              </w:rPr>
            </w:pPr>
            <w:r>
              <w:rPr>
                <w:noProof/>
              </w:rPr>
              <w:t>RE-C05-i08</w:t>
            </w:r>
          </w:p>
        </w:tc>
        <w:tc>
          <w:tcPr>
            <w:tcW w:w="1520" w:type="dxa"/>
            <w:tcBorders>
              <w:top w:val="nil"/>
              <w:left w:val="nil"/>
              <w:bottom w:val="single" w:sz="4" w:space="0" w:color="auto"/>
              <w:right w:val="single" w:sz="4" w:space="0" w:color="auto"/>
            </w:tcBorders>
            <w:shd w:val="clear" w:color="auto" w:fill="C4EFCE"/>
            <w:vAlign w:val="center"/>
            <w:hideMark/>
          </w:tcPr>
          <w:p w14:paraId="5A91DBFE"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8B193B7" w14:textId="18BBE676" w:rsidR="00A15990" w:rsidRDefault="00686A62">
            <w:pPr>
              <w:pStyle w:val="P68B1DB1-Normal23"/>
              <w:spacing w:after="0"/>
              <w:jc w:val="both"/>
              <w:rPr>
                <w:rFonts w:eastAsia="Calibri" w:cs="Calibri"/>
                <w:noProof/>
              </w:rPr>
            </w:pPr>
            <w:r>
              <w:rPr>
                <w:noProof/>
              </w:rPr>
              <w:t>Finalizarea infrastructurii de sprijin și a centrului de date pentru Centrul național de calcul avansat</w:t>
            </w:r>
          </w:p>
        </w:tc>
      </w:tr>
      <w:tr w:rsidR="00A15990" w14:paraId="0D66E2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8DEE4D5" w14:textId="77777777" w:rsidR="00A15990" w:rsidRDefault="00686A62">
            <w:pPr>
              <w:pStyle w:val="P68B1DB1-Normal23"/>
              <w:spacing w:after="0"/>
              <w:jc w:val="center"/>
              <w:rPr>
                <w:rFonts w:eastAsia="Calibri" w:cs="Calibri"/>
                <w:noProof/>
              </w:rPr>
            </w:pPr>
            <w:r>
              <w:rPr>
                <w:noProof/>
              </w:rPr>
              <w:t>6.19</w:t>
            </w:r>
          </w:p>
        </w:tc>
        <w:tc>
          <w:tcPr>
            <w:tcW w:w="1760" w:type="dxa"/>
            <w:tcBorders>
              <w:top w:val="nil"/>
              <w:left w:val="nil"/>
              <w:bottom w:val="single" w:sz="4" w:space="0" w:color="auto"/>
              <w:right w:val="single" w:sz="4" w:space="0" w:color="auto"/>
            </w:tcBorders>
            <w:shd w:val="clear" w:color="auto" w:fill="C4EFCE"/>
            <w:vAlign w:val="center"/>
            <w:hideMark/>
          </w:tcPr>
          <w:p w14:paraId="09FD7927" w14:textId="77777777" w:rsidR="00A15990" w:rsidRDefault="00686A62">
            <w:pPr>
              <w:pStyle w:val="P68B1DB1-Normal23"/>
              <w:spacing w:after="0"/>
              <w:jc w:val="center"/>
              <w:rPr>
                <w:rFonts w:eastAsia="Calibri" w:cs="Calibri"/>
                <w:noProof/>
              </w:rPr>
            </w:pPr>
            <w:r>
              <w:rPr>
                <w:noProof/>
              </w:rPr>
              <w:t>RE-C06-i06</w:t>
            </w:r>
          </w:p>
        </w:tc>
        <w:tc>
          <w:tcPr>
            <w:tcW w:w="1520" w:type="dxa"/>
            <w:tcBorders>
              <w:top w:val="nil"/>
              <w:left w:val="nil"/>
              <w:bottom w:val="single" w:sz="4" w:space="0" w:color="auto"/>
              <w:right w:val="single" w:sz="4" w:space="0" w:color="auto"/>
            </w:tcBorders>
            <w:shd w:val="clear" w:color="auto" w:fill="C4EFCE"/>
            <w:vAlign w:val="center"/>
            <w:hideMark/>
          </w:tcPr>
          <w:p w14:paraId="5C1D825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31F28A3" w14:textId="77777777" w:rsidR="00A15990" w:rsidRDefault="00686A62">
            <w:pPr>
              <w:pStyle w:val="P68B1DB1-Normal23"/>
              <w:spacing w:after="0"/>
              <w:jc w:val="both"/>
              <w:rPr>
                <w:rFonts w:eastAsia="Calibri" w:cs="Calibri"/>
                <w:noProof/>
              </w:rPr>
            </w:pPr>
            <w:r>
              <w:rPr>
                <w:noProof/>
              </w:rPr>
              <w:t>Sprijin pentru contracte permanente cu cercetători doctoranzi în cadrul FCT-Tenure și sprijin pentru cercetători în cadrul CEC Portugalia</w:t>
            </w:r>
          </w:p>
        </w:tc>
      </w:tr>
      <w:tr w:rsidR="00A15990" w14:paraId="00F72F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F1BDB7D" w14:textId="77777777" w:rsidR="00A15990" w:rsidRDefault="00686A62">
            <w:pPr>
              <w:pStyle w:val="P68B1DB1-Normal23"/>
              <w:spacing w:after="0"/>
              <w:jc w:val="center"/>
              <w:rPr>
                <w:rFonts w:eastAsia="Calibri" w:cs="Calibri"/>
                <w:noProof/>
              </w:rPr>
            </w:pPr>
            <w:r>
              <w:rPr>
                <w:noProof/>
              </w:rPr>
              <w:t>6.20</w:t>
            </w:r>
          </w:p>
        </w:tc>
        <w:tc>
          <w:tcPr>
            <w:tcW w:w="1760" w:type="dxa"/>
            <w:tcBorders>
              <w:top w:val="nil"/>
              <w:left w:val="nil"/>
              <w:bottom w:val="single" w:sz="4" w:space="0" w:color="auto"/>
              <w:right w:val="single" w:sz="4" w:space="0" w:color="auto"/>
            </w:tcBorders>
            <w:shd w:val="clear" w:color="auto" w:fill="C4EFCE"/>
            <w:vAlign w:val="center"/>
            <w:hideMark/>
          </w:tcPr>
          <w:p w14:paraId="2AC011E5" w14:textId="77777777" w:rsidR="00A15990" w:rsidRDefault="00686A62">
            <w:pPr>
              <w:pStyle w:val="P68B1DB1-Normal23"/>
              <w:spacing w:after="0"/>
              <w:jc w:val="center"/>
              <w:rPr>
                <w:rFonts w:eastAsia="Calibri" w:cs="Calibri"/>
                <w:noProof/>
              </w:rPr>
            </w:pPr>
            <w:r>
              <w:rPr>
                <w:noProof/>
              </w:rPr>
              <w:t>RE-C06-i06</w:t>
            </w:r>
          </w:p>
        </w:tc>
        <w:tc>
          <w:tcPr>
            <w:tcW w:w="1520" w:type="dxa"/>
            <w:tcBorders>
              <w:top w:val="nil"/>
              <w:left w:val="nil"/>
              <w:bottom w:val="single" w:sz="4" w:space="0" w:color="auto"/>
              <w:right w:val="single" w:sz="4" w:space="0" w:color="auto"/>
            </w:tcBorders>
            <w:shd w:val="clear" w:color="auto" w:fill="C4EFCE"/>
            <w:vAlign w:val="center"/>
            <w:hideMark/>
          </w:tcPr>
          <w:p w14:paraId="257B3C9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3D0EBEA" w14:textId="77777777" w:rsidR="00A15990" w:rsidRDefault="00686A62">
            <w:pPr>
              <w:pStyle w:val="P68B1DB1-Normal23"/>
              <w:spacing w:after="0"/>
              <w:jc w:val="both"/>
              <w:rPr>
                <w:rFonts w:eastAsia="Calibri" w:cs="Calibri"/>
                <w:noProof/>
              </w:rPr>
            </w:pPr>
            <w:r>
              <w:rPr>
                <w:noProof/>
              </w:rPr>
              <w:t>Parteneriate internaționale în domeniul științei, tehnologiei și inovării: Sprijinirea parteneriatelor internaționale; Proiecte de C &amp;Isprijinită; Sprijin pentru mobilitatea internațională</w:t>
            </w:r>
          </w:p>
        </w:tc>
      </w:tr>
      <w:tr w:rsidR="00A15990" w14:paraId="1808226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5D9898C" w14:textId="77777777" w:rsidR="00A15990" w:rsidRDefault="00686A62">
            <w:pPr>
              <w:pStyle w:val="P68B1DB1-Normal23"/>
              <w:spacing w:after="0"/>
              <w:jc w:val="center"/>
              <w:rPr>
                <w:rFonts w:eastAsia="Calibri" w:cs="Calibri"/>
                <w:noProof/>
              </w:rPr>
            </w:pPr>
            <w:r>
              <w:rPr>
                <w:noProof/>
              </w:rPr>
              <w:t>6.21</w:t>
            </w:r>
          </w:p>
        </w:tc>
        <w:tc>
          <w:tcPr>
            <w:tcW w:w="1760" w:type="dxa"/>
            <w:tcBorders>
              <w:top w:val="nil"/>
              <w:left w:val="nil"/>
              <w:bottom w:val="single" w:sz="4" w:space="0" w:color="auto"/>
              <w:right w:val="single" w:sz="4" w:space="0" w:color="auto"/>
            </w:tcBorders>
            <w:shd w:val="clear" w:color="auto" w:fill="C4EFCE"/>
            <w:vAlign w:val="center"/>
            <w:hideMark/>
          </w:tcPr>
          <w:p w14:paraId="257E7C2E" w14:textId="77777777" w:rsidR="00A15990" w:rsidRDefault="00686A62">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006EB82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29BA4A5" w14:textId="2E25EB52" w:rsidR="00A15990" w:rsidRDefault="00686A62">
            <w:pPr>
              <w:pStyle w:val="P68B1DB1-Normal23"/>
              <w:spacing w:after="0"/>
              <w:jc w:val="both"/>
              <w:rPr>
                <w:rFonts w:eastAsia="Calibri" w:cs="Calibri"/>
                <w:noProof/>
              </w:rPr>
            </w:pPr>
            <w:r>
              <w:rPr>
                <w:noProof/>
              </w:rPr>
              <w:t>Modernizarea tehnologică și digitală a științelor agrare: Reforma programei de studii în domeniul științelor agrare, deschiderea școlilor agricole pentru elevii din învățământul secundar și recalificarea profesioniștilor</w:t>
            </w:r>
          </w:p>
        </w:tc>
      </w:tr>
      <w:tr w:rsidR="00A15990" w14:paraId="2CF11C7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B1D7A14" w14:textId="77777777" w:rsidR="00A15990" w:rsidRDefault="00686A62">
            <w:pPr>
              <w:pStyle w:val="P68B1DB1-Normal23"/>
              <w:spacing w:after="0"/>
              <w:jc w:val="center"/>
              <w:rPr>
                <w:rFonts w:eastAsia="Calibri" w:cs="Calibri"/>
                <w:noProof/>
              </w:rPr>
            </w:pPr>
            <w:r>
              <w:rPr>
                <w:noProof/>
              </w:rPr>
              <w:t>6.22</w:t>
            </w:r>
          </w:p>
        </w:tc>
        <w:tc>
          <w:tcPr>
            <w:tcW w:w="1760" w:type="dxa"/>
            <w:tcBorders>
              <w:top w:val="nil"/>
              <w:left w:val="nil"/>
              <w:bottom w:val="single" w:sz="4" w:space="0" w:color="auto"/>
              <w:right w:val="single" w:sz="4" w:space="0" w:color="auto"/>
            </w:tcBorders>
            <w:shd w:val="clear" w:color="auto" w:fill="C4EFCE"/>
            <w:vAlign w:val="center"/>
            <w:hideMark/>
          </w:tcPr>
          <w:p w14:paraId="04E119E0" w14:textId="77777777" w:rsidR="00A15990" w:rsidRDefault="00686A62">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4AAA5A3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4543139" w14:textId="77777777" w:rsidR="00A15990" w:rsidRDefault="00686A62">
            <w:pPr>
              <w:pStyle w:val="P68B1DB1-Normal23"/>
              <w:spacing w:after="0"/>
              <w:jc w:val="both"/>
              <w:rPr>
                <w:rFonts w:eastAsia="Calibri" w:cs="Calibri"/>
                <w:noProof/>
              </w:rPr>
            </w:pPr>
            <w:r>
              <w:rPr>
                <w:noProof/>
              </w:rPr>
              <w:t>Modernizarea medicinei</w:t>
            </w:r>
          </w:p>
        </w:tc>
      </w:tr>
      <w:tr w:rsidR="00A15990" w14:paraId="59F233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DEDDDF" w14:textId="77777777" w:rsidR="00A15990" w:rsidRDefault="00686A62">
            <w:pPr>
              <w:pStyle w:val="P68B1DB1-Normal23"/>
              <w:spacing w:after="0"/>
              <w:jc w:val="center"/>
              <w:rPr>
                <w:rFonts w:eastAsia="Calibri" w:cs="Calibri"/>
                <w:noProof/>
              </w:rPr>
            </w:pPr>
            <w:r>
              <w:rPr>
                <w:noProof/>
              </w:rPr>
              <w:t>6.23</w:t>
            </w:r>
          </w:p>
        </w:tc>
        <w:tc>
          <w:tcPr>
            <w:tcW w:w="1760" w:type="dxa"/>
            <w:tcBorders>
              <w:top w:val="nil"/>
              <w:left w:val="nil"/>
              <w:bottom w:val="single" w:sz="4" w:space="0" w:color="auto"/>
              <w:right w:val="single" w:sz="4" w:space="0" w:color="auto"/>
            </w:tcBorders>
            <w:shd w:val="clear" w:color="auto" w:fill="C4EFCE"/>
            <w:vAlign w:val="center"/>
            <w:hideMark/>
          </w:tcPr>
          <w:p w14:paraId="58F29485" w14:textId="77777777" w:rsidR="00A15990" w:rsidRDefault="00686A62">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6D388A5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D20AF4F" w14:textId="77777777" w:rsidR="00A15990" w:rsidRDefault="00686A62">
            <w:pPr>
              <w:pStyle w:val="P68B1DB1-Normal23"/>
              <w:spacing w:after="0"/>
              <w:jc w:val="both"/>
              <w:rPr>
                <w:rFonts w:eastAsia="Calibri" w:cs="Calibri"/>
                <w:noProof/>
              </w:rPr>
            </w:pPr>
            <w:r>
              <w:rPr>
                <w:noProof/>
              </w:rPr>
              <w:t>Consolidarea competențelor digitale</w:t>
            </w:r>
          </w:p>
        </w:tc>
      </w:tr>
      <w:tr w:rsidR="00A15990" w14:paraId="4628545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B9D7342" w14:textId="77777777" w:rsidR="00A15990" w:rsidRDefault="00686A62">
            <w:pPr>
              <w:pStyle w:val="P68B1DB1-Normal23"/>
              <w:spacing w:after="0"/>
              <w:jc w:val="center"/>
              <w:rPr>
                <w:rFonts w:eastAsia="Calibri" w:cs="Calibri"/>
                <w:noProof/>
              </w:rPr>
            </w:pPr>
            <w:r>
              <w:rPr>
                <w:noProof/>
              </w:rPr>
              <w:t>6.25</w:t>
            </w:r>
          </w:p>
        </w:tc>
        <w:tc>
          <w:tcPr>
            <w:tcW w:w="1760" w:type="dxa"/>
            <w:tcBorders>
              <w:top w:val="nil"/>
              <w:left w:val="nil"/>
              <w:bottom w:val="single" w:sz="4" w:space="0" w:color="auto"/>
              <w:right w:val="single" w:sz="4" w:space="0" w:color="auto"/>
            </w:tcBorders>
            <w:shd w:val="clear" w:color="auto" w:fill="C4EFCE"/>
            <w:vAlign w:val="center"/>
            <w:hideMark/>
          </w:tcPr>
          <w:p w14:paraId="225B7648" w14:textId="77777777" w:rsidR="00A15990" w:rsidRDefault="00686A62">
            <w:pPr>
              <w:pStyle w:val="P68B1DB1-Normal23"/>
              <w:spacing w:after="0"/>
              <w:jc w:val="center"/>
              <w:rPr>
                <w:rFonts w:eastAsia="Calibri" w:cs="Calibri"/>
                <w:noProof/>
              </w:rPr>
            </w:pPr>
            <w:r>
              <w:rPr>
                <w:noProof/>
              </w:rPr>
              <w:t>RE-C06-i07</w:t>
            </w:r>
          </w:p>
        </w:tc>
        <w:tc>
          <w:tcPr>
            <w:tcW w:w="1520" w:type="dxa"/>
            <w:tcBorders>
              <w:top w:val="nil"/>
              <w:left w:val="nil"/>
              <w:bottom w:val="single" w:sz="4" w:space="0" w:color="auto"/>
              <w:right w:val="single" w:sz="4" w:space="0" w:color="auto"/>
            </w:tcBorders>
            <w:shd w:val="clear" w:color="auto" w:fill="C4EFCE"/>
            <w:vAlign w:val="center"/>
            <w:hideMark/>
          </w:tcPr>
          <w:p w14:paraId="29D570B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50E32E" w14:textId="77777777" w:rsidR="00A15990" w:rsidRDefault="00686A62">
            <w:pPr>
              <w:pStyle w:val="P68B1DB1-Normal23"/>
              <w:spacing w:after="0"/>
              <w:jc w:val="both"/>
              <w:rPr>
                <w:rFonts w:eastAsia="Calibri" w:cs="Calibri"/>
                <w:noProof/>
              </w:rPr>
            </w:pPr>
            <w:r>
              <w:rPr>
                <w:noProof/>
              </w:rPr>
              <w:t>Inovarea și modernizarea pedagogică în învățământul superior</w:t>
            </w:r>
          </w:p>
        </w:tc>
      </w:tr>
      <w:tr w:rsidR="00A15990" w14:paraId="542E2DD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4389EE5" w14:textId="77777777" w:rsidR="00A15990" w:rsidRDefault="00686A62">
            <w:pPr>
              <w:pStyle w:val="P68B1DB1-Normal23"/>
              <w:spacing w:after="0"/>
              <w:jc w:val="center"/>
              <w:rPr>
                <w:rFonts w:eastAsia="Calibri" w:cs="Calibri"/>
                <w:noProof/>
              </w:rPr>
            </w:pPr>
            <w:r>
              <w:rPr>
                <w:noProof/>
              </w:rPr>
              <w:t>6.27</w:t>
            </w:r>
          </w:p>
        </w:tc>
        <w:tc>
          <w:tcPr>
            <w:tcW w:w="1760" w:type="dxa"/>
            <w:tcBorders>
              <w:top w:val="nil"/>
              <w:left w:val="nil"/>
              <w:bottom w:val="single" w:sz="4" w:space="0" w:color="auto"/>
              <w:right w:val="single" w:sz="4" w:space="0" w:color="auto"/>
            </w:tcBorders>
            <w:shd w:val="clear" w:color="auto" w:fill="C4EFCE"/>
            <w:vAlign w:val="center"/>
            <w:hideMark/>
          </w:tcPr>
          <w:p w14:paraId="5B347262" w14:textId="167A3DA3" w:rsidR="00A15990" w:rsidRDefault="00686A62">
            <w:pPr>
              <w:pStyle w:val="P68B1DB1-Normal23"/>
              <w:spacing w:after="0"/>
              <w:jc w:val="center"/>
              <w:rPr>
                <w:rFonts w:eastAsia="Calibri" w:cs="Calibri"/>
                <w:noProof/>
              </w:rPr>
            </w:pPr>
            <w:r>
              <w:rPr>
                <w:noProof/>
              </w:rPr>
              <w:t>RE-C06-i08-RAM</w:t>
            </w:r>
          </w:p>
        </w:tc>
        <w:tc>
          <w:tcPr>
            <w:tcW w:w="1520" w:type="dxa"/>
            <w:tcBorders>
              <w:top w:val="nil"/>
              <w:left w:val="nil"/>
              <w:bottom w:val="single" w:sz="4" w:space="0" w:color="auto"/>
              <w:right w:val="single" w:sz="4" w:space="0" w:color="auto"/>
            </w:tcBorders>
            <w:shd w:val="clear" w:color="auto" w:fill="C4EFCE"/>
            <w:vAlign w:val="center"/>
            <w:hideMark/>
          </w:tcPr>
          <w:p w14:paraId="0615067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FA626DF" w14:textId="77777777" w:rsidR="00A15990" w:rsidRDefault="00686A62">
            <w:pPr>
              <w:pStyle w:val="P68B1DB1-Normal23"/>
              <w:spacing w:after="0"/>
              <w:jc w:val="both"/>
              <w:rPr>
                <w:rFonts w:eastAsia="Calibri" w:cs="Calibri"/>
                <w:noProof/>
              </w:rPr>
            </w:pPr>
            <w:r>
              <w:rPr>
                <w:noProof/>
              </w:rPr>
              <w:t>Lucrări finalizate pentru extinderea clădirii CITMA</w:t>
            </w:r>
          </w:p>
        </w:tc>
      </w:tr>
      <w:tr w:rsidR="00A15990" w14:paraId="22766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AA0D863" w14:textId="77777777" w:rsidR="00A15990" w:rsidRDefault="00686A62">
            <w:pPr>
              <w:pStyle w:val="P68B1DB1-Normal23"/>
              <w:spacing w:after="0"/>
              <w:jc w:val="center"/>
              <w:rPr>
                <w:rFonts w:eastAsia="Calibri" w:cs="Calibri"/>
                <w:noProof/>
              </w:rPr>
            </w:pPr>
            <w:r>
              <w:rPr>
                <w:noProof/>
              </w:rPr>
              <w:t>7.15</w:t>
            </w:r>
          </w:p>
        </w:tc>
        <w:tc>
          <w:tcPr>
            <w:tcW w:w="1760" w:type="dxa"/>
            <w:tcBorders>
              <w:top w:val="nil"/>
              <w:left w:val="nil"/>
              <w:bottom w:val="single" w:sz="4" w:space="0" w:color="auto"/>
              <w:right w:val="single" w:sz="4" w:space="0" w:color="auto"/>
            </w:tcBorders>
            <w:shd w:val="clear" w:color="auto" w:fill="C4EFCE"/>
            <w:vAlign w:val="center"/>
            <w:hideMark/>
          </w:tcPr>
          <w:p w14:paraId="579A148C" w14:textId="77777777" w:rsidR="00A15990" w:rsidRDefault="00686A62">
            <w:pPr>
              <w:pStyle w:val="P68B1DB1-Normal23"/>
              <w:spacing w:after="0"/>
              <w:jc w:val="center"/>
              <w:rPr>
                <w:rFonts w:eastAsia="Calibri" w:cs="Calibri"/>
                <w:noProof/>
              </w:rPr>
            </w:pPr>
            <w:r>
              <w:rPr>
                <w:noProof/>
              </w:rPr>
              <w:t>RE-C07-i05-RAA</w:t>
            </w:r>
          </w:p>
        </w:tc>
        <w:tc>
          <w:tcPr>
            <w:tcW w:w="1520" w:type="dxa"/>
            <w:tcBorders>
              <w:top w:val="nil"/>
              <w:left w:val="nil"/>
              <w:bottom w:val="single" w:sz="4" w:space="0" w:color="auto"/>
              <w:right w:val="single" w:sz="4" w:space="0" w:color="auto"/>
            </w:tcBorders>
            <w:shd w:val="clear" w:color="auto" w:fill="C4EFCE"/>
            <w:vAlign w:val="center"/>
            <w:hideMark/>
          </w:tcPr>
          <w:p w14:paraId="4D131CB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14295B7" w14:textId="77777777" w:rsidR="00A15990" w:rsidRDefault="00686A62">
            <w:pPr>
              <w:pStyle w:val="P68B1DB1-Normal23"/>
              <w:spacing w:after="0"/>
              <w:jc w:val="both"/>
              <w:rPr>
                <w:rFonts w:eastAsia="Calibri" w:cs="Calibri"/>
                <w:noProof/>
              </w:rPr>
            </w:pPr>
            <w:r>
              <w:rPr>
                <w:noProof/>
              </w:rPr>
              <w:t>Drumuri construite sau reabilitate</w:t>
            </w:r>
          </w:p>
        </w:tc>
      </w:tr>
      <w:tr w:rsidR="00A15990" w14:paraId="718FC24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47A7A1F" w14:textId="77777777" w:rsidR="00A15990" w:rsidRDefault="00686A62">
            <w:pPr>
              <w:pStyle w:val="P68B1DB1-Normal23"/>
              <w:spacing w:after="0"/>
              <w:jc w:val="center"/>
              <w:rPr>
                <w:rFonts w:eastAsia="Calibri" w:cs="Calibri"/>
                <w:noProof/>
              </w:rPr>
            </w:pPr>
            <w:r>
              <w:rPr>
                <w:noProof/>
              </w:rPr>
              <w:t>9.2</w:t>
            </w:r>
          </w:p>
        </w:tc>
        <w:tc>
          <w:tcPr>
            <w:tcW w:w="1760" w:type="dxa"/>
            <w:tcBorders>
              <w:top w:val="nil"/>
              <w:left w:val="nil"/>
              <w:bottom w:val="single" w:sz="4" w:space="0" w:color="auto"/>
              <w:right w:val="single" w:sz="4" w:space="0" w:color="auto"/>
            </w:tcBorders>
            <w:shd w:val="clear" w:color="auto" w:fill="C4EFCE"/>
            <w:vAlign w:val="center"/>
            <w:hideMark/>
          </w:tcPr>
          <w:p w14:paraId="59ABCBA1" w14:textId="77777777" w:rsidR="00A15990" w:rsidRDefault="00686A62">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2EAFCD8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96DBA45" w14:textId="77777777" w:rsidR="00A15990" w:rsidRDefault="00686A62">
            <w:pPr>
              <w:pStyle w:val="P68B1DB1-Normal23"/>
              <w:spacing w:after="0"/>
              <w:jc w:val="both"/>
              <w:rPr>
                <w:rFonts w:eastAsia="Calibri" w:cs="Calibri"/>
                <w:noProof/>
              </w:rPr>
            </w:pPr>
            <w:r>
              <w:rPr>
                <w:noProof/>
              </w:rPr>
              <w:t>Finalizarea intervențiilor în rețea pentru reducerea pierderilor de apă (SM1)</w:t>
            </w:r>
          </w:p>
        </w:tc>
      </w:tr>
      <w:tr w:rsidR="00A15990" w14:paraId="37AC4EF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E10FD" w14:textId="77777777" w:rsidR="00A15990" w:rsidRDefault="00686A62">
            <w:pPr>
              <w:pStyle w:val="P68B1DB1-Normal23"/>
              <w:spacing w:after="0"/>
              <w:jc w:val="center"/>
              <w:rPr>
                <w:rFonts w:eastAsia="Calibri" w:cs="Calibri"/>
                <w:noProof/>
              </w:rPr>
            </w:pPr>
            <w:r>
              <w:rPr>
                <w:noProof/>
              </w:rPr>
              <w:t>9.3</w:t>
            </w:r>
          </w:p>
        </w:tc>
        <w:tc>
          <w:tcPr>
            <w:tcW w:w="1760" w:type="dxa"/>
            <w:tcBorders>
              <w:top w:val="nil"/>
              <w:left w:val="nil"/>
              <w:bottom w:val="single" w:sz="4" w:space="0" w:color="auto"/>
              <w:right w:val="single" w:sz="4" w:space="0" w:color="auto"/>
            </w:tcBorders>
            <w:shd w:val="clear" w:color="auto" w:fill="C4EFCE"/>
            <w:vAlign w:val="center"/>
            <w:hideMark/>
          </w:tcPr>
          <w:p w14:paraId="237E8E0F" w14:textId="77777777" w:rsidR="00A15990" w:rsidRDefault="00686A62">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91C884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6A3DEEE" w14:textId="77777777" w:rsidR="00A15990" w:rsidRDefault="00686A62">
            <w:pPr>
              <w:pStyle w:val="P68B1DB1-Normal23"/>
              <w:spacing w:after="0"/>
              <w:jc w:val="both"/>
              <w:rPr>
                <w:rFonts w:eastAsia="Calibri" w:cs="Calibri"/>
                <w:noProof/>
              </w:rPr>
            </w:pPr>
            <w:r>
              <w:rPr>
                <w:noProof/>
              </w:rPr>
              <w:t>Modernizarea suprafeței de teren cu utilizare hidro-agricolă colectivă și irigații individuale (SM2)</w:t>
            </w:r>
          </w:p>
        </w:tc>
      </w:tr>
      <w:tr w:rsidR="00A15990" w14:paraId="6F7B77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85D3E67" w14:textId="77777777" w:rsidR="00A15990" w:rsidRDefault="00686A62">
            <w:pPr>
              <w:pStyle w:val="P68B1DB1-Normal23"/>
              <w:spacing w:after="0"/>
              <w:jc w:val="center"/>
              <w:rPr>
                <w:rFonts w:eastAsia="Calibri" w:cs="Calibri"/>
                <w:noProof/>
              </w:rPr>
            </w:pPr>
            <w:r>
              <w:rPr>
                <w:noProof/>
              </w:rPr>
              <w:t>9.4</w:t>
            </w:r>
          </w:p>
        </w:tc>
        <w:tc>
          <w:tcPr>
            <w:tcW w:w="1760" w:type="dxa"/>
            <w:tcBorders>
              <w:top w:val="nil"/>
              <w:left w:val="nil"/>
              <w:bottom w:val="single" w:sz="4" w:space="0" w:color="auto"/>
              <w:right w:val="single" w:sz="4" w:space="0" w:color="auto"/>
            </w:tcBorders>
            <w:shd w:val="clear" w:color="auto" w:fill="C4EFCE"/>
            <w:vAlign w:val="center"/>
            <w:hideMark/>
          </w:tcPr>
          <w:p w14:paraId="5C2FE0DD" w14:textId="77777777" w:rsidR="00A15990" w:rsidRDefault="00686A62">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33D26A42"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A433600" w14:textId="77777777" w:rsidR="00A15990" w:rsidRDefault="00686A62">
            <w:pPr>
              <w:pStyle w:val="P68B1DB1-Normal23"/>
              <w:spacing w:after="0"/>
              <w:jc w:val="both"/>
              <w:rPr>
                <w:rFonts w:eastAsia="Calibri" w:cs="Calibri"/>
                <w:noProof/>
              </w:rPr>
            </w:pPr>
            <w:r>
              <w:rPr>
                <w:noProof/>
              </w:rPr>
              <w:t>Numărul de stații de epurare pentru a asigura producția și rafinarea apelor uzate epurate (SM4)</w:t>
            </w:r>
          </w:p>
        </w:tc>
      </w:tr>
      <w:tr w:rsidR="00A15990" w14:paraId="1D13C9B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EA5C54B" w14:textId="77777777" w:rsidR="00A15990" w:rsidRDefault="00686A62">
            <w:pPr>
              <w:pStyle w:val="P68B1DB1-Normal23"/>
              <w:spacing w:after="0"/>
              <w:jc w:val="center"/>
              <w:rPr>
                <w:rFonts w:eastAsia="Calibri" w:cs="Calibri"/>
                <w:noProof/>
              </w:rPr>
            </w:pPr>
            <w:r>
              <w:rPr>
                <w:noProof/>
              </w:rPr>
              <w:t>9.6</w:t>
            </w:r>
          </w:p>
        </w:tc>
        <w:tc>
          <w:tcPr>
            <w:tcW w:w="1760" w:type="dxa"/>
            <w:tcBorders>
              <w:top w:val="nil"/>
              <w:left w:val="nil"/>
              <w:bottom w:val="single" w:sz="4" w:space="0" w:color="auto"/>
              <w:right w:val="single" w:sz="4" w:space="0" w:color="auto"/>
            </w:tcBorders>
            <w:shd w:val="clear" w:color="auto" w:fill="C4EFCE"/>
            <w:vAlign w:val="center"/>
            <w:hideMark/>
          </w:tcPr>
          <w:p w14:paraId="688EB844" w14:textId="77777777" w:rsidR="00A15990" w:rsidRDefault="00686A62">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64009CE"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1C4FC67" w14:textId="77777777" w:rsidR="00A15990" w:rsidRDefault="00686A62">
            <w:pPr>
              <w:pStyle w:val="P68B1DB1-Normal23"/>
              <w:spacing w:after="0"/>
              <w:jc w:val="both"/>
              <w:rPr>
                <w:rFonts w:eastAsia="Calibri" w:cs="Calibri"/>
                <w:noProof/>
              </w:rPr>
            </w:pPr>
            <w:r>
              <w:rPr>
                <w:noProof/>
              </w:rPr>
              <w:t>Punerea în funcțiune a captării în Guadiana, respectând pe deplin rezultatele și condițiile stabilite în evaluarea impactului asupra mediului (SM5)</w:t>
            </w:r>
          </w:p>
        </w:tc>
      </w:tr>
      <w:tr w:rsidR="00A15990" w14:paraId="00AC9B8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B2E6A91" w14:textId="77777777" w:rsidR="00A15990" w:rsidRDefault="00686A62">
            <w:pPr>
              <w:pStyle w:val="P68B1DB1-Normal23"/>
              <w:spacing w:after="0"/>
              <w:jc w:val="center"/>
              <w:rPr>
                <w:rFonts w:eastAsia="Calibri" w:cs="Calibri"/>
                <w:noProof/>
              </w:rPr>
            </w:pPr>
            <w:r>
              <w:rPr>
                <w:noProof/>
              </w:rPr>
              <w:t>9.8</w:t>
            </w:r>
          </w:p>
        </w:tc>
        <w:tc>
          <w:tcPr>
            <w:tcW w:w="1760" w:type="dxa"/>
            <w:tcBorders>
              <w:top w:val="nil"/>
              <w:left w:val="nil"/>
              <w:bottom w:val="single" w:sz="4" w:space="0" w:color="auto"/>
              <w:right w:val="single" w:sz="4" w:space="0" w:color="auto"/>
            </w:tcBorders>
            <w:shd w:val="clear" w:color="auto" w:fill="C4EFCE"/>
            <w:vAlign w:val="center"/>
            <w:hideMark/>
          </w:tcPr>
          <w:p w14:paraId="5EBB0488" w14:textId="77777777" w:rsidR="00A15990" w:rsidRDefault="00686A62">
            <w:pPr>
              <w:pStyle w:val="P68B1DB1-Normal23"/>
              <w:spacing w:after="0"/>
              <w:jc w:val="center"/>
              <w:rPr>
                <w:rFonts w:eastAsia="Calibri" w:cs="Calibri"/>
                <w:noProof/>
              </w:rPr>
            </w:pPr>
            <w:r>
              <w:rPr>
                <w:noProof/>
              </w:rPr>
              <w:t>RE-C09-i01</w:t>
            </w:r>
          </w:p>
        </w:tc>
        <w:tc>
          <w:tcPr>
            <w:tcW w:w="1520" w:type="dxa"/>
            <w:tcBorders>
              <w:top w:val="nil"/>
              <w:left w:val="nil"/>
              <w:bottom w:val="single" w:sz="4" w:space="0" w:color="auto"/>
              <w:right w:val="single" w:sz="4" w:space="0" w:color="auto"/>
            </w:tcBorders>
            <w:shd w:val="clear" w:color="auto" w:fill="C4EFCE"/>
            <w:vAlign w:val="center"/>
            <w:hideMark/>
          </w:tcPr>
          <w:p w14:paraId="47A9B6AA"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4D168C1" w14:textId="0C32D8AF" w:rsidR="00A15990" w:rsidRDefault="00686A62">
            <w:pPr>
              <w:pStyle w:val="P68B1DB1-Normal23"/>
              <w:spacing w:after="0"/>
              <w:jc w:val="both"/>
              <w:rPr>
                <w:rFonts w:eastAsia="Calibri" w:cs="Calibri"/>
                <w:noProof/>
              </w:rPr>
            </w:pPr>
            <w:r>
              <w:rPr>
                <w:noProof/>
              </w:rPr>
              <w:t>Punerea în funcțiune a măsurii de desalinizare, cu respectarea deplină a rezultatelor și a condițiilor stabilite în evaluarea impactului asupra mediului (SM6)</w:t>
            </w:r>
          </w:p>
        </w:tc>
      </w:tr>
      <w:tr w:rsidR="00A15990" w14:paraId="2BDB914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8D6E3E7" w14:textId="77777777" w:rsidR="00A15990" w:rsidRDefault="00686A62">
            <w:pPr>
              <w:pStyle w:val="P68B1DB1-Normal23"/>
              <w:spacing w:after="0"/>
              <w:jc w:val="center"/>
              <w:rPr>
                <w:rFonts w:eastAsia="Calibri" w:cs="Calibri"/>
                <w:noProof/>
              </w:rPr>
            </w:pPr>
            <w:r>
              <w:rPr>
                <w:noProof/>
              </w:rPr>
              <w:t>10.10</w:t>
            </w:r>
          </w:p>
        </w:tc>
        <w:tc>
          <w:tcPr>
            <w:tcW w:w="1760" w:type="dxa"/>
            <w:tcBorders>
              <w:top w:val="nil"/>
              <w:left w:val="nil"/>
              <w:bottom w:val="single" w:sz="4" w:space="0" w:color="auto"/>
              <w:right w:val="single" w:sz="4" w:space="0" w:color="auto"/>
            </w:tcBorders>
            <w:shd w:val="clear" w:color="auto" w:fill="C4EFCE"/>
            <w:vAlign w:val="center"/>
            <w:hideMark/>
          </w:tcPr>
          <w:p w14:paraId="66F203A9" w14:textId="77777777" w:rsidR="00A15990" w:rsidRDefault="00686A62">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6D83619A"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644450C5" w14:textId="77777777" w:rsidR="00A15990" w:rsidRDefault="00686A62">
            <w:pPr>
              <w:pStyle w:val="P68B1DB1-Normal23"/>
              <w:spacing w:after="0"/>
              <w:jc w:val="both"/>
              <w:rPr>
                <w:rFonts w:eastAsia="Calibri" w:cs="Calibri"/>
                <w:noProof/>
              </w:rPr>
            </w:pPr>
            <w:r>
              <w:rPr>
                <w:noProof/>
              </w:rPr>
              <w:t xml:space="preserve">Operaționalizarea centrului experimental de cercetare și dezvoltare legat de Marea Azore (centrul MARTEC) </w:t>
            </w:r>
          </w:p>
        </w:tc>
      </w:tr>
      <w:tr w:rsidR="00A15990" w14:paraId="12909A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1610000" w14:textId="77777777" w:rsidR="00A15990" w:rsidRDefault="00686A62">
            <w:pPr>
              <w:pStyle w:val="P68B1DB1-Normal23"/>
              <w:spacing w:after="0"/>
              <w:jc w:val="center"/>
              <w:rPr>
                <w:rFonts w:eastAsia="Calibri" w:cs="Calibri"/>
                <w:noProof/>
              </w:rPr>
            </w:pPr>
            <w:r>
              <w:rPr>
                <w:noProof/>
              </w:rPr>
              <w:t>10.11</w:t>
            </w:r>
          </w:p>
        </w:tc>
        <w:tc>
          <w:tcPr>
            <w:tcW w:w="1760" w:type="dxa"/>
            <w:tcBorders>
              <w:top w:val="nil"/>
              <w:left w:val="nil"/>
              <w:bottom w:val="single" w:sz="4" w:space="0" w:color="auto"/>
              <w:right w:val="single" w:sz="4" w:space="0" w:color="auto"/>
            </w:tcBorders>
            <w:shd w:val="clear" w:color="auto" w:fill="C4EFCE"/>
            <w:vAlign w:val="center"/>
            <w:hideMark/>
          </w:tcPr>
          <w:p w14:paraId="2149C41D" w14:textId="77777777" w:rsidR="00A15990" w:rsidRDefault="00686A62">
            <w:pPr>
              <w:pStyle w:val="P68B1DB1-Normal23"/>
              <w:spacing w:after="0"/>
              <w:jc w:val="center"/>
              <w:rPr>
                <w:rFonts w:eastAsia="Calibri" w:cs="Calibri"/>
                <w:noProof/>
              </w:rPr>
            </w:pPr>
            <w:r>
              <w:rPr>
                <w:noProof/>
              </w:rPr>
              <w:t>TC-C10-i04-RAA</w:t>
            </w:r>
          </w:p>
        </w:tc>
        <w:tc>
          <w:tcPr>
            <w:tcW w:w="1520" w:type="dxa"/>
            <w:tcBorders>
              <w:top w:val="nil"/>
              <w:left w:val="nil"/>
              <w:bottom w:val="single" w:sz="4" w:space="0" w:color="auto"/>
              <w:right w:val="single" w:sz="4" w:space="0" w:color="auto"/>
            </w:tcBorders>
            <w:shd w:val="clear" w:color="auto" w:fill="C4EFCE"/>
            <w:vAlign w:val="center"/>
            <w:hideMark/>
          </w:tcPr>
          <w:p w14:paraId="25F54449"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D495D64" w14:textId="77777777" w:rsidR="00A15990" w:rsidRDefault="00686A62">
            <w:pPr>
              <w:pStyle w:val="P68B1DB1-Normal23"/>
              <w:spacing w:after="0"/>
              <w:jc w:val="both"/>
              <w:rPr>
                <w:rFonts w:eastAsia="Calibri" w:cs="Calibri"/>
                <w:noProof/>
              </w:rPr>
            </w:pPr>
            <w:r>
              <w:rPr>
                <w:noProof/>
              </w:rPr>
              <w:t>Livrarea a 2 module pentru noua navă de cercetare</w:t>
            </w:r>
          </w:p>
        </w:tc>
      </w:tr>
      <w:tr w:rsidR="00A15990" w14:paraId="58CCDB4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070AF37" w14:textId="77777777" w:rsidR="00A15990" w:rsidRDefault="00686A62">
            <w:pPr>
              <w:pStyle w:val="P68B1DB1-Normal23"/>
              <w:spacing w:after="0"/>
              <w:jc w:val="center"/>
              <w:rPr>
                <w:rFonts w:eastAsia="Calibri" w:cs="Calibri"/>
                <w:noProof/>
              </w:rPr>
            </w:pPr>
            <w:r>
              <w:rPr>
                <w:noProof/>
              </w:rPr>
              <w:t>10.12</w:t>
            </w:r>
          </w:p>
        </w:tc>
        <w:tc>
          <w:tcPr>
            <w:tcW w:w="1760" w:type="dxa"/>
            <w:tcBorders>
              <w:top w:val="nil"/>
              <w:left w:val="nil"/>
              <w:bottom w:val="single" w:sz="4" w:space="0" w:color="auto"/>
              <w:right w:val="single" w:sz="4" w:space="0" w:color="auto"/>
            </w:tcBorders>
            <w:shd w:val="clear" w:color="auto" w:fill="C4EFCE"/>
            <w:vAlign w:val="center"/>
            <w:hideMark/>
          </w:tcPr>
          <w:p w14:paraId="0DFEBA2F" w14:textId="77777777" w:rsidR="00A15990" w:rsidRDefault="00686A62">
            <w:pPr>
              <w:pStyle w:val="P68B1DB1-Normal23"/>
              <w:spacing w:after="0"/>
              <w:jc w:val="center"/>
              <w:rPr>
                <w:rFonts w:eastAsia="Calibri" w:cs="Calibri"/>
                <w:noProof/>
              </w:rPr>
            </w:pPr>
            <w:r>
              <w:rPr>
                <w:noProof/>
              </w:rPr>
              <w:t>TC-C10-i05-RAA</w:t>
            </w:r>
          </w:p>
        </w:tc>
        <w:tc>
          <w:tcPr>
            <w:tcW w:w="1520" w:type="dxa"/>
            <w:tcBorders>
              <w:top w:val="nil"/>
              <w:left w:val="nil"/>
              <w:bottom w:val="single" w:sz="4" w:space="0" w:color="auto"/>
              <w:right w:val="single" w:sz="4" w:space="0" w:color="auto"/>
            </w:tcBorders>
            <w:shd w:val="clear" w:color="auto" w:fill="C4EFCE"/>
            <w:vAlign w:val="center"/>
            <w:hideMark/>
          </w:tcPr>
          <w:p w14:paraId="0039517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F68158" w14:textId="77777777" w:rsidR="00A15990" w:rsidRDefault="00686A62">
            <w:pPr>
              <w:pStyle w:val="P68B1DB1-Normal23"/>
              <w:spacing w:after="0"/>
              <w:jc w:val="both"/>
              <w:rPr>
                <w:rFonts w:eastAsia="Calibri" w:cs="Calibri"/>
                <w:noProof/>
              </w:rPr>
            </w:pPr>
            <w:r>
              <w:rPr>
                <w:noProof/>
              </w:rPr>
              <w:t xml:space="preserve">Finalizarea proiectelor din sectorul pescuitului și acvaculturii </w:t>
            </w:r>
          </w:p>
        </w:tc>
      </w:tr>
      <w:tr w:rsidR="00A15990" w14:paraId="675CEDE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604C72C" w14:textId="77777777" w:rsidR="00A15990" w:rsidRDefault="00686A62">
            <w:pPr>
              <w:pStyle w:val="P68B1DB1-Normal23"/>
              <w:spacing w:after="0"/>
              <w:jc w:val="center"/>
              <w:rPr>
                <w:rFonts w:eastAsia="Calibri" w:cs="Calibri"/>
                <w:noProof/>
              </w:rPr>
            </w:pPr>
            <w:r>
              <w:rPr>
                <w:noProof/>
              </w:rPr>
              <w:t>10.14</w:t>
            </w:r>
          </w:p>
        </w:tc>
        <w:tc>
          <w:tcPr>
            <w:tcW w:w="1760" w:type="dxa"/>
            <w:tcBorders>
              <w:top w:val="nil"/>
              <w:left w:val="nil"/>
              <w:bottom w:val="single" w:sz="4" w:space="0" w:color="auto"/>
              <w:right w:val="single" w:sz="4" w:space="0" w:color="auto"/>
            </w:tcBorders>
            <w:shd w:val="clear" w:color="auto" w:fill="C4EFCE"/>
            <w:vAlign w:val="center"/>
            <w:hideMark/>
          </w:tcPr>
          <w:p w14:paraId="4059CC69" w14:textId="77777777" w:rsidR="00A15990" w:rsidRDefault="00686A62">
            <w:pPr>
              <w:pStyle w:val="P68B1DB1-Normal23"/>
              <w:spacing w:after="0"/>
              <w:jc w:val="center"/>
              <w:rPr>
                <w:rFonts w:eastAsia="Calibri" w:cs="Calibri"/>
                <w:noProof/>
              </w:rPr>
            </w:pPr>
            <w:r>
              <w:rPr>
                <w:noProof/>
              </w:rPr>
              <w:t>TC-C10-i06-RAM</w:t>
            </w:r>
          </w:p>
        </w:tc>
        <w:tc>
          <w:tcPr>
            <w:tcW w:w="1520" w:type="dxa"/>
            <w:tcBorders>
              <w:top w:val="nil"/>
              <w:left w:val="nil"/>
              <w:bottom w:val="single" w:sz="4" w:space="0" w:color="auto"/>
              <w:right w:val="single" w:sz="4" w:space="0" w:color="auto"/>
            </w:tcBorders>
            <w:shd w:val="clear" w:color="auto" w:fill="C4EFCE"/>
            <w:vAlign w:val="center"/>
            <w:hideMark/>
          </w:tcPr>
          <w:p w14:paraId="5003A16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36549ECD" w14:textId="77777777" w:rsidR="00A15990" w:rsidRDefault="00686A62">
            <w:pPr>
              <w:pStyle w:val="P68B1DB1-Normal23"/>
              <w:spacing w:after="0"/>
              <w:jc w:val="both"/>
              <w:rPr>
                <w:rFonts w:eastAsia="Calibri" w:cs="Calibri"/>
                <w:noProof/>
              </w:rPr>
            </w:pPr>
            <w:r>
              <w:rPr>
                <w:noProof/>
              </w:rPr>
              <w:t>Livrarea unei nave de cercetare polivalente eficiente din punct de vedere energetic</w:t>
            </w:r>
          </w:p>
        </w:tc>
      </w:tr>
      <w:tr w:rsidR="00A15990" w14:paraId="782F16D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731F58B5" w14:textId="77777777" w:rsidR="00A15990" w:rsidRDefault="00686A62">
            <w:pPr>
              <w:pStyle w:val="P68B1DB1-Normal23"/>
              <w:spacing w:after="0"/>
              <w:jc w:val="center"/>
              <w:rPr>
                <w:rFonts w:eastAsia="Calibri" w:cs="Calibri"/>
                <w:noProof/>
              </w:rPr>
            </w:pPr>
            <w:r>
              <w:rPr>
                <w:noProof/>
              </w:rPr>
              <w:t>14.3</w:t>
            </w:r>
          </w:p>
        </w:tc>
        <w:tc>
          <w:tcPr>
            <w:tcW w:w="1760" w:type="dxa"/>
            <w:tcBorders>
              <w:top w:val="nil"/>
              <w:left w:val="nil"/>
              <w:bottom w:val="single" w:sz="4" w:space="0" w:color="auto"/>
              <w:right w:val="single" w:sz="4" w:space="0" w:color="auto"/>
            </w:tcBorders>
            <w:shd w:val="clear" w:color="auto" w:fill="C4EFCE"/>
            <w:vAlign w:val="center"/>
            <w:hideMark/>
          </w:tcPr>
          <w:p w14:paraId="149B14E3" w14:textId="77777777" w:rsidR="00A15990" w:rsidRDefault="00686A62">
            <w:pPr>
              <w:pStyle w:val="P68B1DB1-Normal23"/>
              <w:spacing w:after="0"/>
              <w:jc w:val="center"/>
              <w:rPr>
                <w:rFonts w:eastAsia="Calibri" w:cs="Calibri"/>
                <w:noProof/>
              </w:rPr>
            </w:pPr>
            <w:r>
              <w:rPr>
                <w:noProof/>
              </w:rPr>
              <w:t>TC-C14-I01</w:t>
            </w:r>
          </w:p>
        </w:tc>
        <w:tc>
          <w:tcPr>
            <w:tcW w:w="1520" w:type="dxa"/>
            <w:tcBorders>
              <w:top w:val="nil"/>
              <w:left w:val="nil"/>
              <w:bottom w:val="single" w:sz="4" w:space="0" w:color="auto"/>
              <w:right w:val="single" w:sz="4" w:space="0" w:color="auto"/>
            </w:tcBorders>
            <w:shd w:val="clear" w:color="auto" w:fill="C4EFCE"/>
            <w:vAlign w:val="center"/>
            <w:hideMark/>
          </w:tcPr>
          <w:p w14:paraId="1C7D092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3D40777" w14:textId="77777777" w:rsidR="00A15990" w:rsidRDefault="00686A62">
            <w:pPr>
              <w:pStyle w:val="P68B1DB1-Normal23"/>
              <w:spacing w:after="0"/>
              <w:jc w:val="both"/>
              <w:rPr>
                <w:rFonts w:eastAsia="Calibri" w:cs="Calibri"/>
                <w:noProof/>
              </w:rPr>
            </w:pPr>
            <w:r>
              <w:rPr>
                <w:noProof/>
              </w:rPr>
              <w:t>Capacitate suplimentară de producție de hidrogen din surse regenerabile și de gaze din surse regenerabile</w:t>
            </w:r>
          </w:p>
        </w:tc>
      </w:tr>
      <w:tr w:rsidR="00A15990" w14:paraId="6E3719A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18C92FF" w14:textId="77777777" w:rsidR="00A15990" w:rsidRDefault="00686A62">
            <w:pPr>
              <w:pStyle w:val="P68B1DB1-Normal23"/>
              <w:spacing w:after="0"/>
              <w:jc w:val="center"/>
              <w:rPr>
                <w:rFonts w:eastAsia="Calibri" w:cs="Calibri"/>
                <w:noProof/>
              </w:rPr>
            </w:pPr>
            <w:r>
              <w:rPr>
                <w:noProof/>
              </w:rPr>
              <w:t>14.11</w:t>
            </w:r>
          </w:p>
        </w:tc>
        <w:tc>
          <w:tcPr>
            <w:tcW w:w="1760" w:type="dxa"/>
            <w:tcBorders>
              <w:top w:val="nil"/>
              <w:left w:val="nil"/>
              <w:bottom w:val="single" w:sz="4" w:space="0" w:color="auto"/>
              <w:right w:val="single" w:sz="4" w:space="0" w:color="auto"/>
            </w:tcBorders>
            <w:shd w:val="clear" w:color="auto" w:fill="C4EFCE"/>
            <w:vAlign w:val="center"/>
            <w:hideMark/>
          </w:tcPr>
          <w:p w14:paraId="48F00665" w14:textId="77777777" w:rsidR="00A15990" w:rsidRDefault="00686A62">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3B322EA7"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F348DF8" w14:textId="77777777" w:rsidR="00A15990" w:rsidRDefault="00686A62">
            <w:pPr>
              <w:pStyle w:val="P68B1DB1-Normal23"/>
              <w:spacing w:after="0"/>
              <w:jc w:val="both"/>
              <w:rPr>
                <w:rFonts w:eastAsia="Calibri" w:cs="Calibri"/>
                <w:noProof/>
              </w:rPr>
            </w:pPr>
            <w:r>
              <w:rPr>
                <w:noProof/>
              </w:rPr>
              <w:t>Capacitate de producție geotermală instalată suplimentară și renovată</w:t>
            </w:r>
          </w:p>
        </w:tc>
      </w:tr>
      <w:tr w:rsidR="00A15990" w14:paraId="5FD8198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2DF8B68" w14:textId="77777777" w:rsidR="00A15990" w:rsidRDefault="00686A62">
            <w:pPr>
              <w:pStyle w:val="P68B1DB1-Normal23"/>
              <w:spacing w:after="0"/>
              <w:jc w:val="center"/>
              <w:rPr>
                <w:rFonts w:eastAsia="Calibri" w:cs="Calibri"/>
                <w:noProof/>
              </w:rPr>
            </w:pPr>
            <w:r>
              <w:rPr>
                <w:noProof/>
              </w:rPr>
              <w:t>14.13</w:t>
            </w:r>
          </w:p>
        </w:tc>
        <w:tc>
          <w:tcPr>
            <w:tcW w:w="1760" w:type="dxa"/>
            <w:tcBorders>
              <w:top w:val="nil"/>
              <w:left w:val="nil"/>
              <w:bottom w:val="single" w:sz="4" w:space="0" w:color="auto"/>
              <w:right w:val="single" w:sz="4" w:space="0" w:color="auto"/>
            </w:tcBorders>
            <w:shd w:val="clear" w:color="auto" w:fill="C4EFCE"/>
            <w:vAlign w:val="center"/>
            <w:hideMark/>
          </w:tcPr>
          <w:p w14:paraId="64F40519" w14:textId="77777777" w:rsidR="00A15990" w:rsidRDefault="00686A62">
            <w:pPr>
              <w:pStyle w:val="P68B1DB1-Normal23"/>
              <w:spacing w:after="0"/>
              <w:jc w:val="center"/>
              <w:rPr>
                <w:rFonts w:eastAsia="Calibri" w:cs="Calibri"/>
                <w:noProof/>
              </w:rPr>
            </w:pPr>
            <w:r>
              <w:rPr>
                <w:noProof/>
              </w:rPr>
              <w:t>TC-C14-i03-RAA</w:t>
            </w:r>
          </w:p>
        </w:tc>
        <w:tc>
          <w:tcPr>
            <w:tcW w:w="1520" w:type="dxa"/>
            <w:tcBorders>
              <w:top w:val="nil"/>
              <w:left w:val="nil"/>
              <w:bottom w:val="single" w:sz="4" w:space="0" w:color="auto"/>
              <w:right w:val="single" w:sz="4" w:space="0" w:color="auto"/>
            </w:tcBorders>
            <w:shd w:val="clear" w:color="auto" w:fill="C4EFCE"/>
            <w:vAlign w:val="center"/>
            <w:hideMark/>
          </w:tcPr>
          <w:p w14:paraId="007474A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EAB61EA" w14:textId="77777777" w:rsidR="00A15990" w:rsidRDefault="00686A62">
            <w:pPr>
              <w:pStyle w:val="P68B1DB1-Normal23"/>
              <w:spacing w:after="0"/>
              <w:jc w:val="both"/>
              <w:rPr>
                <w:rFonts w:eastAsia="Calibri" w:cs="Calibri"/>
                <w:noProof/>
              </w:rPr>
            </w:pPr>
            <w:r>
              <w:rPr>
                <w:noProof/>
              </w:rPr>
              <w:t>Noi sisteme de stocare a energiei pe bază de baterii și sisteme de gestionare a energiei în ARA</w:t>
            </w:r>
          </w:p>
        </w:tc>
      </w:tr>
      <w:tr w:rsidR="00A15990" w14:paraId="3D2D7C2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5885B6" w14:textId="77777777" w:rsidR="00A15990" w:rsidRDefault="00686A62">
            <w:pPr>
              <w:pStyle w:val="P68B1DB1-Normal23"/>
              <w:spacing w:after="0"/>
              <w:jc w:val="center"/>
              <w:rPr>
                <w:rFonts w:eastAsia="Calibri" w:cs="Calibri"/>
                <w:noProof/>
              </w:rPr>
            </w:pPr>
            <w:r>
              <w:rPr>
                <w:noProof/>
              </w:rPr>
              <w:t>15.3</w:t>
            </w:r>
          </w:p>
        </w:tc>
        <w:tc>
          <w:tcPr>
            <w:tcW w:w="1760" w:type="dxa"/>
            <w:tcBorders>
              <w:top w:val="nil"/>
              <w:left w:val="nil"/>
              <w:bottom w:val="single" w:sz="4" w:space="0" w:color="auto"/>
              <w:right w:val="single" w:sz="4" w:space="0" w:color="auto"/>
            </w:tcBorders>
            <w:shd w:val="clear" w:color="auto" w:fill="C4EFCE"/>
            <w:vAlign w:val="center"/>
            <w:hideMark/>
          </w:tcPr>
          <w:p w14:paraId="5F0E4652" w14:textId="77777777" w:rsidR="00A15990" w:rsidRDefault="00686A62">
            <w:pPr>
              <w:pStyle w:val="P68B1DB1-Normal23"/>
              <w:spacing w:after="0"/>
              <w:jc w:val="center"/>
              <w:rPr>
                <w:rFonts w:eastAsia="Calibri" w:cs="Calibri"/>
                <w:noProof/>
              </w:rPr>
            </w:pPr>
            <w:r>
              <w:rPr>
                <w:noProof/>
              </w:rPr>
              <w:t>TC-C15-I01</w:t>
            </w:r>
          </w:p>
        </w:tc>
        <w:tc>
          <w:tcPr>
            <w:tcW w:w="1520" w:type="dxa"/>
            <w:tcBorders>
              <w:top w:val="nil"/>
              <w:left w:val="nil"/>
              <w:bottom w:val="single" w:sz="4" w:space="0" w:color="auto"/>
              <w:right w:val="single" w:sz="4" w:space="0" w:color="auto"/>
            </w:tcBorders>
            <w:shd w:val="clear" w:color="auto" w:fill="C4EFCE"/>
            <w:vAlign w:val="center"/>
            <w:hideMark/>
          </w:tcPr>
          <w:p w14:paraId="41ACA24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D9D0D7" w14:textId="77777777" w:rsidR="00A15990" w:rsidRDefault="00686A62">
            <w:pPr>
              <w:pStyle w:val="P68B1DB1-Normal23"/>
              <w:spacing w:after="0"/>
              <w:jc w:val="both"/>
              <w:rPr>
                <w:rFonts w:eastAsia="Calibri" w:cs="Calibri"/>
                <w:noProof/>
              </w:rPr>
            </w:pPr>
            <w:r>
              <w:rPr>
                <w:noProof/>
              </w:rPr>
              <w:t>Finalizarea extinderii rețelei de metrou din Lisabona</w:t>
            </w:r>
          </w:p>
        </w:tc>
      </w:tr>
      <w:tr w:rsidR="00A15990" w14:paraId="7EB0F83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501D3C5" w14:textId="77777777" w:rsidR="00A15990" w:rsidRDefault="00686A62">
            <w:pPr>
              <w:pStyle w:val="P68B1DB1-Normal23"/>
              <w:spacing w:after="0"/>
              <w:jc w:val="center"/>
              <w:rPr>
                <w:rFonts w:eastAsia="Calibri" w:cs="Calibri"/>
                <w:noProof/>
              </w:rPr>
            </w:pPr>
            <w:r>
              <w:rPr>
                <w:noProof/>
              </w:rPr>
              <w:t>15.6</w:t>
            </w:r>
          </w:p>
        </w:tc>
        <w:tc>
          <w:tcPr>
            <w:tcW w:w="1760" w:type="dxa"/>
            <w:tcBorders>
              <w:top w:val="nil"/>
              <w:left w:val="nil"/>
              <w:bottom w:val="single" w:sz="4" w:space="0" w:color="auto"/>
              <w:right w:val="single" w:sz="4" w:space="0" w:color="auto"/>
            </w:tcBorders>
            <w:shd w:val="clear" w:color="auto" w:fill="C4EFCE"/>
            <w:vAlign w:val="center"/>
            <w:hideMark/>
          </w:tcPr>
          <w:p w14:paraId="0225E4FE" w14:textId="77777777" w:rsidR="00A15990" w:rsidRDefault="00686A62">
            <w:pPr>
              <w:pStyle w:val="P68B1DB1-Normal23"/>
              <w:spacing w:after="0"/>
              <w:jc w:val="center"/>
              <w:rPr>
                <w:rFonts w:eastAsia="Calibri" w:cs="Calibri"/>
                <w:noProof/>
              </w:rPr>
            </w:pPr>
            <w:r>
              <w:rPr>
                <w:noProof/>
              </w:rPr>
              <w:t>TC-C15-I02</w:t>
            </w:r>
          </w:p>
        </w:tc>
        <w:tc>
          <w:tcPr>
            <w:tcW w:w="1520" w:type="dxa"/>
            <w:tcBorders>
              <w:top w:val="nil"/>
              <w:left w:val="nil"/>
              <w:bottom w:val="single" w:sz="4" w:space="0" w:color="auto"/>
              <w:right w:val="single" w:sz="4" w:space="0" w:color="auto"/>
            </w:tcBorders>
            <w:shd w:val="clear" w:color="auto" w:fill="C4EFCE"/>
            <w:vAlign w:val="center"/>
            <w:hideMark/>
          </w:tcPr>
          <w:p w14:paraId="02CE8F2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955E14C" w14:textId="77777777" w:rsidR="00A15990" w:rsidRDefault="00686A62">
            <w:pPr>
              <w:pStyle w:val="P68B1DB1-Normal23"/>
              <w:spacing w:after="0"/>
              <w:jc w:val="both"/>
              <w:rPr>
                <w:rFonts w:eastAsia="Calibri" w:cs="Calibri"/>
                <w:noProof/>
              </w:rPr>
            </w:pPr>
            <w:r>
              <w:rPr>
                <w:noProof/>
              </w:rPr>
              <w:t>Finalizarea extinderii rețelei Porto Metro</w:t>
            </w:r>
          </w:p>
        </w:tc>
      </w:tr>
      <w:tr w:rsidR="00A15990" w14:paraId="3122821F"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62E7552" w14:textId="77777777" w:rsidR="00A15990" w:rsidRDefault="00686A62">
            <w:pPr>
              <w:pStyle w:val="P68B1DB1-Normal23"/>
              <w:spacing w:after="0"/>
              <w:jc w:val="center"/>
              <w:rPr>
                <w:rFonts w:eastAsia="Calibri" w:cs="Calibri"/>
                <w:noProof/>
              </w:rPr>
            </w:pPr>
            <w:r>
              <w:rPr>
                <w:noProof/>
              </w:rPr>
              <w:t>15.16</w:t>
            </w:r>
          </w:p>
        </w:tc>
        <w:tc>
          <w:tcPr>
            <w:tcW w:w="1760" w:type="dxa"/>
            <w:tcBorders>
              <w:top w:val="nil"/>
              <w:left w:val="nil"/>
              <w:bottom w:val="single" w:sz="4" w:space="0" w:color="auto"/>
              <w:right w:val="single" w:sz="4" w:space="0" w:color="auto"/>
            </w:tcBorders>
            <w:shd w:val="clear" w:color="auto" w:fill="C4EFCE"/>
            <w:vAlign w:val="center"/>
            <w:hideMark/>
          </w:tcPr>
          <w:p w14:paraId="1F57BF01" w14:textId="77777777" w:rsidR="00A15990" w:rsidRDefault="00686A62">
            <w:pPr>
              <w:pStyle w:val="P68B1DB1-Normal23"/>
              <w:spacing w:after="0"/>
              <w:jc w:val="center"/>
              <w:rPr>
                <w:rFonts w:eastAsia="Calibri" w:cs="Calibri"/>
                <w:noProof/>
              </w:rPr>
            </w:pPr>
            <w:r>
              <w:rPr>
                <w:noProof/>
              </w:rPr>
              <w:t>TC-C15-I06</w:t>
            </w:r>
          </w:p>
        </w:tc>
        <w:tc>
          <w:tcPr>
            <w:tcW w:w="1520" w:type="dxa"/>
            <w:tcBorders>
              <w:top w:val="nil"/>
              <w:left w:val="nil"/>
              <w:bottom w:val="single" w:sz="4" w:space="0" w:color="auto"/>
              <w:right w:val="single" w:sz="4" w:space="0" w:color="auto"/>
            </w:tcBorders>
            <w:shd w:val="clear" w:color="auto" w:fill="C4EFCE"/>
            <w:vAlign w:val="center"/>
            <w:hideMark/>
          </w:tcPr>
          <w:p w14:paraId="044758A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2045CC" w14:textId="77777777" w:rsidR="00A15990" w:rsidRDefault="00686A62">
            <w:pPr>
              <w:pStyle w:val="P68B1DB1-Normal23"/>
              <w:spacing w:after="0"/>
              <w:jc w:val="both"/>
              <w:rPr>
                <w:rFonts w:eastAsia="Calibri" w:cs="Calibri"/>
                <w:noProof/>
              </w:rPr>
            </w:pPr>
            <w:r>
              <w:rPr>
                <w:noProof/>
              </w:rPr>
              <w:t>Înlocuirea liniilor de cale ferată cu sisteme de semnalizare electronică</w:t>
            </w:r>
          </w:p>
        </w:tc>
      </w:tr>
      <w:tr w:rsidR="00A15990" w14:paraId="702497F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52F7C6" w14:textId="525B27D9" w:rsidR="00A15990" w:rsidRDefault="00686A62">
            <w:pPr>
              <w:pStyle w:val="P68B1DB1-Normal23"/>
              <w:spacing w:after="0"/>
              <w:jc w:val="center"/>
              <w:rPr>
                <w:rFonts w:eastAsia="Calibri" w:cs="Calibri"/>
                <w:noProof/>
              </w:rPr>
            </w:pPr>
            <w:r>
              <w:rPr>
                <w:noProof/>
              </w:rPr>
              <w:t>16.18</w:t>
            </w:r>
          </w:p>
        </w:tc>
        <w:tc>
          <w:tcPr>
            <w:tcW w:w="1760" w:type="dxa"/>
            <w:tcBorders>
              <w:top w:val="nil"/>
              <w:left w:val="nil"/>
              <w:bottom w:val="single" w:sz="4" w:space="0" w:color="auto"/>
              <w:right w:val="single" w:sz="4" w:space="0" w:color="auto"/>
            </w:tcBorders>
            <w:shd w:val="clear" w:color="auto" w:fill="C4EFCE"/>
            <w:vAlign w:val="center"/>
          </w:tcPr>
          <w:p w14:paraId="1DF82366" w14:textId="0E1489C0" w:rsidR="00A15990" w:rsidRDefault="00686A62">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tcPr>
          <w:p w14:paraId="5372C9EF" w14:textId="44F53D0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5B9B368" w14:textId="0F330AD1" w:rsidR="00A15990" w:rsidRDefault="00686A62">
            <w:pPr>
              <w:pStyle w:val="P68B1DB1-Normal23"/>
              <w:spacing w:after="0"/>
              <w:jc w:val="both"/>
              <w:rPr>
                <w:rFonts w:eastAsia="Calibri" w:cs="Calibri"/>
                <w:noProof/>
              </w:rPr>
            </w:pPr>
            <w:r>
              <w:rPr>
                <w:noProof/>
              </w:rPr>
              <w:t>Numărul de proiecte sprijinite în cadrul Sistemului de stimulare a tranziției digitale a întreprinderilor</w:t>
            </w:r>
          </w:p>
        </w:tc>
      </w:tr>
      <w:tr w:rsidR="00A15990" w14:paraId="51C61E8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E69F07" w14:textId="77777777" w:rsidR="00A15990" w:rsidRDefault="00686A62">
            <w:pPr>
              <w:pStyle w:val="P68B1DB1-Normal23"/>
              <w:spacing w:after="0"/>
              <w:jc w:val="center"/>
              <w:rPr>
                <w:rFonts w:eastAsia="Calibri" w:cs="Calibri"/>
                <w:noProof/>
              </w:rPr>
            </w:pPr>
            <w:r>
              <w:rPr>
                <w:noProof/>
              </w:rPr>
              <w:t>16.19</w:t>
            </w:r>
          </w:p>
        </w:tc>
        <w:tc>
          <w:tcPr>
            <w:tcW w:w="1760" w:type="dxa"/>
            <w:tcBorders>
              <w:top w:val="nil"/>
              <w:left w:val="nil"/>
              <w:bottom w:val="single" w:sz="4" w:space="0" w:color="auto"/>
              <w:right w:val="single" w:sz="4" w:space="0" w:color="auto"/>
            </w:tcBorders>
            <w:shd w:val="clear" w:color="auto" w:fill="C4EFCE"/>
            <w:vAlign w:val="center"/>
            <w:hideMark/>
          </w:tcPr>
          <w:p w14:paraId="116F9920" w14:textId="147B6CDA" w:rsidR="00A15990" w:rsidRDefault="00686A62">
            <w:pPr>
              <w:pStyle w:val="P68B1DB1-Normal23"/>
              <w:spacing w:after="0"/>
              <w:jc w:val="center"/>
              <w:rPr>
                <w:rFonts w:eastAsia="Calibri" w:cs="Calibri"/>
                <w:noProof/>
              </w:rPr>
            </w:pPr>
            <w:r>
              <w:rPr>
                <w:noProof/>
              </w:rPr>
              <w:t>TD-C16-i05-RAA</w:t>
            </w:r>
          </w:p>
        </w:tc>
        <w:tc>
          <w:tcPr>
            <w:tcW w:w="1520" w:type="dxa"/>
            <w:tcBorders>
              <w:top w:val="nil"/>
              <w:left w:val="nil"/>
              <w:bottom w:val="single" w:sz="4" w:space="0" w:color="auto"/>
              <w:right w:val="single" w:sz="4" w:space="0" w:color="auto"/>
            </w:tcBorders>
            <w:shd w:val="clear" w:color="auto" w:fill="C4EFCE"/>
            <w:vAlign w:val="center"/>
            <w:hideMark/>
          </w:tcPr>
          <w:p w14:paraId="01522257"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6FC228C" w14:textId="77777777" w:rsidR="00A15990" w:rsidRDefault="00686A62">
            <w:pPr>
              <w:pStyle w:val="P68B1DB1-Normal23"/>
              <w:spacing w:after="0"/>
              <w:jc w:val="both"/>
              <w:rPr>
                <w:rFonts w:eastAsia="Calibri" w:cs="Calibri"/>
                <w:noProof/>
              </w:rPr>
            </w:pPr>
            <w:r>
              <w:rPr>
                <w:noProof/>
              </w:rPr>
              <w:t>Parcuri științifice și tehnologice extinse sau echipate</w:t>
            </w:r>
          </w:p>
        </w:tc>
      </w:tr>
      <w:tr w:rsidR="00A15990" w14:paraId="2CA2E863"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88D8219" w14:textId="77777777" w:rsidR="00A15990" w:rsidRDefault="00686A62">
            <w:pPr>
              <w:pStyle w:val="P68B1DB1-Normal23"/>
              <w:spacing w:after="0"/>
              <w:jc w:val="center"/>
              <w:rPr>
                <w:rFonts w:eastAsia="Calibri" w:cs="Calibri"/>
                <w:noProof/>
              </w:rPr>
            </w:pPr>
            <w:r>
              <w:rPr>
                <w:noProof/>
              </w:rPr>
              <w:t>17.13</w:t>
            </w:r>
          </w:p>
        </w:tc>
        <w:tc>
          <w:tcPr>
            <w:tcW w:w="1760" w:type="dxa"/>
            <w:tcBorders>
              <w:top w:val="nil"/>
              <w:left w:val="nil"/>
              <w:bottom w:val="single" w:sz="4" w:space="0" w:color="auto"/>
              <w:right w:val="single" w:sz="4" w:space="0" w:color="auto"/>
            </w:tcBorders>
            <w:shd w:val="clear" w:color="auto" w:fill="C4EFCE"/>
            <w:vAlign w:val="center"/>
            <w:hideMark/>
          </w:tcPr>
          <w:p w14:paraId="27C4D240" w14:textId="77777777" w:rsidR="00A15990" w:rsidRDefault="00686A62">
            <w:pPr>
              <w:pStyle w:val="P68B1DB1-Normal23"/>
              <w:spacing w:after="0"/>
              <w:jc w:val="center"/>
              <w:rPr>
                <w:rFonts w:eastAsia="Calibri" w:cs="Calibri"/>
                <w:noProof/>
              </w:rPr>
            </w:pPr>
            <w:r>
              <w:rPr>
                <w:noProof/>
              </w:rPr>
              <w:t>TD-C17-i01</w:t>
            </w:r>
          </w:p>
        </w:tc>
        <w:tc>
          <w:tcPr>
            <w:tcW w:w="1520" w:type="dxa"/>
            <w:tcBorders>
              <w:top w:val="nil"/>
              <w:left w:val="nil"/>
              <w:bottom w:val="single" w:sz="4" w:space="0" w:color="auto"/>
              <w:right w:val="single" w:sz="4" w:space="0" w:color="auto"/>
            </w:tcBorders>
            <w:shd w:val="clear" w:color="auto" w:fill="C4EFCE"/>
            <w:vAlign w:val="center"/>
            <w:hideMark/>
          </w:tcPr>
          <w:p w14:paraId="44C29A9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8B0AB27" w14:textId="77777777" w:rsidR="00A15990" w:rsidRDefault="00686A62">
            <w:pPr>
              <w:pStyle w:val="P68B1DB1-Normal23"/>
              <w:spacing w:after="0"/>
              <w:jc w:val="both"/>
              <w:rPr>
                <w:rFonts w:eastAsia="Calibri" w:cs="Calibri"/>
                <w:noProof/>
              </w:rPr>
            </w:pPr>
            <w:r>
              <w:rPr>
                <w:noProof/>
              </w:rPr>
              <w:t>Finalizarea punerii în aplicare a Sistemului de Gestão de Património Imobiliário Público (SIGPIP) și a modernizării sistemelor informatice pentru vehiculele deținute de stat</w:t>
            </w:r>
          </w:p>
        </w:tc>
      </w:tr>
      <w:tr w:rsidR="00A15990" w14:paraId="17F0D9F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0B9E321" w14:textId="77777777" w:rsidR="00A15990" w:rsidRDefault="00686A62">
            <w:pPr>
              <w:pStyle w:val="P68B1DB1-Normal23"/>
              <w:spacing w:after="0"/>
              <w:jc w:val="center"/>
              <w:rPr>
                <w:rFonts w:eastAsia="Calibri" w:cs="Calibri"/>
                <w:noProof/>
              </w:rPr>
            </w:pPr>
            <w:r>
              <w:rPr>
                <w:noProof/>
              </w:rPr>
              <w:t>17.25</w:t>
            </w:r>
          </w:p>
        </w:tc>
        <w:tc>
          <w:tcPr>
            <w:tcW w:w="1760" w:type="dxa"/>
            <w:tcBorders>
              <w:top w:val="nil"/>
              <w:left w:val="nil"/>
              <w:bottom w:val="single" w:sz="4" w:space="0" w:color="auto"/>
              <w:right w:val="single" w:sz="4" w:space="0" w:color="auto"/>
            </w:tcBorders>
            <w:shd w:val="clear" w:color="auto" w:fill="C4EFCE"/>
            <w:vAlign w:val="center"/>
            <w:hideMark/>
          </w:tcPr>
          <w:p w14:paraId="764B0F33" w14:textId="482904A7" w:rsidR="00A15990" w:rsidRDefault="00686A62">
            <w:pPr>
              <w:pStyle w:val="P68B1DB1-Normal23"/>
              <w:spacing w:after="0"/>
              <w:jc w:val="center"/>
              <w:rPr>
                <w:rFonts w:eastAsia="Calibri" w:cs="Calibri"/>
                <w:noProof/>
              </w:rPr>
            </w:pPr>
            <w:r>
              <w:rPr>
                <w:noProof/>
              </w:rPr>
              <w:t>TD-C17-r40</w:t>
            </w:r>
          </w:p>
        </w:tc>
        <w:tc>
          <w:tcPr>
            <w:tcW w:w="1520" w:type="dxa"/>
            <w:tcBorders>
              <w:top w:val="nil"/>
              <w:left w:val="nil"/>
              <w:bottom w:val="single" w:sz="4" w:space="0" w:color="auto"/>
              <w:right w:val="single" w:sz="4" w:space="0" w:color="auto"/>
            </w:tcBorders>
            <w:shd w:val="clear" w:color="auto" w:fill="C4EFCE"/>
            <w:vAlign w:val="center"/>
            <w:hideMark/>
          </w:tcPr>
          <w:p w14:paraId="389309C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7BEB9645" w14:textId="77777777" w:rsidR="00A15990" w:rsidRDefault="00686A62">
            <w:pPr>
              <w:pStyle w:val="P68B1DB1-Normal23"/>
              <w:spacing w:after="0"/>
              <w:jc w:val="both"/>
              <w:rPr>
                <w:rFonts w:eastAsia="Calibri" w:cs="Calibri"/>
                <w:noProof/>
              </w:rPr>
            </w:pPr>
            <w:r>
              <w:rPr>
                <w:noProof/>
              </w:rPr>
              <w:t>Intrarea în vigoare a unui act juridic în materie fiscală – avantaje</w:t>
            </w:r>
          </w:p>
        </w:tc>
      </w:tr>
      <w:tr w:rsidR="00A15990" w14:paraId="3C4237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E7A1BE" w14:textId="77777777" w:rsidR="00A15990" w:rsidRDefault="00686A62">
            <w:pPr>
              <w:pStyle w:val="P68B1DB1-Normal23"/>
              <w:spacing w:after="0"/>
              <w:jc w:val="center"/>
              <w:rPr>
                <w:rFonts w:eastAsia="Calibri" w:cs="Calibri"/>
                <w:noProof/>
              </w:rPr>
            </w:pPr>
            <w:r>
              <w:rPr>
                <w:noProof/>
              </w:rPr>
              <w:t>19.2</w:t>
            </w:r>
          </w:p>
        </w:tc>
        <w:tc>
          <w:tcPr>
            <w:tcW w:w="1760" w:type="dxa"/>
            <w:tcBorders>
              <w:top w:val="nil"/>
              <w:left w:val="nil"/>
              <w:bottom w:val="single" w:sz="4" w:space="0" w:color="auto"/>
              <w:right w:val="single" w:sz="4" w:space="0" w:color="auto"/>
            </w:tcBorders>
            <w:shd w:val="clear" w:color="auto" w:fill="C4EFCE"/>
            <w:vAlign w:val="center"/>
            <w:hideMark/>
          </w:tcPr>
          <w:p w14:paraId="0A34BFE8" w14:textId="77777777" w:rsidR="00A15990" w:rsidRDefault="00686A62">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24B2DE8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D0ECFAE" w14:textId="77777777" w:rsidR="00A15990" w:rsidRDefault="00686A62">
            <w:pPr>
              <w:pStyle w:val="P68B1DB1-Normal23"/>
              <w:spacing w:after="0"/>
              <w:jc w:val="both"/>
              <w:rPr>
                <w:rFonts w:eastAsia="Calibri" w:cs="Calibri"/>
                <w:noProof/>
              </w:rPr>
            </w:pPr>
            <w:r>
              <w:rPr>
                <w:noProof/>
              </w:rPr>
              <w:t>Servicii publice disponibile în mod simplificat și coerent prin diferite canale</w:t>
            </w:r>
          </w:p>
        </w:tc>
      </w:tr>
      <w:tr w:rsidR="00A15990" w14:paraId="30CE9AD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360BB9A" w14:textId="77777777" w:rsidR="00A15990" w:rsidRDefault="00686A62">
            <w:pPr>
              <w:pStyle w:val="P68B1DB1-Normal23"/>
              <w:spacing w:after="0"/>
              <w:jc w:val="center"/>
              <w:rPr>
                <w:rFonts w:eastAsia="Calibri" w:cs="Calibri"/>
                <w:noProof/>
              </w:rPr>
            </w:pPr>
            <w:r>
              <w:rPr>
                <w:noProof/>
              </w:rPr>
              <w:t>19.3</w:t>
            </w:r>
          </w:p>
        </w:tc>
        <w:tc>
          <w:tcPr>
            <w:tcW w:w="1760" w:type="dxa"/>
            <w:tcBorders>
              <w:top w:val="nil"/>
              <w:left w:val="nil"/>
              <w:bottom w:val="single" w:sz="4" w:space="0" w:color="auto"/>
              <w:right w:val="single" w:sz="4" w:space="0" w:color="auto"/>
            </w:tcBorders>
            <w:shd w:val="clear" w:color="auto" w:fill="C4EFCE"/>
            <w:vAlign w:val="center"/>
            <w:hideMark/>
          </w:tcPr>
          <w:p w14:paraId="4109E567" w14:textId="77777777" w:rsidR="00A15990" w:rsidRDefault="00686A62">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33B26DD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5F2BDD1D" w14:textId="77777777" w:rsidR="00A15990" w:rsidRDefault="00686A62">
            <w:pPr>
              <w:pStyle w:val="P68B1DB1-Normal23"/>
              <w:spacing w:after="0"/>
              <w:jc w:val="both"/>
              <w:rPr>
                <w:rFonts w:eastAsia="Calibri" w:cs="Calibri"/>
                <w:noProof/>
              </w:rPr>
            </w:pPr>
            <w:r>
              <w:rPr>
                <w:noProof/>
              </w:rPr>
              <w:t>Instituirea unui nou model de gestionare consulară</w:t>
            </w:r>
          </w:p>
        </w:tc>
      </w:tr>
      <w:tr w:rsidR="00A15990" w14:paraId="33DF1DAB"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1172D3C" w14:textId="77777777" w:rsidR="00A15990" w:rsidRDefault="00686A62">
            <w:pPr>
              <w:pStyle w:val="P68B1DB1-Normal23"/>
              <w:spacing w:after="0"/>
              <w:jc w:val="center"/>
              <w:rPr>
                <w:rFonts w:eastAsia="Calibri" w:cs="Calibri"/>
                <w:noProof/>
              </w:rPr>
            </w:pPr>
            <w:r>
              <w:rPr>
                <w:noProof/>
              </w:rPr>
              <w:t>19.5</w:t>
            </w:r>
          </w:p>
        </w:tc>
        <w:tc>
          <w:tcPr>
            <w:tcW w:w="1760" w:type="dxa"/>
            <w:tcBorders>
              <w:top w:val="nil"/>
              <w:left w:val="nil"/>
              <w:bottom w:val="single" w:sz="4" w:space="0" w:color="auto"/>
              <w:right w:val="single" w:sz="4" w:space="0" w:color="auto"/>
            </w:tcBorders>
            <w:shd w:val="clear" w:color="auto" w:fill="C4EFCE"/>
            <w:vAlign w:val="center"/>
            <w:hideMark/>
          </w:tcPr>
          <w:p w14:paraId="712F0553" w14:textId="77777777" w:rsidR="00A15990" w:rsidRDefault="00686A62">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33EC39A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086C0A98" w14:textId="77777777" w:rsidR="00A15990" w:rsidRDefault="00686A62">
            <w:pPr>
              <w:pStyle w:val="P68B1DB1-Normal23"/>
              <w:spacing w:after="0"/>
              <w:jc w:val="both"/>
              <w:rPr>
                <w:rFonts w:eastAsia="Calibri" w:cs="Calibri"/>
                <w:noProof/>
              </w:rPr>
            </w:pPr>
            <w:r>
              <w:rPr>
                <w:noProof/>
              </w:rPr>
              <w:t>Servicii publice accesibile în condiții de siguranță prin intermediul identității electronice și cu respectarea principiului „o singură dată”</w:t>
            </w:r>
          </w:p>
        </w:tc>
      </w:tr>
      <w:tr w:rsidR="00A15990" w14:paraId="1C29A39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18208A8" w14:textId="77777777" w:rsidR="00A15990" w:rsidRDefault="00686A62">
            <w:pPr>
              <w:pStyle w:val="P68B1DB1-Normal23"/>
              <w:spacing w:after="0"/>
              <w:jc w:val="center"/>
              <w:rPr>
                <w:rFonts w:eastAsia="Calibri" w:cs="Calibri"/>
                <w:noProof/>
              </w:rPr>
            </w:pPr>
            <w:r>
              <w:rPr>
                <w:noProof/>
              </w:rPr>
              <w:t>19.6</w:t>
            </w:r>
          </w:p>
        </w:tc>
        <w:tc>
          <w:tcPr>
            <w:tcW w:w="1760" w:type="dxa"/>
            <w:tcBorders>
              <w:top w:val="nil"/>
              <w:left w:val="nil"/>
              <w:bottom w:val="single" w:sz="4" w:space="0" w:color="auto"/>
              <w:right w:val="single" w:sz="4" w:space="0" w:color="auto"/>
            </w:tcBorders>
            <w:shd w:val="clear" w:color="auto" w:fill="C4EFCE"/>
            <w:vAlign w:val="center"/>
            <w:hideMark/>
          </w:tcPr>
          <w:p w14:paraId="4492DF36" w14:textId="77777777" w:rsidR="00A15990" w:rsidRDefault="00686A62">
            <w:pPr>
              <w:pStyle w:val="P68B1DB1-Normal23"/>
              <w:spacing w:after="0"/>
              <w:jc w:val="center"/>
              <w:rPr>
                <w:rFonts w:eastAsia="Calibri" w:cs="Calibri"/>
                <w:noProof/>
              </w:rPr>
            </w:pPr>
            <w:r>
              <w:rPr>
                <w:noProof/>
              </w:rPr>
              <w:t>TD-C19-i02</w:t>
            </w:r>
          </w:p>
        </w:tc>
        <w:tc>
          <w:tcPr>
            <w:tcW w:w="1520" w:type="dxa"/>
            <w:tcBorders>
              <w:top w:val="nil"/>
              <w:left w:val="nil"/>
              <w:bottom w:val="single" w:sz="4" w:space="0" w:color="auto"/>
              <w:right w:val="single" w:sz="4" w:space="0" w:color="auto"/>
            </w:tcBorders>
            <w:shd w:val="clear" w:color="auto" w:fill="C4EFCE"/>
            <w:vAlign w:val="center"/>
            <w:hideMark/>
          </w:tcPr>
          <w:p w14:paraId="5189EDB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37149D1" w14:textId="77777777" w:rsidR="00A15990" w:rsidRDefault="00686A62">
            <w:pPr>
              <w:pStyle w:val="P68B1DB1-Normal23"/>
              <w:spacing w:after="0"/>
              <w:jc w:val="both"/>
              <w:rPr>
                <w:rFonts w:eastAsia="Calibri" w:cs="Calibri"/>
                <w:noProof/>
              </w:rPr>
            </w:pPr>
            <w:r>
              <w:rPr>
                <w:noProof/>
              </w:rPr>
              <w:t>Infrastructura informațiilor teritoriale</w:t>
            </w:r>
          </w:p>
        </w:tc>
      </w:tr>
      <w:tr w:rsidR="00A15990" w14:paraId="30AE8AE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7537A4" w14:textId="77777777" w:rsidR="00A15990" w:rsidRDefault="00686A62">
            <w:pPr>
              <w:pStyle w:val="P68B1DB1-Normal23"/>
              <w:spacing w:after="0"/>
              <w:jc w:val="center"/>
              <w:rPr>
                <w:rFonts w:eastAsia="Calibri" w:cs="Calibri"/>
                <w:noProof/>
              </w:rPr>
            </w:pPr>
            <w:r>
              <w:rPr>
                <w:noProof/>
              </w:rPr>
              <w:t>19.7</w:t>
            </w:r>
          </w:p>
        </w:tc>
        <w:tc>
          <w:tcPr>
            <w:tcW w:w="1760" w:type="dxa"/>
            <w:tcBorders>
              <w:top w:val="nil"/>
              <w:left w:val="nil"/>
              <w:bottom w:val="single" w:sz="4" w:space="0" w:color="auto"/>
              <w:right w:val="single" w:sz="4" w:space="0" w:color="auto"/>
            </w:tcBorders>
            <w:shd w:val="clear" w:color="auto" w:fill="C4EFCE"/>
            <w:vAlign w:val="center"/>
            <w:hideMark/>
          </w:tcPr>
          <w:p w14:paraId="1FE43E03" w14:textId="77777777" w:rsidR="00A15990" w:rsidRDefault="00686A62">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122BABBF"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06869C5" w14:textId="77777777" w:rsidR="00A15990" w:rsidRDefault="00686A62">
            <w:pPr>
              <w:pStyle w:val="P68B1DB1-Normal23"/>
              <w:spacing w:after="0"/>
              <w:jc w:val="both"/>
              <w:rPr>
                <w:rFonts w:eastAsia="Calibri" w:cs="Calibri"/>
                <w:noProof/>
              </w:rPr>
            </w:pPr>
            <w:r>
              <w:rPr>
                <w:noProof/>
              </w:rPr>
              <w:t>Formarea specialiștilor IT în vederea consolidării capacităților de securitate cibernetică și de securitate a informațiilor</w:t>
            </w:r>
          </w:p>
        </w:tc>
      </w:tr>
      <w:tr w:rsidR="00A15990" w14:paraId="1999A62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3147034" w14:textId="77777777" w:rsidR="00A15990" w:rsidRDefault="00686A62">
            <w:pPr>
              <w:pStyle w:val="P68B1DB1-Normal23"/>
              <w:spacing w:after="0"/>
              <w:jc w:val="center"/>
              <w:rPr>
                <w:rFonts w:eastAsia="Calibri" w:cs="Calibri"/>
                <w:noProof/>
              </w:rPr>
            </w:pPr>
            <w:r>
              <w:rPr>
                <w:noProof/>
              </w:rPr>
              <w:t>19.8</w:t>
            </w:r>
          </w:p>
        </w:tc>
        <w:tc>
          <w:tcPr>
            <w:tcW w:w="1760" w:type="dxa"/>
            <w:tcBorders>
              <w:top w:val="nil"/>
              <w:left w:val="nil"/>
              <w:bottom w:val="single" w:sz="4" w:space="0" w:color="auto"/>
              <w:right w:val="single" w:sz="4" w:space="0" w:color="auto"/>
            </w:tcBorders>
            <w:shd w:val="clear" w:color="auto" w:fill="C4EFCE"/>
            <w:vAlign w:val="center"/>
            <w:hideMark/>
          </w:tcPr>
          <w:p w14:paraId="32214705" w14:textId="77777777" w:rsidR="00A15990" w:rsidRDefault="00686A62">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41AE534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57BD70B5" w14:textId="77777777" w:rsidR="00A15990" w:rsidRDefault="00686A62">
            <w:pPr>
              <w:pStyle w:val="P68B1DB1-Normal23"/>
              <w:spacing w:after="0"/>
              <w:jc w:val="both"/>
              <w:rPr>
                <w:rFonts w:eastAsia="Calibri" w:cs="Calibri"/>
                <w:noProof/>
              </w:rPr>
            </w:pPr>
            <w:r>
              <w:rPr>
                <w:noProof/>
              </w:rPr>
              <w:t>Adoptarea soluției criptografice portugheze de către autoritățile publice</w:t>
            </w:r>
          </w:p>
        </w:tc>
      </w:tr>
      <w:tr w:rsidR="00A15990" w14:paraId="4419910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687C3D7" w14:textId="77777777" w:rsidR="00A15990" w:rsidRDefault="00686A62">
            <w:pPr>
              <w:pStyle w:val="P68B1DB1-Normal23"/>
              <w:spacing w:after="0"/>
              <w:jc w:val="center"/>
              <w:rPr>
                <w:rFonts w:eastAsia="Calibri" w:cs="Calibri"/>
                <w:noProof/>
              </w:rPr>
            </w:pPr>
            <w:r>
              <w:rPr>
                <w:noProof/>
              </w:rPr>
              <w:t>19.9</w:t>
            </w:r>
          </w:p>
        </w:tc>
        <w:tc>
          <w:tcPr>
            <w:tcW w:w="1760" w:type="dxa"/>
            <w:tcBorders>
              <w:top w:val="nil"/>
              <w:left w:val="nil"/>
              <w:bottom w:val="single" w:sz="4" w:space="0" w:color="auto"/>
              <w:right w:val="single" w:sz="4" w:space="0" w:color="auto"/>
            </w:tcBorders>
            <w:shd w:val="clear" w:color="auto" w:fill="C4EFCE"/>
            <w:vAlign w:val="center"/>
            <w:hideMark/>
          </w:tcPr>
          <w:p w14:paraId="1170E640" w14:textId="77777777" w:rsidR="00A15990" w:rsidRDefault="00686A62">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333DE23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81D38D1" w14:textId="77777777" w:rsidR="00A15990" w:rsidRDefault="00686A62">
            <w:pPr>
              <w:pStyle w:val="P68B1DB1-Normal23"/>
              <w:spacing w:after="0"/>
              <w:jc w:val="both"/>
              <w:rPr>
                <w:rFonts w:eastAsia="Calibri" w:cs="Calibri"/>
                <w:noProof/>
              </w:rPr>
            </w:pPr>
            <w:r>
              <w:rPr>
                <w:noProof/>
              </w:rPr>
              <w:t>Punerea în aplicare a cadrului național de securitate cibernetică</w:t>
            </w:r>
          </w:p>
        </w:tc>
      </w:tr>
      <w:tr w:rsidR="00A15990" w14:paraId="07AB23E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3DD90FD" w14:textId="77777777" w:rsidR="00A15990" w:rsidRDefault="00686A62">
            <w:pPr>
              <w:pStyle w:val="P68B1DB1-Normal23"/>
              <w:spacing w:after="0"/>
              <w:jc w:val="center"/>
              <w:rPr>
                <w:rFonts w:eastAsia="Calibri" w:cs="Calibri"/>
                <w:noProof/>
              </w:rPr>
            </w:pPr>
            <w:r>
              <w:rPr>
                <w:noProof/>
              </w:rPr>
              <w:t>19.10</w:t>
            </w:r>
          </w:p>
        </w:tc>
        <w:tc>
          <w:tcPr>
            <w:tcW w:w="1760" w:type="dxa"/>
            <w:tcBorders>
              <w:top w:val="nil"/>
              <w:left w:val="nil"/>
              <w:bottom w:val="single" w:sz="4" w:space="0" w:color="auto"/>
              <w:right w:val="single" w:sz="4" w:space="0" w:color="auto"/>
            </w:tcBorders>
            <w:shd w:val="clear" w:color="auto" w:fill="C4EFCE"/>
            <w:vAlign w:val="center"/>
            <w:hideMark/>
          </w:tcPr>
          <w:p w14:paraId="060FEC6A" w14:textId="77777777" w:rsidR="00A15990" w:rsidRDefault="00686A62">
            <w:pPr>
              <w:pStyle w:val="P68B1DB1-Normal23"/>
              <w:spacing w:after="0"/>
              <w:jc w:val="center"/>
              <w:rPr>
                <w:rFonts w:eastAsia="Calibri" w:cs="Calibri"/>
                <w:noProof/>
              </w:rPr>
            </w:pPr>
            <w:r>
              <w:rPr>
                <w:noProof/>
              </w:rPr>
              <w:t>TD-C19-i03</w:t>
            </w:r>
          </w:p>
        </w:tc>
        <w:tc>
          <w:tcPr>
            <w:tcW w:w="1520" w:type="dxa"/>
            <w:tcBorders>
              <w:top w:val="nil"/>
              <w:left w:val="nil"/>
              <w:bottom w:val="single" w:sz="4" w:space="0" w:color="auto"/>
              <w:right w:val="single" w:sz="4" w:space="0" w:color="auto"/>
            </w:tcBorders>
            <w:shd w:val="clear" w:color="auto" w:fill="C4EFCE"/>
            <w:vAlign w:val="center"/>
            <w:hideMark/>
          </w:tcPr>
          <w:p w14:paraId="2BED625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4CE1A606" w14:textId="77777777" w:rsidR="00A15990" w:rsidRDefault="00686A62">
            <w:pPr>
              <w:pStyle w:val="P68B1DB1-Normal23"/>
              <w:spacing w:after="0"/>
              <w:jc w:val="both"/>
              <w:rPr>
                <w:rFonts w:eastAsia="Calibri" w:cs="Calibri"/>
                <w:noProof/>
              </w:rPr>
            </w:pPr>
            <w:r>
              <w:rPr>
                <w:noProof/>
              </w:rPr>
              <w:t>Finalizarea construcției autorităților din domeniul securității cibernetice și al securității informațiilor</w:t>
            </w:r>
          </w:p>
        </w:tc>
      </w:tr>
      <w:tr w:rsidR="00A15990" w14:paraId="760DEC5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B8D01BA" w14:textId="77777777" w:rsidR="00A15990" w:rsidRDefault="00686A62">
            <w:pPr>
              <w:pStyle w:val="P68B1DB1-Normal23"/>
              <w:spacing w:after="0"/>
              <w:jc w:val="center"/>
              <w:rPr>
                <w:rFonts w:eastAsia="Calibri" w:cs="Calibri"/>
                <w:noProof/>
              </w:rPr>
            </w:pPr>
            <w:r>
              <w:rPr>
                <w:noProof/>
              </w:rPr>
              <w:t>19.15</w:t>
            </w:r>
          </w:p>
        </w:tc>
        <w:tc>
          <w:tcPr>
            <w:tcW w:w="1760" w:type="dxa"/>
            <w:tcBorders>
              <w:top w:val="nil"/>
              <w:left w:val="nil"/>
              <w:bottom w:val="single" w:sz="4" w:space="0" w:color="auto"/>
              <w:right w:val="single" w:sz="4" w:space="0" w:color="auto"/>
            </w:tcBorders>
            <w:shd w:val="clear" w:color="auto" w:fill="C4EFCE"/>
            <w:vAlign w:val="center"/>
            <w:hideMark/>
          </w:tcPr>
          <w:p w14:paraId="7B8807DF" w14:textId="77777777" w:rsidR="00A15990" w:rsidRDefault="00686A62">
            <w:pPr>
              <w:pStyle w:val="P68B1DB1-Normal23"/>
              <w:spacing w:after="0"/>
              <w:jc w:val="center"/>
              <w:rPr>
                <w:rFonts w:eastAsia="Calibri" w:cs="Calibri"/>
                <w:noProof/>
              </w:rPr>
            </w:pPr>
            <w:r>
              <w:rPr>
                <w:noProof/>
              </w:rPr>
              <w:t>TD-C19-i04</w:t>
            </w:r>
          </w:p>
        </w:tc>
        <w:tc>
          <w:tcPr>
            <w:tcW w:w="1520" w:type="dxa"/>
            <w:tcBorders>
              <w:top w:val="nil"/>
              <w:left w:val="nil"/>
              <w:bottom w:val="single" w:sz="4" w:space="0" w:color="auto"/>
              <w:right w:val="single" w:sz="4" w:space="0" w:color="auto"/>
            </w:tcBorders>
            <w:shd w:val="clear" w:color="auto" w:fill="C4EFCE"/>
            <w:vAlign w:val="center"/>
            <w:hideMark/>
          </w:tcPr>
          <w:p w14:paraId="2CA2E4E8"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00346B88" w14:textId="77777777" w:rsidR="00A15990" w:rsidRDefault="00686A62">
            <w:pPr>
              <w:pStyle w:val="P68B1DB1-Normal23"/>
              <w:spacing w:after="0"/>
              <w:jc w:val="both"/>
              <w:rPr>
                <w:rFonts w:eastAsia="Calibri" w:cs="Calibri"/>
                <w:noProof/>
              </w:rPr>
            </w:pPr>
            <w:r>
              <w:rPr>
                <w:noProof/>
              </w:rPr>
              <w:t>Consolidarea centrului guvernamental de gestionare a rețelelor informatice (RING)</w:t>
            </w:r>
          </w:p>
        </w:tc>
      </w:tr>
      <w:tr w:rsidR="00A15990" w14:paraId="792CC6D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F2FA3D7" w14:textId="77777777" w:rsidR="00A15990" w:rsidRDefault="00686A62">
            <w:pPr>
              <w:pStyle w:val="P68B1DB1-Normal23"/>
              <w:spacing w:after="0"/>
              <w:jc w:val="center"/>
              <w:rPr>
                <w:rFonts w:eastAsia="Calibri" w:cs="Calibri"/>
                <w:noProof/>
              </w:rPr>
            </w:pPr>
            <w:r>
              <w:rPr>
                <w:noProof/>
              </w:rPr>
              <w:t>19.21</w:t>
            </w:r>
          </w:p>
        </w:tc>
        <w:tc>
          <w:tcPr>
            <w:tcW w:w="1760" w:type="dxa"/>
            <w:tcBorders>
              <w:top w:val="nil"/>
              <w:left w:val="nil"/>
              <w:bottom w:val="single" w:sz="4" w:space="0" w:color="auto"/>
              <w:right w:val="single" w:sz="4" w:space="0" w:color="auto"/>
            </w:tcBorders>
            <w:shd w:val="clear" w:color="auto" w:fill="C4EFCE"/>
            <w:vAlign w:val="center"/>
            <w:hideMark/>
          </w:tcPr>
          <w:p w14:paraId="31AD2AD3" w14:textId="77777777" w:rsidR="00A15990" w:rsidRDefault="00686A62">
            <w:pPr>
              <w:pStyle w:val="P68B1DB1-Normal23"/>
              <w:spacing w:after="0"/>
              <w:jc w:val="center"/>
              <w:rPr>
                <w:rFonts w:eastAsia="Calibri" w:cs="Calibri"/>
                <w:noProof/>
              </w:rPr>
            </w:pPr>
            <w:r>
              <w:rPr>
                <w:noProof/>
              </w:rPr>
              <w:t>TD-C19-i07</w:t>
            </w:r>
          </w:p>
        </w:tc>
        <w:tc>
          <w:tcPr>
            <w:tcW w:w="1520" w:type="dxa"/>
            <w:tcBorders>
              <w:top w:val="nil"/>
              <w:left w:val="nil"/>
              <w:bottom w:val="single" w:sz="4" w:space="0" w:color="auto"/>
              <w:right w:val="single" w:sz="4" w:space="0" w:color="auto"/>
            </w:tcBorders>
            <w:shd w:val="clear" w:color="auto" w:fill="C4EFCE"/>
            <w:vAlign w:val="center"/>
            <w:hideMark/>
          </w:tcPr>
          <w:p w14:paraId="5B50B19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1B934D6" w14:textId="77777777" w:rsidR="00A15990" w:rsidRDefault="00686A62">
            <w:pPr>
              <w:pStyle w:val="P68B1DB1-Normal23"/>
              <w:spacing w:after="0"/>
              <w:jc w:val="both"/>
              <w:rPr>
                <w:rFonts w:eastAsia="Calibri" w:cs="Calibri"/>
                <w:noProof/>
              </w:rPr>
            </w:pPr>
            <w:r>
              <w:rPr>
                <w:noProof/>
              </w:rPr>
              <w:t>Formarea angajaților din administrația publică</w:t>
            </w:r>
          </w:p>
        </w:tc>
      </w:tr>
      <w:tr w:rsidR="00A15990" w14:paraId="4D1F4A1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5D407EF" w14:textId="77777777" w:rsidR="00A15990" w:rsidRDefault="00686A62">
            <w:pPr>
              <w:pStyle w:val="P68B1DB1-Normal23"/>
              <w:spacing w:after="0"/>
              <w:jc w:val="center"/>
              <w:rPr>
                <w:rFonts w:eastAsia="Calibri" w:cs="Calibri"/>
                <w:noProof/>
              </w:rPr>
            </w:pPr>
            <w:r>
              <w:rPr>
                <w:noProof/>
              </w:rPr>
              <w:t>19.26</w:t>
            </w:r>
          </w:p>
        </w:tc>
        <w:tc>
          <w:tcPr>
            <w:tcW w:w="1760" w:type="dxa"/>
            <w:tcBorders>
              <w:top w:val="nil"/>
              <w:left w:val="nil"/>
              <w:bottom w:val="single" w:sz="4" w:space="0" w:color="auto"/>
              <w:right w:val="single" w:sz="4" w:space="0" w:color="auto"/>
            </w:tcBorders>
            <w:shd w:val="clear" w:color="auto" w:fill="C4EFCE"/>
            <w:vAlign w:val="center"/>
            <w:hideMark/>
          </w:tcPr>
          <w:p w14:paraId="724124BA" w14:textId="77777777" w:rsidR="00A15990" w:rsidRDefault="00686A62">
            <w:pPr>
              <w:pStyle w:val="P68B1DB1-Normal23"/>
              <w:spacing w:after="0"/>
              <w:jc w:val="center"/>
              <w:rPr>
                <w:rFonts w:eastAsia="Calibri" w:cs="Calibri"/>
                <w:noProof/>
              </w:rPr>
            </w:pPr>
            <w:r>
              <w:rPr>
                <w:noProof/>
              </w:rPr>
              <w:t>TD-C19-i01</w:t>
            </w:r>
          </w:p>
        </w:tc>
        <w:tc>
          <w:tcPr>
            <w:tcW w:w="1520" w:type="dxa"/>
            <w:tcBorders>
              <w:top w:val="nil"/>
              <w:left w:val="nil"/>
              <w:bottom w:val="single" w:sz="4" w:space="0" w:color="auto"/>
              <w:right w:val="single" w:sz="4" w:space="0" w:color="auto"/>
            </w:tcBorders>
            <w:shd w:val="clear" w:color="auto" w:fill="C4EFCE"/>
            <w:vAlign w:val="center"/>
            <w:hideMark/>
          </w:tcPr>
          <w:p w14:paraId="482AE9A8"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3152B610" w14:textId="0A982997" w:rsidR="00A15990" w:rsidRDefault="00686A62">
            <w:pPr>
              <w:pStyle w:val="P68B1DB1-Normal23"/>
              <w:spacing w:after="0"/>
              <w:jc w:val="both"/>
              <w:rPr>
                <w:rFonts w:eastAsia="Calibri" w:cs="Calibri"/>
                <w:noProof/>
              </w:rPr>
            </w:pPr>
            <w:r>
              <w:rPr>
                <w:noProof/>
              </w:rPr>
              <w:t>Lojas do Cidadão și Espaços cidadão</w:t>
            </w:r>
          </w:p>
        </w:tc>
      </w:tr>
      <w:tr w:rsidR="00A15990" w14:paraId="0A6C1609"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446A6318" w14:textId="77777777" w:rsidR="00A15990" w:rsidRDefault="00686A62">
            <w:pPr>
              <w:pStyle w:val="P68B1DB1-Normal23"/>
              <w:spacing w:after="0"/>
              <w:jc w:val="center"/>
              <w:rPr>
                <w:rFonts w:eastAsia="Calibri" w:cs="Calibri"/>
                <w:noProof/>
              </w:rPr>
            </w:pPr>
            <w:r>
              <w:rPr>
                <w:noProof/>
              </w:rPr>
              <w:t>19.35</w:t>
            </w:r>
          </w:p>
        </w:tc>
        <w:tc>
          <w:tcPr>
            <w:tcW w:w="1760" w:type="dxa"/>
            <w:tcBorders>
              <w:top w:val="nil"/>
              <w:left w:val="nil"/>
              <w:bottom w:val="single" w:sz="4" w:space="0" w:color="auto"/>
              <w:right w:val="single" w:sz="4" w:space="0" w:color="auto"/>
            </w:tcBorders>
            <w:shd w:val="clear" w:color="auto" w:fill="C4EFCE"/>
            <w:vAlign w:val="center"/>
            <w:hideMark/>
          </w:tcPr>
          <w:p w14:paraId="40686A88" w14:textId="77777777" w:rsidR="00A15990" w:rsidRDefault="00686A62">
            <w:pPr>
              <w:pStyle w:val="P68B1DB1-Normal23"/>
              <w:spacing w:after="0"/>
              <w:jc w:val="center"/>
              <w:rPr>
                <w:rFonts w:eastAsia="Calibri" w:cs="Calibri"/>
                <w:noProof/>
              </w:rPr>
            </w:pPr>
            <w:r>
              <w:rPr>
                <w:noProof/>
              </w:rPr>
              <w:t>TD-C19-i08</w:t>
            </w:r>
          </w:p>
        </w:tc>
        <w:tc>
          <w:tcPr>
            <w:tcW w:w="1520" w:type="dxa"/>
            <w:tcBorders>
              <w:top w:val="nil"/>
              <w:left w:val="nil"/>
              <w:bottom w:val="single" w:sz="4" w:space="0" w:color="auto"/>
              <w:right w:val="single" w:sz="4" w:space="0" w:color="auto"/>
            </w:tcBorders>
            <w:shd w:val="clear" w:color="auto" w:fill="C4EFCE"/>
            <w:vAlign w:val="center"/>
            <w:hideMark/>
          </w:tcPr>
          <w:p w14:paraId="00CBC2F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0261BB" w14:textId="77777777" w:rsidR="00A15990" w:rsidRDefault="00686A62">
            <w:pPr>
              <w:pStyle w:val="P68B1DB1-Normal23"/>
              <w:spacing w:after="0"/>
              <w:jc w:val="both"/>
              <w:rPr>
                <w:rFonts w:eastAsia="Calibri" w:cs="Calibri"/>
                <w:noProof/>
              </w:rPr>
            </w:pPr>
            <w:r>
              <w:rPr>
                <w:noProof/>
              </w:rPr>
              <w:t>Teritorii inteligente: Platformele de gestionare urbană, gemenii digitali și tabloul de bord al politicilor publice</w:t>
            </w:r>
          </w:p>
        </w:tc>
      </w:tr>
      <w:tr w:rsidR="00A15990" w14:paraId="680F3CB4"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F9600BD" w14:textId="77777777" w:rsidR="00A15990" w:rsidRDefault="00686A62">
            <w:pPr>
              <w:pStyle w:val="P68B1DB1-Normal23"/>
              <w:spacing w:after="0"/>
              <w:jc w:val="center"/>
              <w:rPr>
                <w:rFonts w:eastAsia="Calibri" w:cs="Calibri"/>
                <w:noProof/>
              </w:rPr>
            </w:pPr>
            <w:r>
              <w:rPr>
                <w:noProof/>
              </w:rPr>
              <w:t>21.1</w:t>
            </w:r>
          </w:p>
        </w:tc>
        <w:tc>
          <w:tcPr>
            <w:tcW w:w="1760" w:type="dxa"/>
            <w:tcBorders>
              <w:top w:val="nil"/>
              <w:left w:val="nil"/>
              <w:bottom w:val="single" w:sz="4" w:space="0" w:color="auto"/>
              <w:right w:val="single" w:sz="4" w:space="0" w:color="auto"/>
            </w:tcBorders>
            <w:shd w:val="clear" w:color="auto" w:fill="C4EFCE"/>
            <w:vAlign w:val="center"/>
            <w:hideMark/>
          </w:tcPr>
          <w:p w14:paraId="68A75452" w14:textId="77777777" w:rsidR="00A15990" w:rsidRDefault="00686A62">
            <w:pPr>
              <w:pStyle w:val="P68B1DB1-Normal23"/>
              <w:spacing w:after="0"/>
              <w:jc w:val="center"/>
              <w:rPr>
                <w:rFonts w:eastAsia="Calibri" w:cs="Calibri"/>
                <w:noProof/>
              </w:rPr>
            </w:pPr>
            <w:r>
              <w:rPr>
                <w:noProof/>
              </w:rPr>
              <w:t>RP-C21-i01</w:t>
            </w:r>
          </w:p>
        </w:tc>
        <w:tc>
          <w:tcPr>
            <w:tcW w:w="1520" w:type="dxa"/>
            <w:tcBorders>
              <w:top w:val="nil"/>
              <w:left w:val="nil"/>
              <w:bottom w:val="single" w:sz="4" w:space="0" w:color="auto"/>
              <w:right w:val="single" w:sz="4" w:space="0" w:color="auto"/>
            </w:tcBorders>
            <w:shd w:val="clear" w:color="auto" w:fill="C4EFCE"/>
            <w:vAlign w:val="center"/>
            <w:hideMark/>
          </w:tcPr>
          <w:p w14:paraId="765AC78B"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3A62612" w14:textId="77777777" w:rsidR="00A15990" w:rsidRDefault="00686A62">
            <w:pPr>
              <w:pStyle w:val="P68B1DB1-Normal23"/>
              <w:spacing w:after="0"/>
              <w:jc w:val="both"/>
              <w:rPr>
                <w:rFonts w:eastAsia="Calibri" w:cs="Calibri"/>
                <w:noProof/>
              </w:rPr>
            </w:pPr>
            <w:r>
              <w:rPr>
                <w:noProof/>
              </w:rPr>
              <w:t>Sprijin financiar pentru proiecte simplificate de decarbonizare industrială</w:t>
            </w:r>
          </w:p>
        </w:tc>
      </w:tr>
      <w:tr w:rsidR="00A15990" w14:paraId="0AB05DD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98C020" w14:textId="77777777" w:rsidR="00A15990" w:rsidRDefault="00686A62">
            <w:pPr>
              <w:pStyle w:val="P68B1DB1-Normal23"/>
              <w:spacing w:after="0"/>
              <w:jc w:val="center"/>
              <w:rPr>
                <w:rFonts w:eastAsia="Calibri" w:cs="Calibri"/>
                <w:noProof/>
              </w:rPr>
            </w:pPr>
            <w:r>
              <w:rPr>
                <w:noProof/>
              </w:rPr>
              <w:t>21.4</w:t>
            </w:r>
          </w:p>
        </w:tc>
        <w:tc>
          <w:tcPr>
            <w:tcW w:w="1760" w:type="dxa"/>
            <w:tcBorders>
              <w:top w:val="nil"/>
              <w:left w:val="nil"/>
              <w:bottom w:val="single" w:sz="4" w:space="0" w:color="auto"/>
              <w:right w:val="single" w:sz="4" w:space="0" w:color="auto"/>
            </w:tcBorders>
            <w:shd w:val="clear" w:color="auto" w:fill="C4EFCE"/>
            <w:vAlign w:val="center"/>
            <w:hideMark/>
          </w:tcPr>
          <w:p w14:paraId="1E0F5355" w14:textId="77777777" w:rsidR="00A15990" w:rsidRDefault="00686A62">
            <w:pPr>
              <w:pStyle w:val="P68B1DB1-Normal23"/>
              <w:spacing w:after="0"/>
              <w:jc w:val="center"/>
              <w:rPr>
                <w:rFonts w:eastAsia="Calibri" w:cs="Calibri"/>
                <w:noProof/>
              </w:rPr>
            </w:pPr>
            <w:r>
              <w:rPr>
                <w:noProof/>
              </w:rPr>
              <w:t>RP-C21-i03</w:t>
            </w:r>
          </w:p>
        </w:tc>
        <w:tc>
          <w:tcPr>
            <w:tcW w:w="1520" w:type="dxa"/>
            <w:tcBorders>
              <w:top w:val="nil"/>
              <w:left w:val="nil"/>
              <w:bottom w:val="single" w:sz="4" w:space="0" w:color="auto"/>
              <w:right w:val="single" w:sz="4" w:space="0" w:color="auto"/>
            </w:tcBorders>
            <w:shd w:val="clear" w:color="auto" w:fill="C4EFCE"/>
            <w:vAlign w:val="center"/>
            <w:hideMark/>
          </w:tcPr>
          <w:p w14:paraId="4CFCB73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60CF8C5" w14:textId="77777777" w:rsidR="00A15990" w:rsidRDefault="00686A62">
            <w:pPr>
              <w:pStyle w:val="P68B1DB1-Normal23"/>
              <w:spacing w:after="0"/>
              <w:jc w:val="both"/>
              <w:rPr>
                <w:rFonts w:eastAsia="Calibri" w:cs="Calibri"/>
                <w:noProof/>
              </w:rPr>
            </w:pPr>
            <w:r>
              <w:rPr>
                <w:noProof/>
              </w:rPr>
              <w:t>Renovarea clădirilor de servicii din punctul de vedere al eficienței energetice</w:t>
            </w:r>
          </w:p>
        </w:tc>
      </w:tr>
      <w:tr w:rsidR="00A15990" w14:paraId="7AE3C13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2B0D6E8E" w14:textId="77777777" w:rsidR="00A15990" w:rsidRDefault="00686A62">
            <w:pPr>
              <w:pStyle w:val="P68B1DB1-Normal23"/>
              <w:spacing w:after="0"/>
              <w:jc w:val="center"/>
              <w:rPr>
                <w:rFonts w:eastAsia="Calibri" w:cs="Calibri"/>
                <w:noProof/>
              </w:rPr>
            </w:pPr>
            <w:r>
              <w:rPr>
                <w:noProof/>
              </w:rPr>
              <w:t>21.13</w:t>
            </w:r>
          </w:p>
        </w:tc>
        <w:tc>
          <w:tcPr>
            <w:tcW w:w="1760" w:type="dxa"/>
            <w:tcBorders>
              <w:top w:val="nil"/>
              <w:left w:val="nil"/>
              <w:bottom w:val="single" w:sz="4" w:space="0" w:color="auto"/>
              <w:right w:val="single" w:sz="4" w:space="0" w:color="auto"/>
            </w:tcBorders>
            <w:shd w:val="clear" w:color="auto" w:fill="C4EFCE"/>
            <w:vAlign w:val="center"/>
            <w:hideMark/>
          </w:tcPr>
          <w:p w14:paraId="3D5708D0" w14:textId="77777777" w:rsidR="00A15990" w:rsidRDefault="00686A62">
            <w:pPr>
              <w:pStyle w:val="P68B1DB1-Normal23"/>
              <w:spacing w:after="0"/>
              <w:jc w:val="center"/>
              <w:rPr>
                <w:rFonts w:eastAsia="Calibri" w:cs="Calibri"/>
                <w:noProof/>
              </w:rPr>
            </w:pPr>
            <w:r>
              <w:rPr>
                <w:noProof/>
              </w:rPr>
              <w:t>RP-C21-i05</w:t>
            </w:r>
          </w:p>
        </w:tc>
        <w:tc>
          <w:tcPr>
            <w:tcW w:w="1520" w:type="dxa"/>
            <w:tcBorders>
              <w:top w:val="nil"/>
              <w:left w:val="nil"/>
              <w:bottom w:val="single" w:sz="4" w:space="0" w:color="auto"/>
              <w:right w:val="single" w:sz="4" w:space="0" w:color="auto"/>
            </w:tcBorders>
            <w:shd w:val="clear" w:color="auto" w:fill="C4EFCE"/>
            <w:vAlign w:val="center"/>
            <w:hideMark/>
          </w:tcPr>
          <w:p w14:paraId="4EF9FB7D"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6731C1C6" w14:textId="77777777" w:rsidR="00A15990" w:rsidRDefault="00686A62">
            <w:pPr>
              <w:pStyle w:val="P68B1DB1-Normal23"/>
              <w:spacing w:after="0"/>
              <w:jc w:val="both"/>
              <w:rPr>
                <w:rFonts w:eastAsia="Calibri" w:cs="Calibri"/>
                <w:noProof/>
              </w:rPr>
            </w:pPr>
            <w:r>
              <w:rPr>
                <w:noProof/>
              </w:rPr>
              <w:t>Finalizarea a 5 de proiecte industriale în domeniul tehnologiilor strategice pentru tranziția climatică</w:t>
            </w:r>
          </w:p>
        </w:tc>
      </w:tr>
      <w:tr w:rsidR="00A15990" w14:paraId="46B66D66"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E773CBC" w14:textId="77777777" w:rsidR="00A15990" w:rsidRDefault="00686A62">
            <w:pPr>
              <w:pStyle w:val="P68B1DB1-Normal23"/>
              <w:spacing w:after="0"/>
              <w:jc w:val="center"/>
              <w:rPr>
                <w:rFonts w:eastAsia="Calibri" w:cs="Calibri"/>
                <w:noProof/>
              </w:rPr>
            </w:pPr>
            <w:r>
              <w:rPr>
                <w:noProof/>
              </w:rPr>
              <w:t>21.25</w:t>
            </w:r>
          </w:p>
        </w:tc>
        <w:tc>
          <w:tcPr>
            <w:tcW w:w="1760" w:type="dxa"/>
            <w:tcBorders>
              <w:top w:val="nil"/>
              <w:left w:val="nil"/>
              <w:bottom w:val="single" w:sz="4" w:space="0" w:color="auto"/>
              <w:right w:val="single" w:sz="4" w:space="0" w:color="auto"/>
            </w:tcBorders>
            <w:shd w:val="clear" w:color="auto" w:fill="C4EFCE"/>
            <w:vAlign w:val="center"/>
            <w:hideMark/>
          </w:tcPr>
          <w:p w14:paraId="0F61BA2A" w14:textId="0F7A2382" w:rsidR="00A15990" w:rsidRDefault="00686A62">
            <w:pPr>
              <w:pStyle w:val="P68B1DB1-Normal23"/>
              <w:spacing w:after="0"/>
              <w:jc w:val="center"/>
              <w:rPr>
                <w:rFonts w:eastAsia="Calibri" w:cs="Calibri"/>
                <w:noProof/>
              </w:rPr>
            </w:pPr>
            <w:r>
              <w:rPr>
                <w:noProof/>
              </w:rPr>
              <w:t>RP-C21-i06</w:t>
            </w:r>
          </w:p>
        </w:tc>
        <w:tc>
          <w:tcPr>
            <w:tcW w:w="1520" w:type="dxa"/>
            <w:tcBorders>
              <w:top w:val="nil"/>
              <w:left w:val="nil"/>
              <w:bottom w:val="single" w:sz="4" w:space="0" w:color="auto"/>
              <w:right w:val="single" w:sz="4" w:space="0" w:color="auto"/>
            </w:tcBorders>
            <w:shd w:val="clear" w:color="auto" w:fill="C4EFCE"/>
            <w:vAlign w:val="center"/>
            <w:hideMark/>
          </w:tcPr>
          <w:p w14:paraId="332F83C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40DF0458" w14:textId="77777777" w:rsidR="00A15990" w:rsidRDefault="00686A62">
            <w:pPr>
              <w:pStyle w:val="P68B1DB1-Normal23"/>
              <w:spacing w:after="0"/>
              <w:jc w:val="both"/>
              <w:rPr>
                <w:rFonts w:eastAsia="Calibri" w:cs="Calibri"/>
                <w:noProof/>
              </w:rPr>
            </w:pPr>
            <w:r>
              <w:rPr>
                <w:noProof/>
              </w:rPr>
              <w:t>Capacitate suplimentară de producție de hidrogen din surse regenerabile și de gaze din surse regenerabile</w:t>
            </w:r>
          </w:p>
        </w:tc>
      </w:tr>
      <w:tr w:rsidR="00A15990" w14:paraId="7AE9352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8FBC31" w14:textId="77777777" w:rsidR="00A15990" w:rsidRDefault="00686A62">
            <w:pPr>
              <w:pStyle w:val="P68B1DB1-Normal23"/>
              <w:spacing w:after="0"/>
              <w:jc w:val="center"/>
              <w:rPr>
                <w:rFonts w:eastAsia="Calibri" w:cs="Calibri"/>
                <w:noProof/>
              </w:rPr>
            </w:pPr>
            <w:r>
              <w:rPr>
                <w:noProof/>
              </w:rPr>
              <w:t>21.27</w:t>
            </w:r>
          </w:p>
        </w:tc>
        <w:tc>
          <w:tcPr>
            <w:tcW w:w="1760" w:type="dxa"/>
            <w:tcBorders>
              <w:top w:val="nil"/>
              <w:left w:val="nil"/>
              <w:bottom w:val="single" w:sz="4" w:space="0" w:color="auto"/>
              <w:right w:val="single" w:sz="4" w:space="0" w:color="auto"/>
            </w:tcBorders>
            <w:shd w:val="clear" w:color="auto" w:fill="C4EFCE"/>
            <w:vAlign w:val="center"/>
            <w:hideMark/>
          </w:tcPr>
          <w:p w14:paraId="28339159" w14:textId="7DD243E3" w:rsidR="00A15990" w:rsidRDefault="00686A62">
            <w:pPr>
              <w:pStyle w:val="P68B1DB1-Normal23"/>
              <w:spacing w:after="0"/>
              <w:jc w:val="center"/>
              <w:rPr>
                <w:rFonts w:eastAsia="Calibri" w:cs="Calibri"/>
                <w:noProof/>
              </w:rPr>
            </w:pPr>
            <w:r>
              <w:rPr>
                <w:noProof/>
              </w:rPr>
              <w:t>RP-C21-i07</w:t>
            </w:r>
          </w:p>
        </w:tc>
        <w:tc>
          <w:tcPr>
            <w:tcW w:w="1520" w:type="dxa"/>
            <w:tcBorders>
              <w:top w:val="nil"/>
              <w:left w:val="nil"/>
              <w:bottom w:val="single" w:sz="4" w:space="0" w:color="auto"/>
              <w:right w:val="single" w:sz="4" w:space="0" w:color="auto"/>
            </w:tcBorders>
            <w:shd w:val="clear" w:color="auto" w:fill="C4EFCE"/>
            <w:vAlign w:val="center"/>
            <w:hideMark/>
          </w:tcPr>
          <w:p w14:paraId="5D5BCC3C"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5B70FE3" w14:textId="2301AE6C" w:rsidR="00A15990" w:rsidRDefault="00686A62">
            <w:pPr>
              <w:pStyle w:val="P68B1DB1-Normal23"/>
              <w:spacing w:after="0"/>
              <w:jc w:val="both"/>
              <w:rPr>
                <w:rFonts w:eastAsia="Calibri" w:cs="Calibri"/>
                <w:noProof/>
              </w:rPr>
            </w:pPr>
            <w:r>
              <w:rPr>
                <w:noProof/>
              </w:rPr>
              <w:t>Finalizarea studiilor tehnice privind energia eoliană offshore</w:t>
            </w:r>
          </w:p>
        </w:tc>
      </w:tr>
      <w:tr w:rsidR="00A15990" w14:paraId="407BDDC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5FA81FA2" w14:textId="77777777" w:rsidR="00A15990" w:rsidRDefault="00686A62">
            <w:pPr>
              <w:pStyle w:val="P68B1DB1-Normal23"/>
              <w:spacing w:after="0"/>
              <w:jc w:val="center"/>
              <w:rPr>
                <w:rFonts w:eastAsia="Calibri" w:cs="Calibri"/>
                <w:noProof/>
              </w:rPr>
            </w:pPr>
            <w:r>
              <w:rPr>
                <w:noProof/>
              </w:rPr>
              <w:t>21.33</w:t>
            </w:r>
          </w:p>
        </w:tc>
        <w:tc>
          <w:tcPr>
            <w:tcW w:w="1760" w:type="dxa"/>
            <w:tcBorders>
              <w:top w:val="nil"/>
              <w:left w:val="nil"/>
              <w:bottom w:val="single" w:sz="4" w:space="0" w:color="auto"/>
              <w:right w:val="single" w:sz="4" w:space="0" w:color="auto"/>
            </w:tcBorders>
            <w:shd w:val="clear" w:color="auto" w:fill="C4EFCE"/>
            <w:vAlign w:val="center"/>
            <w:hideMark/>
          </w:tcPr>
          <w:p w14:paraId="4FD27260" w14:textId="4C1DF387" w:rsidR="00A15990" w:rsidRDefault="00686A62">
            <w:pPr>
              <w:pStyle w:val="P68B1DB1-Normal23"/>
              <w:spacing w:after="0"/>
              <w:jc w:val="center"/>
              <w:rPr>
                <w:rFonts w:eastAsia="Calibri" w:cs="Calibri"/>
                <w:noProof/>
              </w:rPr>
            </w:pPr>
            <w:r>
              <w:rPr>
                <w:noProof/>
              </w:rPr>
              <w:t>RP-C21-i11-RAM</w:t>
            </w:r>
          </w:p>
        </w:tc>
        <w:tc>
          <w:tcPr>
            <w:tcW w:w="1520" w:type="dxa"/>
            <w:tcBorders>
              <w:top w:val="nil"/>
              <w:left w:val="nil"/>
              <w:bottom w:val="single" w:sz="4" w:space="0" w:color="auto"/>
              <w:right w:val="single" w:sz="4" w:space="0" w:color="auto"/>
            </w:tcBorders>
            <w:shd w:val="clear" w:color="auto" w:fill="C4EFCE"/>
            <w:vAlign w:val="center"/>
            <w:hideMark/>
          </w:tcPr>
          <w:p w14:paraId="577AB5A0"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996926B" w14:textId="77777777" w:rsidR="00A15990" w:rsidRDefault="00686A62">
            <w:pPr>
              <w:pStyle w:val="P68B1DB1-Normal23"/>
              <w:spacing w:after="0"/>
              <w:jc w:val="both"/>
              <w:rPr>
                <w:rFonts w:eastAsia="Calibri" w:cs="Calibri"/>
                <w:noProof/>
              </w:rPr>
            </w:pPr>
            <w:r>
              <w:rPr>
                <w:noProof/>
              </w:rPr>
              <w:t>Creșterea capacității instalate a unităților de producere a energiei din surse regenerabile pentru consumul propriu și creșterea capacității instalate de stocare pentru consumul propriu</w:t>
            </w:r>
          </w:p>
        </w:tc>
      </w:tr>
      <w:tr w:rsidR="00A15990" w14:paraId="40AE930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6AF8CD86" w14:textId="77777777" w:rsidR="00A15990" w:rsidRDefault="00686A62">
            <w:pPr>
              <w:pStyle w:val="P68B1DB1-Normal23"/>
              <w:spacing w:after="0"/>
              <w:jc w:val="center"/>
              <w:rPr>
                <w:rFonts w:eastAsia="Calibri" w:cs="Calibri"/>
                <w:noProof/>
              </w:rPr>
            </w:pPr>
            <w:r>
              <w:rPr>
                <w:noProof/>
              </w:rPr>
              <w:t>21.36</w:t>
            </w:r>
          </w:p>
        </w:tc>
        <w:tc>
          <w:tcPr>
            <w:tcW w:w="1760" w:type="dxa"/>
            <w:tcBorders>
              <w:top w:val="nil"/>
              <w:left w:val="nil"/>
              <w:bottom w:val="single" w:sz="4" w:space="0" w:color="auto"/>
              <w:right w:val="single" w:sz="4" w:space="0" w:color="auto"/>
            </w:tcBorders>
            <w:shd w:val="clear" w:color="auto" w:fill="C4EFCE"/>
            <w:vAlign w:val="center"/>
            <w:hideMark/>
          </w:tcPr>
          <w:p w14:paraId="65F17587" w14:textId="24D99CE2" w:rsidR="00A15990" w:rsidRDefault="00686A62">
            <w:pPr>
              <w:pStyle w:val="P68B1DB1-Normal23"/>
              <w:spacing w:after="0"/>
              <w:jc w:val="center"/>
              <w:rPr>
                <w:rFonts w:eastAsia="Calibri" w:cs="Calibri"/>
                <w:noProof/>
              </w:rPr>
            </w:pPr>
            <w:r>
              <w:rPr>
                <w:noProof/>
              </w:rPr>
              <w:t>RP-C21-i12</w:t>
            </w:r>
          </w:p>
        </w:tc>
        <w:tc>
          <w:tcPr>
            <w:tcW w:w="1520" w:type="dxa"/>
            <w:tcBorders>
              <w:top w:val="nil"/>
              <w:left w:val="nil"/>
              <w:bottom w:val="single" w:sz="4" w:space="0" w:color="auto"/>
              <w:right w:val="single" w:sz="4" w:space="0" w:color="auto"/>
            </w:tcBorders>
            <w:shd w:val="clear" w:color="auto" w:fill="C4EFCE"/>
            <w:vAlign w:val="center"/>
            <w:hideMark/>
          </w:tcPr>
          <w:p w14:paraId="7B36B2F3"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7C7C1E97" w14:textId="77777777" w:rsidR="00A15990" w:rsidRDefault="00686A62">
            <w:pPr>
              <w:pStyle w:val="P68B1DB1-Normal23"/>
              <w:spacing w:after="0"/>
              <w:jc w:val="both"/>
              <w:rPr>
                <w:rFonts w:eastAsia="Calibri" w:cs="Calibri"/>
                <w:noProof/>
              </w:rPr>
            </w:pPr>
            <w:r>
              <w:rPr>
                <w:noProof/>
              </w:rPr>
              <w:t>Achiziționarea de autobuze noi cu emisii zero (electrice sau pe bază de hidrogen) utilizate pentru transportul public</w:t>
            </w:r>
          </w:p>
        </w:tc>
      </w:tr>
      <w:tr w:rsidR="00A15990" w14:paraId="4BDD8A3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44C0782" w14:textId="77777777" w:rsidR="00A15990" w:rsidRDefault="00686A62">
            <w:pPr>
              <w:pStyle w:val="P68B1DB1-Normal23"/>
              <w:spacing w:after="0"/>
              <w:jc w:val="center"/>
              <w:rPr>
                <w:rFonts w:eastAsia="Calibri" w:cs="Calibri"/>
                <w:noProof/>
              </w:rPr>
            </w:pPr>
            <w:r>
              <w:rPr>
                <w:noProof/>
              </w:rPr>
              <w:t>21.37</w:t>
            </w:r>
          </w:p>
        </w:tc>
        <w:tc>
          <w:tcPr>
            <w:tcW w:w="1760" w:type="dxa"/>
            <w:tcBorders>
              <w:top w:val="nil"/>
              <w:left w:val="nil"/>
              <w:bottom w:val="single" w:sz="4" w:space="0" w:color="auto"/>
              <w:right w:val="single" w:sz="4" w:space="0" w:color="auto"/>
            </w:tcBorders>
            <w:shd w:val="clear" w:color="auto" w:fill="C4EFCE"/>
            <w:vAlign w:val="center"/>
            <w:hideMark/>
          </w:tcPr>
          <w:p w14:paraId="73C8B906" w14:textId="298D8B93" w:rsidR="00A15990" w:rsidRDefault="00686A62">
            <w:pPr>
              <w:pStyle w:val="P68B1DB1-Normal23"/>
              <w:spacing w:after="0"/>
              <w:jc w:val="center"/>
              <w:rPr>
                <w:rFonts w:eastAsia="Calibri" w:cs="Calibri"/>
                <w:noProof/>
              </w:rPr>
            </w:pPr>
            <w:r>
              <w:rPr>
                <w:noProof/>
              </w:rPr>
              <w:t>RP-C21-i13-RAM</w:t>
            </w:r>
          </w:p>
        </w:tc>
        <w:tc>
          <w:tcPr>
            <w:tcW w:w="1520" w:type="dxa"/>
            <w:tcBorders>
              <w:top w:val="nil"/>
              <w:left w:val="nil"/>
              <w:bottom w:val="single" w:sz="4" w:space="0" w:color="auto"/>
              <w:right w:val="single" w:sz="4" w:space="0" w:color="auto"/>
            </w:tcBorders>
            <w:shd w:val="clear" w:color="auto" w:fill="C4EFCE"/>
            <w:vAlign w:val="center"/>
            <w:hideMark/>
          </w:tcPr>
          <w:p w14:paraId="766F213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205A8643" w14:textId="77777777" w:rsidR="00A15990" w:rsidRDefault="00686A62">
            <w:pPr>
              <w:pStyle w:val="P68B1DB1-Normal23"/>
              <w:spacing w:after="0"/>
              <w:jc w:val="both"/>
              <w:rPr>
                <w:rFonts w:eastAsia="Calibri" w:cs="Calibri"/>
                <w:noProof/>
              </w:rPr>
            </w:pPr>
            <w:r>
              <w:rPr>
                <w:noProof/>
              </w:rPr>
              <w:t>Achiziționarea de autobuze noi cu emisii zero (electrice sau pe bază de hidrogen) utilizate pentru transportul public și serviciile turistice și achiziționarea de autoturisme electrice care înlocuiesc vehiculele casate</w:t>
            </w:r>
          </w:p>
        </w:tc>
      </w:tr>
      <w:tr w:rsidR="00A15990" w14:paraId="5FC25D8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0D0D0E18" w14:textId="77777777" w:rsidR="00A15990" w:rsidRDefault="00686A62">
            <w:pPr>
              <w:pStyle w:val="P68B1DB1-Normal23"/>
              <w:spacing w:after="0"/>
              <w:jc w:val="center"/>
              <w:rPr>
                <w:rFonts w:eastAsia="Calibri" w:cs="Calibri"/>
                <w:noProof/>
              </w:rPr>
            </w:pPr>
            <w:r>
              <w:rPr>
                <w:noProof/>
              </w:rPr>
              <w:t>21.39</w:t>
            </w:r>
          </w:p>
        </w:tc>
        <w:tc>
          <w:tcPr>
            <w:tcW w:w="1760" w:type="dxa"/>
            <w:tcBorders>
              <w:top w:val="nil"/>
              <w:left w:val="nil"/>
              <w:bottom w:val="single" w:sz="4" w:space="0" w:color="auto"/>
              <w:right w:val="single" w:sz="4" w:space="0" w:color="auto"/>
            </w:tcBorders>
            <w:shd w:val="clear" w:color="auto" w:fill="C4EFCE"/>
            <w:vAlign w:val="center"/>
            <w:hideMark/>
          </w:tcPr>
          <w:p w14:paraId="48E27095" w14:textId="5DA60FB6" w:rsidR="00A15990" w:rsidRDefault="00686A62">
            <w:pPr>
              <w:pStyle w:val="P68B1DB1-Normal23"/>
              <w:spacing w:after="0"/>
              <w:jc w:val="center"/>
              <w:rPr>
                <w:rFonts w:eastAsia="Calibri" w:cs="Calibri"/>
                <w:noProof/>
              </w:rPr>
            </w:pPr>
            <w:r>
              <w:rPr>
                <w:noProof/>
              </w:rPr>
              <w:t>RP-C21-i14</w:t>
            </w:r>
          </w:p>
        </w:tc>
        <w:tc>
          <w:tcPr>
            <w:tcW w:w="1520" w:type="dxa"/>
            <w:tcBorders>
              <w:top w:val="nil"/>
              <w:left w:val="nil"/>
              <w:bottom w:val="single" w:sz="4" w:space="0" w:color="auto"/>
              <w:right w:val="single" w:sz="4" w:space="0" w:color="auto"/>
            </w:tcBorders>
            <w:shd w:val="clear" w:color="auto" w:fill="C4EFCE"/>
            <w:vAlign w:val="center"/>
            <w:hideMark/>
          </w:tcPr>
          <w:p w14:paraId="3205D102"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hideMark/>
          </w:tcPr>
          <w:p w14:paraId="242FFB24" w14:textId="77777777" w:rsidR="00A15990" w:rsidRDefault="00686A62">
            <w:pPr>
              <w:pStyle w:val="P68B1DB1-Normal23"/>
              <w:spacing w:after="0"/>
              <w:jc w:val="both"/>
              <w:rPr>
                <w:rFonts w:eastAsia="Calibri" w:cs="Calibri"/>
                <w:noProof/>
              </w:rPr>
            </w:pPr>
            <w:r>
              <w:rPr>
                <w:noProof/>
              </w:rPr>
              <w:t>Construirea a două linii de tranzit rapid cu autobuzul în Braga</w:t>
            </w:r>
          </w:p>
        </w:tc>
      </w:tr>
      <w:tr w:rsidR="00A15990" w14:paraId="3E530F0E"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3E8A1E5E" w14:textId="77777777" w:rsidR="00A15990" w:rsidRDefault="00686A62">
            <w:pPr>
              <w:pStyle w:val="P68B1DB1-Normal23"/>
              <w:spacing w:after="0"/>
              <w:jc w:val="center"/>
              <w:rPr>
                <w:rFonts w:eastAsia="Calibri" w:cs="Calibri"/>
                <w:noProof/>
              </w:rPr>
            </w:pPr>
            <w:r>
              <w:rPr>
                <w:noProof/>
              </w:rPr>
              <w:t>21.43</w:t>
            </w:r>
          </w:p>
        </w:tc>
        <w:tc>
          <w:tcPr>
            <w:tcW w:w="1760" w:type="dxa"/>
            <w:tcBorders>
              <w:top w:val="nil"/>
              <w:left w:val="nil"/>
              <w:bottom w:val="single" w:sz="4" w:space="0" w:color="auto"/>
              <w:right w:val="single" w:sz="4" w:space="0" w:color="auto"/>
            </w:tcBorders>
            <w:shd w:val="clear" w:color="auto" w:fill="C4EFCE"/>
            <w:vAlign w:val="center"/>
            <w:hideMark/>
          </w:tcPr>
          <w:p w14:paraId="53BBC354" w14:textId="6D59C203" w:rsidR="00A15990" w:rsidRDefault="00686A62">
            <w:pPr>
              <w:pStyle w:val="P68B1DB1-Normal23"/>
              <w:spacing w:after="0"/>
              <w:jc w:val="center"/>
              <w:rPr>
                <w:rFonts w:eastAsia="Calibri" w:cs="Calibri"/>
                <w:noProof/>
              </w:rPr>
            </w:pPr>
            <w:r>
              <w:rPr>
                <w:noProof/>
              </w:rPr>
              <w:t>RP-C21-i16</w:t>
            </w:r>
          </w:p>
        </w:tc>
        <w:tc>
          <w:tcPr>
            <w:tcW w:w="1520" w:type="dxa"/>
            <w:tcBorders>
              <w:top w:val="nil"/>
              <w:left w:val="nil"/>
              <w:bottom w:val="single" w:sz="4" w:space="0" w:color="auto"/>
              <w:right w:val="single" w:sz="4" w:space="0" w:color="auto"/>
            </w:tcBorders>
            <w:shd w:val="clear" w:color="auto" w:fill="C4EFCE"/>
            <w:vAlign w:val="center"/>
            <w:hideMark/>
          </w:tcPr>
          <w:p w14:paraId="65415CC8"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hideMark/>
          </w:tcPr>
          <w:p w14:paraId="17915ABF" w14:textId="42D35AB7" w:rsidR="00A15990" w:rsidRDefault="00686A62">
            <w:pPr>
              <w:pStyle w:val="P68B1DB1-Normal23"/>
              <w:spacing w:after="0"/>
              <w:jc w:val="both"/>
              <w:rPr>
                <w:rFonts w:eastAsia="Calibri" w:cs="Calibri"/>
                <w:noProof/>
              </w:rPr>
            </w:pPr>
            <w:r>
              <w:rPr>
                <w:noProof/>
              </w:rPr>
              <w:t>Construcția unui funicular</w:t>
            </w:r>
          </w:p>
        </w:tc>
      </w:tr>
      <w:tr w:rsidR="00A15990" w14:paraId="69534CE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hideMark/>
          </w:tcPr>
          <w:p w14:paraId="1375525F" w14:textId="77777777" w:rsidR="00A15990" w:rsidRDefault="00A15990">
            <w:pPr>
              <w:spacing w:after="0"/>
              <w:jc w:val="center"/>
              <w:rPr>
                <w:rFonts w:ascii="Calibri" w:eastAsia="Calibri"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hideMark/>
          </w:tcPr>
          <w:p w14:paraId="16E5C887" w14:textId="77777777" w:rsidR="00A15990" w:rsidRDefault="00A15990">
            <w:pPr>
              <w:spacing w:after="0"/>
              <w:jc w:val="center"/>
              <w:rPr>
                <w:rFonts w:ascii="Calibri" w:eastAsia="Calibri" w:hAnsi="Calibri" w:cs="Calibri"/>
                <w:noProof/>
                <w:sz w:val="16"/>
              </w:rPr>
            </w:pPr>
          </w:p>
        </w:tc>
        <w:tc>
          <w:tcPr>
            <w:tcW w:w="1520" w:type="dxa"/>
            <w:tcBorders>
              <w:top w:val="nil"/>
              <w:left w:val="nil"/>
              <w:bottom w:val="single" w:sz="4" w:space="0" w:color="auto"/>
              <w:right w:val="single" w:sz="4" w:space="0" w:color="auto"/>
            </w:tcBorders>
            <w:shd w:val="clear" w:color="auto" w:fill="C4EFCE"/>
            <w:vAlign w:val="center"/>
            <w:hideMark/>
          </w:tcPr>
          <w:p w14:paraId="084A977F"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tcBorders>
              <w:top w:val="nil"/>
              <w:left w:val="nil"/>
              <w:bottom w:val="single" w:sz="4" w:space="0" w:color="auto"/>
              <w:right w:val="single" w:sz="4" w:space="0" w:color="auto"/>
            </w:tcBorders>
            <w:shd w:val="clear" w:color="auto" w:fill="C4EFCE"/>
            <w:vAlign w:val="center"/>
            <w:hideMark/>
          </w:tcPr>
          <w:p w14:paraId="30A29C4F" w14:textId="5D4F15E5" w:rsidR="00A15990" w:rsidRDefault="00686A62">
            <w:pPr>
              <w:pStyle w:val="P68B1DB1-Normal25"/>
              <w:spacing w:after="0" w:line="240" w:lineRule="auto"/>
              <w:jc w:val="center"/>
              <w:rPr>
                <w:rFonts w:cs="Calibri"/>
                <w:noProof/>
              </w:rPr>
            </w:pPr>
            <w:r>
              <w:rPr>
                <w:noProof/>
              </w:rPr>
              <w:t xml:space="preserve"> 2 030 690 350 MIL. </w:t>
            </w:r>
          </w:p>
        </w:tc>
      </w:tr>
    </w:tbl>
    <w:p w14:paraId="4422C564" w14:textId="77777777" w:rsidR="00A15990" w:rsidRDefault="00A15990">
      <w:pPr>
        <w:keepNext/>
        <w:spacing w:before="40" w:after="0" w:line="259" w:lineRule="auto"/>
        <w:ind w:left="360"/>
        <w:jc w:val="both"/>
        <w:outlineLvl w:val="1"/>
        <w:rPr>
          <w:rFonts w:ascii="Times New Roman" w:eastAsiaTheme="majorEastAsia" w:hAnsi="Times New Roman" w:cs="Times New Roman"/>
          <w:b/>
          <w:noProof/>
          <w:sz w:val="24"/>
          <w:u w:val="single"/>
        </w:rPr>
      </w:pPr>
    </w:p>
    <w:p w14:paraId="118A5FEC" w14:textId="77777777" w:rsidR="00A15990" w:rsidRDefault="00686A62">
      <w:pPr>
        <w:pStyle w:val="P68B1DB1-Normal3"/>
        <w:keepNext/>
        <w:numPr>
          <w:ilvl w:val="0"/>
          <w:numId w:val="19"/>
        </w:numPr>
        <w:spacing w:before="40" w:after="0" w:line="259" w:lineRule="auto"/>
        <w:jc w:val="both"/>
        <w:outlineLvl w:val="1"/>
        <w:rPr>
          <w:rFonts w:eastAsiaTheme="majorEastAsia" w:cs="Times New Roman"/>
          <w:noProof/>
        </w:rPr>
      </w:pPr>
      <w:r>
        <w:rPr>
          <w:noProof/>
        </w:rPr>
        <w:t xml:space="preserve">Împrumut </w:t>
      </w:r>
    </w:p>
    <w:p w14:paraId="6BCD5950" w14:textId="77777777" w:rsidR="00A15990" w:rsidRDefault="00686A62">
      <w:pPr>
        <w:pStyle w:val="P68B1DB1-Normal4"/>
        <w:keepNext/>
        <w:spacing w:before="40" w:after="0" w:line="259" w:lineRule="auto"/>
        <w:jc w:val="both"/>
        <w:rPr>
          <w:rFonts w:eastAsiaTheme="minorEastAsia" w:cs="Times New Roman"/>
          <w:noProof/>
        </w:rPr>
      </w:pPr>
      <w:r>
        <w:rPr>
          <w:noProof/>
        </w:rPr>
        <w:t>Tranșele menționate la articolul 3 alineatul (2) se organizează după cum urmează:</w:t>
      </w:r>
    </w:p>
    <w:p w14:paraId="3FE85171" w14:textId="77777777" w:rsidR="00A15990" w:rsidRDefault="00A15990">
      <w:pPr>
        <w:keepNext/>
        <w:spacing w:after="160" w:line="259" w:lineRule="auto"/>
        <w:ind w:left="360"/>
        <w:contextualSpacing/>
        <w:jc w:val="both"/>
        <w:rPr>
          <w:rFonts w:ascii="Times New Roman" w:eastAsiaTheme="minorEastAsia" w:hAnsi="Times New Roman" w:cs="Times New Roman"/>
          <w:noProof/>
          <w:sz w:val="24"/>
        </w:rPr>
      </w:pPr>
    </w:p>
    <w:p w14:paraId="4E892DCC"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Prima cerere de plată (sprijin sub formă de împrumut):</w:t>
      </w:r>
    </w:p>
    <w:p w14:paraId="7FAECB77"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074834ED" w14:textId="77777777">
        <w:trPr>
          <w:trHeight w:val="509"/>
          <w:tblHeader/>
        </w:trPr>
        <w:tc>
          <w:tcPr>
            <w:tcW w:w="1200" w:type="dxa"/>
            <w:vMerge w:val="restart"/>
            <w:shd w:val="clear" w:color="auto" w:fill="BDD7EE"/>
            <w:vAlign w:val="center"/>
            <w:hideMark/>
          </w:tcPr>
          <w:p w14:paraId="6FC084B2"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47AF933B"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35B00DEF" w14:textId="4B7FFF38"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3E1358F3"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69B5D785" w14:textId="77777777">
        <w:trPr>
          <w:trHeight w:val="509"/>
        </w:trPr>
        <w:tc>
          <w:tcPr>
            <w:tcW w:w="1200" w:type="dxa"/>
            <w:vMerge/>
            <w:vAlign w:val="center"/>
            <w:hideMark/>
          </w:tcPr>
          <w:p w14:paraId="782328FC" w14:textId="77777777" w:rsidR="00A15990" w:rsidRDefault="00A15990">
            <w:pPr>
              <w:spacing w:after="0" w:line="240" w:lineRule="auto"/>
              <w:rPr>
                <w:rFonts w:ascii="Times New Roman" w:eastAsia="Times New Roman" w:hAnsi="Times New Roman" w:cs="Times New Roman"/>
                <w:noProof/>
                <w:sz w:val="20"/>
              </w:rPr>
            </w:pPr>
          </w:p>
        </w:tc>
        <w:tc>
          <w:tcPr>
            <w:tcW w:w="1760" w:type="dxa"/>
            <w:vMerge/>
            <w:vAlign w:val="center"/>
            <w:hideMark/>
          </w:tcPr>
          <w:p w14:paraId="77E830EC" w14:textId="77777777" w:rsidR="00A15990" w:rsidRDefault="00A15990">
            <w:pPr>
              <w:spacing w:after="0" w:line="240" w:lineRule="auto"/>
              <w:rPr>
                <w:rFonts w:ascii="Times New Roman" w:eastAsia="Times New Roman" w:hAnsi="Times New Roman" w:cs="Times New Roman"/>
                <w:noProof/>
                <w:sz w:val="20"/>
              </w:rPr>
            </w:pPr>
          </w:p>
        </w:tc>
        <w:tc>
          <w:tcPr>
            <w:tcW w:w="1520" w:type="dxa"/>
            <w:vMerge/>
            <w:vAlign w:val="center"/>
            <w:hideMark/>
          </w:tcPr>
          <w:p w14:paraId="21A9C4CC" w14:textId="77777777" w:rsidR="00A15990" w:rsidRDefault="00A15990">
            <w:pPr>
              <w:spacing w:after="0" w:line="240" w:lineRule="auto"/>
              <w:rPr>
                <w:rFonts w:ascii="Times New Roman" w:eastAsia="Times New Roman" w:hAnsi="Times New Roman" w:cs="Times New Roman"/>
                <w:noProof/>
                <w:sz w:val="20"/>
              </w:rPr>
            </w:pPr>
          </w:p>
        </w:tc>
        <w:tc>
          <w:tcPr>
            <w:tcW w:w="5060" w:type="dxa"/>
            <w:vMerge/>
            <w:vAlign w:val="center"/>
            <w:hideMark/>
          </w:tcPr>
          <w:p w14:paraId="08EF91B7" w14:textId="77777777" w:rsidR="00A15990" w:rsidRDefault="00A15990">
            <w:pPr>
              <w:spacing w:after="0" w:line="240" w:lineRule="auto"/>
              <w:rPr>
                <w:rFonts w:ascii="Times New Roman" w:eastAsia="Times New Roman" w:hAnsi="Times New Roman" w:cs="Times New Roman"/>
                <w:noProof/>
                <w:sz w:val="20"/>
              </w:rPr>
            </w:pPr>
          </w:p>
        </w:tc>
      </w:tr>
      <w:tr w:rsidR="00A15990" w14:paraId="231581F7" w14:textId="77777777">
        <w:trPr>
          <w:trHeight w:val="440"/>
        </w:trPr>
        <w:tc>
          <w:tcPr>
            <w:tcW w:w="1200" w:type="dxa"/>
            <w:shd w:val="clear" w:color="auto" w:fill="C4EFCE"/>
            <w:vAlign w:val="center"/>
            <w:hideMark/>
          </w:tcPr>
          <w:p w14:paraId="0019F272" w14:textId="77777777" w:rsidR="00A15990" w:rsidRDefault="00686A62">
            <w:pPr>
              <w:pStyle w:val="P68B1DB1-Normal23"/>
              <w:spacing w:after="0" w:line="240" w:lineRule="auto"/>
              <w:jc w:val="center"/>
              <w:rPr>
                <w:rFonts w:eastAsia="Times New Roman" w:cs="Calibri"/>
                <w:noProof/>
              </w:rPr>
            </w:pPr>
            <w:r>
              <w:rPr>
                <w:noProof/>
              </w:rPr>
              <w:t>5.23</w:t>
            </w:r>
          </w:p>
        </w:tc>
        <w:tc>
          <w:tcPr>
            <w:tcW w:w="1760" w:type="dxa"/>
            <w:shd w:val="clear" w:color="auto" w:fill="C4EFCE"/>
            <w:vAlign w:val="center"/>
            <w:hideMark/>
          </w:tcPr>
          <w:p w14:paraId="7E76ACD1" w14:textId="77777777" w:rsidR="00A15990" w:rsidRDefault="00686A62">
            <w:pPr>
              <w:pStyle w:val="P68B1DB1-Normal23"/>
              <w:spacing w:after="0" w:line="240" w:lineRule="auto"/>
              <w:jc w:val="center"/>
              <w:rPr>
                <w:rFonts w:eastAsia="Times New Roman" w:cs="Calibri"/>
                <w:noProof/>
              </w:rPr>
            </w:pPr>
            <w:r>
              <w:rPr>
                <w:noProof/>
              </w:rPr>
              <w:t>RE-C05-r10 </w:t>
            </w:r>
          </w:p>
        </w:tc>
        <w:tc>
          <w:tcPr>
            <w:tcW w:w="1520" w:type="dxa"/>
            <w:shd w:val="clear" w:color="auto" w:fill="C4EFCE"/>
            <w:vAlign w:val="center"/>
            <w:hideMark/>
          </w:tcPr>
          <w:p w14:paraId="29D0D0FA" w14:textId="77777777" w:rsidR="00A15990" w:rsidRDefault="00686A62">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AEDE275" w14:textId="77777777" w:rsidR="00A15990" w:rsidRDefault="00686A62">
            <w:pPr>
              <w:pStyle w:val="P68B1DB1-Normal23"/>
              <w:spacing w:after="0" w:line="240" w:lineRule="auto"/>
              <w:jc w:val="both"/>
              <w:rPr>
                <w:rFonts w:eastAsia="Times New Roman" w:cs="Calibri"/>
                <w:noProof/>
              </w:rPr>
            </w:pPr>
            <w:r>
              <w:rPr>
                <w:noProof/>
              </w:rPr>
              <w:t>Intrarea în vigoare a regulamentului de stabilire a activităților și a statutului Banco Português de Fomento (BPF)</w:t>
            </w:r>
          </w:p>
        </w:tc>
      </w:tr>
      <w:tr w:rsidR="00A15990" w14:paraId="31564C75" w14:textId="77777777">
        <w:trPr>
          <w:trHeight w:val="440"/>
        </w:trPr>
        <w:tc>
          <w:tcPr>
            <w:tcW w:w="1200" w:type="dxa"/>
            <w:shd w:val="clear" w:color="auto" w:fill="C4EFCE"/>
            <w:vAlign w:val="center"/>
            <w:hideMark/>
          </w:tcPr>
          <w:p w14:paraId="0B27A3F2" w14:textId="77777777" w:rsidR="00A15990" w:rsidRDefault="00686A62">
            <w:pPr>
              <w:pStyle w:val="P68B1DB1-Normal23"/>
              <w:spacing w:after="0" w:line="240" w:lineRule="auto"/>
              <w:jc w:val="center"/>
              <w:rPr>
                <w:rFonts w:eastAsia="Times New Roman" w:cs="Calibri"/>
                <w:noProof/>
              </w:rPr>
            </w:pPr>
            <w:r>
              <w:rPr>
                <w:noProof/>
              </w:rPr>
              <w:t>5.27</w:t>
            </w:r>
          </w:p>
        </w:tc>
        <w:tc>
          <w:tcPr>
            <w:tcW w:w="1760" w:type="dxa"/>
            <w:shd w:val="clear" w:color="auto" w:fill="C4EFCE"/>
            <w:vAlign w:val="center"/>
            <w:hideMark/>
          </w:tcPr>
          <w:p w14:paraId="0AC92BC5" w14:textId="77777777" w:rsidR="00A15990" w:rsidRDefault="00686A62">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62A0E886" w14:textId="77777777" w:rsidR="00A15990" w:rsidRDefault="00686A62">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52055337" w14:textId="77777777" w:rsidR="00A15990" w:rsidRDefault="00686A62">
            <w:pPr>
              <w:pStyle w:val="P68B1DB1-Normal23"/>
              <w:spacing w:after="0" w:line="240" w:lineRule="auto"/>
              <w:jc w:val="both"/>
              <w:rPr>
                <w:rFonts w:eastAsia="Times New Roman" w:cs="Calibri"/>
                <w:noProof/>
              </w:rPr>
            </w:pPr>
            <w:r>
              <w:rPr>
                <w:noProof/>
              </w:rPr>
              <w:t xml:space="preserve">Intrarea în vigoare a unui decret-lege care reglementează măsura de capitalizare a BPF </w:t>
            </w:r>
          </w:p>
        </w:tc>
      </w:tr>
      <w:tr w:rsidR="00A15990" w14:paraId="5DC5E664" w14:textId="77777777">
        <w:trPr>
          <w:trHeight w:val="440"/>
        </w:trPr>
        <w:tc>
          <w:tcPr>
            <w:tcW w:w="1200" w:type="dxa"/>
            <w:shd w:val="clear" w:color="auto" w:fill="C4EFCE"/>
            <w:vAlign w:val="center"/>
            <w:hideMark/>
          </w:tcPr>
          <w:p w14:paraId="56BFF86C" w14:textId="77777777" w:rsidR="00A15990" w:rsidRDefault="00686A62">
            <w:pPr>
              <w:pStyle w:val="P68B1DB1-Normal23"/>
              <w:spacing w:after="0" w:line="240" w:lineRule="auto"/>
              <w:jc w:val="center"/>
              <w:rPr>
                <w:rFonts w:eastAsia="Times New Roman" w:cs="Calibri"/>
                <w:noProof/>
              </w:rPr>
            </w:pPr>
            <w:r>
              <w:rPr>
                <w:noProof/>
              </w:rPr>
              <w:t>5.28</w:t>
            </w:r>
          </w:p>
        </w:tc>
        <w:tc>
          <w:tcPr>
            <w:tcW w:w="1760" w:type="dxa"/>
            <w:shd w:val="clear" w:color="auto" w:fill="C4EFCE"/>
            <w:vAlign w:val="center"/>
            <w:hideMark/>
          </w:tcPr>
          <w:p w14:paraId="1DAA31DC" w14:textId="77777777" w:rsidR="00A15990" w:rsidRDefault="00686A62">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25478A9B" w14:textId="77777777" w:rsidR="00A15990" w:rsidRDefault="00686A62">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449D334D" w14:textId="77777777" w:rsidR="00A15990" w:rsidRDefault="00686A62">
            <w:pPr>
              <w:pStyle w:val="P68B1DB1-Normal23"/>
              <w:spacing w:after="0" w:line="240" w:lineRule="auto"/>
              <w:jc w:val="both"/>
              <w:rPr>
                <w:rFonts w:eastAsia="Times New Roman" w:cs="Calibri"/>
                <w:noProof/>
              </w:rPr>
            </w:pPr>
            <w:r>
              <w:rPr>
                <w:noProof/>
              </w:rPr>
              <w:t>Dezvoltarea politicii de investiții (capitalizare) și adoptarea de către administratorul vehiculului</w:t>
            </w:r>
          </w:p>
        </w:tc>
      </w:tr>
      <w:tr w:rsidR="00A15990" w14:paraId="3FD88BF5" w14:textId="77777777">
        <w:trPr>
          <w:trHeight w:val="440"/>
        </w:trPr>
        <w:tc>
          <w:tcPr>
            <w:tcW w:w="1200" w:type="dxa"/>
            <w:shd w:val="clear" w:color="auto" w:fill="C4EFCE"/>
            <w:vAlign w:val="center"/>
            <w:hideMark/>
          </w:tcPr>
          <w:p w14:paraId="0C2466DE"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B8B12A3" w14:textId="77777777" w:rsidR="00A15990" w:rsidRDefault="00686A62">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156D5B3"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0B510FD1" w14:textId="63EA3829" w:rsidR="00A15990" w:rsidRDefault="00686A62">
            <w:pPr>
              <w:pStyle w:val="P68B1DB1-Normal25"/>
              <w:spacing w:after="0" w:line="240" w:lineRule="auto"/>
              <w:jc w:val="center"/>
              <w:rPr>
                <w:rFonts w:cs="Calibri"/>
                <w:noProof/>
              </w:rPr>
            </w:pPr>
            <w:r>
              <w:rPr>
                <w:noProof/>
              </w:rPr>
              <w:t xml:space="preserve">700 000 000 MIL. </w:t>
            </w:r>
          </w:p>
        </w:tc>
      </w:tr>
    </w:tbl>
    <w:p w14:paraId="717E1755" w14:textId="77777777" w:rsidR="00A15990" w:rsidRDefault="00A15990">
      <w:pPr>
        <w:keepNext/>
        <w:spacing w:after="160" w:line="259" w:lineRule="auto"/>
        <w:contextualSpacing/>
        <w:jc w:val="both"/>
        <w:rPr>
          <w:rFonts w:ascii="Times New Roman" w:eastAsiaTheme="minorEastAsia" w:hAnsi="Times New Roman" w:cs="Times New Roman"/>
          <w:noProof/>
          <w:sz w:val="24"/>
        </w:rPr>
      </w:pPr>
    </w:p>
    <w:p w14:paraId="0D521636" w14:textId="77777777" w:rsidR="00A15990" w:rsidRDefault="00A15990">
      <w:pPr>
        <w:keepNext/>
        <w:spacing w:after="160" w:line="259" w:lineRule="auto"/>
        <w:contextualSpacing/>
        <w:jc w:val="both"/>
        <w:rPr>
          <w:rFonts w:ascii="Times New Roman" w:eastAsiaTheme="minorEastAsia" w:hAnsi="Times New Roman" w:cs="Times New Roman"/>
          <w:noProof/>
          <w:sz w:val="24"/>
        </w:rPr>
      </w:pPr>
    </w:p>
    <w:p w14:paraId="212AD2B0"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doua cerere de plată (sprijin sub formă de împrumut): </w:t>
      </w:r>
    </w:p>
    <w:p w14:paraId="02E15ED7"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0EB2FB8A" w14:textId="77777777">
        <w:trPr>
          <w:trHeight w:val="509"/>
        </w:trPr>
        <w:tc>
          <w:tcPr>
            <w:tcW w:w="1200" w:type="dxa"/>
            <w:vMerge w:val="restart"/>
            <w:shd w:val="clear" w:color="auto" w:fill="BDD7EE"/>
            <w:vAlign w:val="center"/>
            <w:hideMark/>
          </w:tcPr>
          <w:p w14:paraId="1B001ABA"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6E0E0306"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2A96E987" w14:textId="66D5A3FC"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7A89ACB1"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23B562DF" w14:textId="77777777">
        <w:trPr>
          <w:trHeight w:val="509"/>
        </w:trPr>
        <w:tc>
          <w:tcPr>
            <w:tcW w:w="1200" w:type="dxa"/>
            <w:vMerge/>
            <w:vAlign w:val="center"/>
            <w:hideMark/>
          </w:tcPr>
          <w:p w14:paraId="03688CB7" w14:textId="77777777" w:rsidR="00A15990" w:rsidRDefault="00A15990">
            <w:pPr>
              <w:spacing w:after="0" w:line="240" w:lineRule="auto"/>
              <w:rPr>
                <w:rFonts w:ascii="Times New Roman" w:eastAsia="Times New Roman" w:hAnsi="Times New Roman" w:cs="Times New Roman"/>
                <w:noProof/>
                <w:sz w:val="20"/>
              </w:rPr>
            </w:pPr>
          </w:p>
        </w:tc>
        <w:tc>
          <w:tcPr>
            <w:tcW w:w="1760" w:type="dxa"/>
            <w:vMerge/>
            <w:vAlign w:val="center"/>
            <w:hideMark/>
          </w:tcPr>
          <w:p w14:paraId="5CEB0911" w14:textId="77777777" w:rsidR="00A15990" w:rsidRDefault="00A15990">
            <w:pPr>
              <w:spacing w:after="0" w:line="240" w:lineRule="auto"/>
              <w:rPr>
                <w:rFonts w:ascii="Times New Roman" w:eastAsia="Times New Roman" w:hAnsi="Times New Roman" w:cs="Times New Roman"/>
                <w:noProof/>
                <w:sz w:val="20"/>
              </w:rPr>
            </w:pPr>
          </w:p>
        </w:tc>
        <w:tc>
          <w:tcPr>
            <w:tcW w:w="1520" w:type="dxa"/>
            <w:vMerge/>
            <w:vAlign w:val="center"/>
            <w:hideMark/>
          </w:tcPr>
          <w:p w14:paraId="3FC7C10B" w14:textId="77777777" w:rsidR="00A15990" w:rsidRDefault="00A15990">
            <w:pPr>
              <w:spacing w:after="0" w:line="240" w:lineRule="auto"/>
              <w:rPr>
                <w:rFonts w:ascii="Times New Roman" w:eastAsia="Times New Roman" w:hAnsi="Times New Roman" w:cs="Times New Roman"/>
                <w:noProof/>
                <w:sz w:val="20"/>
              </w:rPr>
            </w:pPr>
          </w:p>
        </w:tc>
        <w:tc>
          <w:tcPr>
            <w:tcW w:w="5060" w:type="dxa"/>
            <w:vMerge/>
            <w:vAlign w:val="center"/>
            <w:hideMark/>
          </w:tcPr>
          <w:p w14:paraId="6D45A41A" w14:textId="77777777" w:rsidR="00A15990" w:rsidRDefault="00A15990">
            <w:pPr>
              <w:spacing w:after="0" w:line="240" w:lineRule="auto"/>
              <w:rPr>
                <w:rFonts w:ascii="Times New Roman" w:eastAsia="Times New Roman" w:hAnsi="Times New Roman" w:cs="Times New Roman"/>
                <w:noProof/>
                <w:sz w:val="20"/>
              </w:rPr>
            </w:pPr>
          </w:p>
        </w:tc>
      </w:tr>
      <w:tr w:rsidR="00A15990" w14:paraId="1570ABB6" w14:textId="77777777">
        <w:trPr>
          <w:trHeight w:val="440"/>
        </w:trPr>
        <w:tc>
          <w:tcPr>
            <w:tcW w:w="1200" w:type="dxa"/>
            <w:shd w:val="clear" w:color="auto" w:fill="C4EFCE"/>
            <w:vAlign w:val="center"/>
            <w:hideMark/>
          </w:tcPr>
          <w:p w14:paraId="009ECE5F" w14:textId="77777777" w:rsidR="00A15990" w:rsidRDefault="00686A62">
            <w:pPr>
              <w:pStyle w:val="P68B1DB1-Normal23"/>
              <w:spacing w:after="0" w:line="240" w:lineRule="auto"/>
              <w:jc w:val="center"/>
              <w:rPr>
                <w:rFonts w:eastAsia="Times New Roman" w:cs="Calibri"/>
                <w:noProof/>
              </w:rPr>
            </w:pPr>
            <w:r>
              <w:rPr>
                <w:noProof/>
              </w:rPr>
              <w:t>5.30</w:t>
            </w:r>
          </w:p>
        </w:tc>
        <w:tc>
          <w:tcPr>
            <w:tcW w:w="1760" w:type="dxa"/>
            <w:shd w:val="clear" w:color="auto" w:fill="C4EFCE"/>
            <w:vAlign w:val="center"/>
            <w:hideMark/>
          </w:tcPr>
          <w:p w14:paraId="675FBF51" w14:textId="77777777" w:rsidR="00A15990" w:rsidRDefault="00686A62">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5F3B7817" w14:textId="77777777" w:rsidR="00A15990" w:rsidRDefault="00686A62">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077B04B8" w14:textId="77777777" w:rsidR="00A15990" w:rsidRDefault="00686A62">
            <w:pPr>
              <w:pStyle w:val="P68B1DB1-Normal23"/>
              <w:spacing w:after="0" w:line="240" w:lineRule="auto"/>
              <w:jc w:val="both"/>
              <w:rPr>
                <w:rFonts w:eastAsia="Times New Roman" w:cs="Calibri"/>
                <w:noProof/>
              </w:rPr>
            </w:pPr>
            <w:r>
              <w:rPr>
                <w:noProof/>
              </w:rPr>
              <w:t>Notificarea Comisiei Europene cu privire la trecerea cu succes a evaluării bazate pe piloni pentru BPF</w:t>
            </w:r>
          </w:p>
        </w:tc>
      </w:tr>
      <w:tr w:rsidR="00A15990" w14:paraId="4F63CB2A" w14:textId="77777777">
        <w:trPr>
          <w:trHeight w:val="440"/>
        </w:trPr>
        <w:tc>
          <w:tcPr>
            <w:tcW w:w="1200" w:type="dxa"/>
            <w:shd w:val="clear" w:color="auto" w:fill="C4EFCE"/>
            <w:vAlign w:val="center"/>
            <w:hideMark/>
          </w:tcPr>
          <w:p w14:paraId="1E7826AF" w14:textId="77777777" w:rsidR="00A15990" w:rsidRDefault="00686A62">
            <w:pPr>
              <w:pStyle w:val="P68B1DB1-Normal23"/>
              <w:spacing w:after="0" w:line="240" w:lineRule="auto"/>
              <w:jc w:val="center"/>
              <w:rPr>
                <w:rFonts w:eastAsia="Times New Roman" w:cs="Calibri"/>
                <w:noProof/>
              </w:rPr>
            </w:pPr>
            <w:r>
              <w:rPr>
                <w:noProof/>
              </w:rPr>
              <w:t>5.31</w:t>
            </w:r>
          </w:p>
        </w:tc>
        <w:tc>
          <w:tcPr>
            <w:tcW w:w="1760" w:type="dxa"/>
            <w:shd w:val="clear" w:color="auto" w:fill="C4EFCE"/>
            <w:vAlign w:val="center"/>
            <w:hideMark/>
          </w:tcPr>
          <w:p w14:paraId="0270B895" w14:textId="77777777" w:rsidR="00A15990" w:rsidRDefault="00686A62">
            <w:pPr>
              <w:pStyle w:val="P68B1DB1-Normal23"/>
              <w:spacing w:after="0" w:line="240" w:lineRule="auto"/>
              <w:jc w:val="center"/>
              <w:rPr>
                <w:rFonts w:eastAsia="Times New Roman" w:cs="Calibri"/>
                <w:noProof/>
              </w:rPr>
            </w:pPr>
            <w:r>
              <w:rPr>
                <w:noProof/>
              </w:rPr>
              <w:t>RE-C05-i06 </w:t>
            </w:r>
          </w:p>
        </w:tc>
        <w:tc>
          <w:tcPr>
            <w:tcW w:w="1520" w:type="dxa"/>
            <w:shd w:val="clear" w:color="auto" w:fill="C4EFCE"/>
            <w:vAlign w:val="center"/>
            <w:hideMark/>
          </w:tcPr>
          <w:p w14:paraId="3965D7AA" w14:textId="77777777" w:rsidR="00A15990" w:rsidRDefault="00686A62">
            <w:pPr>
              <w:pStyle w:val="P68B1DB1-Normal23"/>
              <w:spacing w:after="0" w:line="240" w:lineRule="auto"/>
              <w:jc w:val="center"/>
              <w:rPr>
                <w:rFonts w:eastAsia="Times New Roman" w:cs="Calibri"/>
                <w:noProof/>
              </w:rPr>
            </w:pPr>
            <w:r>
              <w:rPr>
                <w:noProof/>
              </w:rPr>
              <w:t>M</w:t>
            </w:r>
          </w:p>
        </w:tc>
        <w:tc>
          <w:tcPr>
            <w:tcW w:w="5060" w:type="dxa"/>
            <w:shd w:val="clear" w:color="auto" w:fill="C4EFCE"/>
            <w:vAlign w:val="center"/>
            <w:hideMark/>
          </w:tcPr>
          <w:p w14:paraId="130F5CB2" w14:textId="77777777" w:rsidR="00A15990" w:rsidRDefault="00686A62">
            <w:pPr>
              <w:pStyle w:val="P68B1DB1-Normal23"/>
              <w:spacing w:after="0" w:line="240" w:lineRule="auto"/>
              <w:jc w:val="both"/>
              <w:rPr>
                <w:rFonts w:eastAsia="Times New Roman" w:cs="Calibri"/>
                <w:noProof/>
              </w:rPr>
            </w:pPr>
            <w:r>
              <w:rPr>
                <w:noProof/>
              </w:rPr>
              <w:t>Transferul de capital în valoare de 250 000 000 EUR de la guvernul portughez către BPF și adoptarea politicii de investiții pentru BPF</w:t>
            </w:r>
          </w:p>
        </w:tc>
      </w:tr>
      <w:tr w:rsidR="00A15990" w14:paraId="5DF0FC8C" w14:textId="77777777">
        <w:trPr>
          <w:trHeight w:val="440"/>
        </w:trPr>
        <w:tc>
          <w:tcPr>
            <w:tcW w:w="1200" w:type="dxa"/>
            <w:shd w:val="clear" w:color="auto" w:fill="C4EFCE"/>
            <w:vAlign w:val="center"/>
            <w:hideMark/>
          </w:tcPr>
          <w:p w14:paraId="4275F46E"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422F0890" w14:textId="77777777" w:rsidR="00A15990" w:rsidRDefault="00686A62">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216845AB"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3845844B" w14:textId="3DC80B07" w:rsidR="00A15990" w:rsidRDefault="00686A62">
            <w:pPr>
              <w:pStyle w:val="P68B1DB1-Normal25"/>
              <w:spacing w:after="0" w:line="240" w:lineRule="auto"/>
              <w:jc w:val="center"/>
              <w:rPr>
                <w:rFonts w:cs="Calibri"/>
                <w:noProof/>
              </w:rPr>
            </w:pPr>
            <w:r>
              <w:rPr>
                <w:noProof/>
              </w:rPr>
              <w:t xml:space="preserve">125 000 000 MIL. </w:t>
            </w:r>
          </w:p>
        </w:tc>
      </w:tr>
    </w:tbl>
    <w:p w14:paraId="011575C2"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2F53405C"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27D8DBB2"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treia cerere de plată (sprijin sub formă de împrumut): </w:t>
      </w:r>
    </w:p>
    <w:p w14:paraId="45710B93"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56F1D039" w14:textId="77777777">
        <w:trPr>
          <w:trHeight w:val="509"/>
          <w:tblHeader/>
        </w:trPr>
        <w:tc>
          <w:tcPr>
            <w:tcW w:w="1200" w:type="dxa"/>
            <w:vMerge w:val="restart"/>
            <w:shd w:val="clear" w:color="auto" w:fill="BDD7EE"/>
            <w:vAlign w:val="center"/>
            <w:hideMark/>
          </w:tcPr>
          <w:p w14:paraId="1CD5E8AC" w14:textId="77777777" w:rsidR="00A15990" w:rsidRDefault="00686A62">
            <w:pPr>
              <w:pStyle w:val="P68B1DB1-Normal22"/>
              <w:keepNext/>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554BDD9C" w14:textId="77777777" w:rsidR="00A15990" w:rsidRDefault="00686A62">
            <w:pPr>
              <w:pStyle w:val="P68B1DB1-Normal22"/>
              <w:keepNext/>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5A817C51" w14:textId="1DD49E78" w:rsidR="00A15990" w:rsidRDefault="004976DE">
            <w:pPr>
              <w:pStyle w:val="P68B1DB1-Normal22"/>
              <w:keepNext/>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348B16AE" w14:textId="77777777" w:rsidR="00A15990" w:rsidRDefault="00686A62">
            <w:pPr>
              <w:pStyle w:val="P68B1DB1-Normal22"/>
              <w:keepNext/>
              <w:spacing w:after="0" w:line="240" w:lineRule="auto"/>
              <w:jc w:val="center"/>
              <w:rPr>
                <w:rFonts w:eastAsia="Times New Roman" w:cs="Times New Roman"/>
                <w:noProof/>
              </w:rPr>
            </w:pPr>
            <w:r>
              <w:rPr>
                <w:noProof/>
              </w:rPr>
              <w:t>Nume</w:t>
            </w:r>
          </w:p>
        </w:tc>
      </w:tr>
      <w:tr w:rsidR="00A15990" w14:paraId="54C48B88" w14:textId="77777777">
        <w:trPr>
          <w:trHeight w:val="509"/>
          <w:tblHeader/>
        </w:trPr>
        <w:tc>
          <w:tcPr>
            <w:tcW w:w="1200" w:type="dxa"/>
            <w:vMerge/>
            <w:vAlign w:val="center"/>
            <w:hideMark/>
          </w:tcPr>
          <w:p w14:paraId="15CE11B2" w14:textId="77777777" w:rsidR="00A15990" w:rsidRDefault="00A15990">
            <w:pPr>
              <w:spacing w:after="0" w:line="240" w:lineRule="auto"/>
              <w:rPr>
                <w:rFonts w:ascii="Times New Roman" w:eastAsia="Times New Roman" w:hAnsi="Times New Roman" w:cs="Times New Roman"/>
                <w:noProof/>
                <w:sz w:val="20"/>
              </w:rPr>
            </w:pPr>
          </w:p>
        </w:tc>
        <w:tc>
          <w:tcPr>
            <w:tcW w:w="1760" w:type="dxa"/>
            <w:vMerge/>
            <w:vAlign w:val="center"/>
            <w:hideMark/>
          </w:tcPr>
          <w:p w14:paraId="1D899E3A" w14:textId="77777777" w:rsidR="00A15990" w:rsidRDefault="00A15990">
            <w:pPr>
              <w:spacing w:after="0" w:line="240" w:lineRule="auto"/>
              <w:rPr>
                <w:rFonts w:ascii="Times New Roman" w:eastAsia="Times New Roman" w:hAnsi="Times New Roman" w:cs="Times New Roman"/>
                <w:noProof/>
                <w:sz w:val="20"/>
              </w:rPr>
            </w:pPr>
          </w:p>
        </w:tc>
        <w:tc>
          <w:tcPr>
            <w:tcW w:w="1520" w:type="dxa"/>
            <w:vMerge/>
            <w:vAlign w:val="center"/>
            <w:hideMark/>
          </w:tcPr>
          <w:p w14:paraId="4387D244" w14:textId="77777777" w:rsidR="00A15990" w:rsidRDefault="00A15990">
            <w:pPr>
              <w:spacing w:after="0" w:line="240" w:lineRule="auto"/>
              <w:rPr>
                <w:rFonts w:ascii="Times New Roman" w:eastAsia="Times New Roman" w:hAnsi="Times New Roman" w:cs="Times New Roman"/>
                <w:noProof/>
                <w:sz w:val="20"/>
              </w:rPr>
            </w:pPr>
          </w:p>
        </w:tc>
        <w:tc>
          <w:tcPr>
            <w:tcW w:w="5060" w:type="dxa"/>
            <w:vMerge/>
            <w:vAlign w:val="center"/>
            <w:hideMark/>
          </w:tcPr>
          <w:p w14:paraId="4C9A4136" w14:textId="77777777" w:rsidR="00A15990" w:rsidRDefault="00A15990">
            <w:pPr>
              <w:spacing w:after="0" w:line="240" w:lineRule="auto"/>
              <w:rPr>
                <w:rFonts w:ascii="Times New Roman" w:eastAsia="Times New Roman" w:hAnsi="Times New Roman" w:cs="Times New Roman"/>
                <w:noProof/>
                <w:sz w:val="20"/>
              </w:rPr>
            </w:pPr>
          </w:p>
        </w:tc>
      </w:tr>
      <w:tr w:rsidR="00A15990" w14:paraId="30E391F9" w14:textId="77777777">
        <w:trPr>
          <w:trHeight w:val="440"/>
        </w:trPr>
        <w:tc>
          <w:tcPr>
            <w:tcW w:w="1200" w:type="dxa"/>
            <w:shd w:val="clear" w:color="auto" w:fill="C4EFCE"/>
            <w:vAlign w:val="center"/>
          </w:tcPr>
          <w:p w14:paraId="1329D539" w14:textId="77777777" w:rsidR="00A15990" w:rsidRDefault="00686A62">
            <w:pPr>
              <w:pStyle w:val="P68B1DB1-Normal23"/>
              <w:spacing w:after="0"/>
              <w:jc w:val="center"/>
              <w:rPr>
                <w:noProof/>
              </w:rPr>
            </w:pPr>
            <w:r>
              <w:rPr>
                <w:noProof/>
              </w:rPr>
              <w:t>2.20</w:t>
            </w:r>
          </w:p>
        </w:tc>
        <w:tc>
          <w:tcPr>
            <w:tcW w:w="1760" w:type="dxa"/>
            <w:shd w:val="clear" w:color="auto" w:fill="C4EFCE"/>
            <w:vAlign w:val="center"/>
          </w:tcPr>
          <w:p w14:paraId="46E5A600" w14:textId="77777777" w:rsidR="00A15990" w:rsidRDefault="00686A62">
            <w:pPr>
              <w:pStyle w:val="P68B1DB1-Normal23"/>
              <w:spacing w:after="0"/>
              <w:jc w:val="center"/>
              <w:rPr>
                <w:noProof/>
              </w:rPr>
            </w:pPr>
            <w:r>
              <w:rPr>
                <w:noProof/>
              </w:rPr>
              <w:t>RE-C02-i05</w:t>
            </w:r>
          </w:p>
        </w:tc>
        <w:tc>
          <w:tcPr>
            <w:tcW w:w="1520" w:type="dxa"/>
            <w:shd w:val="clear" w:color="auto" w:fill="C4EFCE"/>
            <w:vAlign w:val="center"/>
          </w:tcPr>
          <w:p w14:paraId="731E33FA" w14:textId="77777777" w:rsidR="00A15990" w:rsidRDefault="00686A62">
            <w:pPr>
              <w:pStyle w:val="P68B1DB1-Normal23"/>
              <w:spacing w:after="0"/>
              <w:jc w:val="center"/>
              <w:rPr>
                <w:noProof/>
              </w:rPr>
            </w:pPr>
            <w:r>
              <w:rPr>
                <w:noProof/>
              </w:rPr>
              <w:t>T</w:t>
            </w:r>
          </w:p>
        </w:tc>
        <w:tc>
          <w:tcPr>
            <w:tcW w:w="5060" w:type="dxa"/>
            <w:shd w:val="clear" w:color="auto" w:fill="C4EFCE"/>
            <w:vAlign w:val="center"/>
          </w:tcPr>
          <w:p w14:paraId="68BCDFD3" w14:textId="77777777" w:rsidR="00A15990" w:rsidRDefault="00686A62">
            <w:pPr>
              <w:pStyle w:val="P68B1DB1-Normal23"/>
              <w:spacing w:after="0"/>
              <w:jc w:val="both"/>
              <w:rPr>
                <w:noProof/>
              </w:rPr>
            </w:pPr>
            <w:r>
              <w:rPr>
                <w:noProof/>
              </w:rPr>
              <w:t>Parc de locuințe publice la prețuri accesibile – Locuințe cu lucrări începute (construite cu eficiență energetică ridicată sau reabilitate cu o performanță energetică îmbunătățită)</w:t>
            </w:r>
          </w:p>
        </w:tc>
      </w:tr>
      <w:tr w:rsidR="00A15990" w14:paraId="74203895" w14:textId="77777777">
        <w:trPr>
          <w:trHeight w:val="440"/>
        </w:trPr>
        <w:tc>
          <w:tcPr>
            <w:tcW w:w="1200" w:type="dxa"/>
            <w:shd w:val="clear" w:color="auto" w:fill="C4EFCE"/>
            <w:vAlign w:val="center"/>
            <w:hideMark/>
          </w:tcPr>
          <w:p w14:paraId="2563BBA6" w14:textId="77777777" w:rsidR="00A15990" w:rsidRDefault="00686A62">
            <w:pPr>
              <w:pStyle w:val="P68B1DB1-Normal23"/>
              <w:spacing w:after="0"/>
              <w:jc w:val="center"/>
              <w:rPr>
                <w:noProof/>
              </w:rPr>
            </w:pPr>
            <w:r>
              <w:rPr>
                <w:noProof/>
              </w:rPr>
              <w:t>2.25</w:t>
            </w:r>
          </w:p>
        </w:tc>
        <w:tc>
          <w:tcPr>
            <w:tcW w:w="1760" w:type="dxa"/>
            <w:shd w:val="clear" w:color="auto" w:fill="C4EFCE"/>
            <w:vAlign w:val="center"/>
            <w:hideMark/>
          </w:tcPr>
          <w:p w14:paraId="7E22A000" w14:textId="77777777" w:rsidR="00A15990" w:rsidRDefault="00686A62">
            <w:pPr>
              <w:pStyle w:val="P68B1DB1-Normal23"/>
              <w:spacing w:after="0"/>
              <w:jc w:val="center"/>
              <w:rPr>
                <w:noProof/>
              </w:rPr>
            </w:pPr>
            <w:r>
              <w:rPr>
                <w:noProof/>
              </w:rPr>
              <w:t>RE-C02-i06</w:t>
            </w:r>
          </w:p>
        </w:tc>
        <w:tc>
          <w:tcPr>
            <w:tcW w:w="1520" w:type="dxa"/>
            <w:shd w:val="clear" w:color="auto" w:fill="C4EFCE"/>
            <w:vAlign w:val="center"/>
            <w:hideMark/>
          </w:tcPr>
          <w:p w14:paraId="116111E5" w14:textId="77777777" w:rsidR="00A15990" w:rsidRDefault="00686A62">
            <w:pPr>
              <w:pStyle w:val="P68B1DB1-Normal23"/>
              <w:spacing w:after="0"/>
              <w:jc w:val="center"/>
              <w:rPr>
                <w:noProof/>
              </w:rPr>
            </w:pPr>
            <w:r>
              <w:rPr>
                <w:noProof/>
              </w:rPr>
              <w:t>T</w:t>
            </w:r>
          </w:p>
        </w:tc>
        <w:tc>
          <w:tcPr>
            <w:tcW w:w="5060" w:type="dxa"/>
            <w:shd w:val="clear" w:color="auto" w:fill="C4EFCE"/>
            <w:vAlign w:val="center"/>
            <w:hideMark/>
          </w:tcPr>
          <w:p w14:paraId="53F83543" w14:textId="77777777" w:rsidR="00A15990" w:rsidRDefault="00686A62">
            <w:pPr>
              <w:pStyle w:val="P68B1DB1-Normal23"/>
              <w:spacing w:after="0"/>
              <w:jc w:val="both"/>
              <w:rPr>
                <w:noProof/>
              </w:rPr>
            </w:pPr>
            <w:r>
              <w:rPr>
                <w:noProof/>
              </w:rPr>
              <w:t>Cazarea studenților la costuri accesibile – numărul de locuri de cazare pentru studenți cu licitații lansate</w:t>
            </w:r>
          </w:p>
        </w:tc>
      </w:tr>
      <w:tr w:rsidR="00A15990" w14:paraId="30722990" w14:textId="77777777">
        <w:trPr>
          <w:trHeight w:val="440"/>
        </w:trPr>
        <w:tc>
          <w:tcPr>
            <w:tcW w:w="1200" w:type="dxa"/>
            <w:shd w:val="clear" w:color="auto" w:fill="C4EFCE"/>
            <w:vAlign w:val="center"/>
            <w:hideMark/>
          </w:tcPr>
          <w:p w14:paraId="1327A5E4" w14:textId="77777777" w:rsidR="00A15990" w:rsidRDefault="00686A62">
            <w:pPr>
              <w:pStyle w:val="P68B1DB1-Normal23"/>
              <w:spacing w:after="0"/>
              <w:jc w:val="center"/>
              <w:rPr>
                <w:noProof/>
              </w:rPr>
            </w:pPr>
            <w:r>
              <w:rPr>
                <w:noProof/>
              </w:rPr>
              <w:t>5.24</w:t>
            </w:r>
          </w:p>
        </w:tc>
        <w:tc>
          <w:tcPr>
            <w:tcW w:w="1760" w:type="dxa"/>
            <w:shd w:val="clear" w:color="auto" w:fill="C4EFCE"/>
            <w:vAlign w:val="center"/>
            <w:hideMark/>
          </w:tcPr>
          <w:p w14:paraId="7313D5BF" w14:textId="77777777" w:rsidR="00A15990" w:rsidRDefault="00686A62">
            <w:pPr>
              <w:pStyle w:val="P68B1DB1-Normal23"/>
              <w:spacing w:after="0"/>
              <w:jc w:val="center"/>
              <w:rPr>
                <w:noProof/>
              </w:rPr>
            </w:pPr>
            <w:r>
              <w:rPr>
                <w:noProof/>
              </w:rPr>
              <w:t xml:space="preserve"> RE-C05-r13</w:t>
            </w:r>
          </w:p>
        </w:tc>
        <w:tc>
          <w:tcPr>
            <w:tcW w:w="1520" w:type="dxa"/>
            <w:shd w:val="clear" w:color="auto" w:fill="C4EFCE"/>
            <w:vAlign w:val="center"/>
            <w:hideMark/>
          </w:tcPr>
          <w:p w14:paraId="5AFBE9E2"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0D4879B7" w14:textId="77777777" w:rsidR="00A15990" w:rsidRDefault="00686A62">
            <w:pPr>
              <w:pStyle w:val="P68B1DB1-Normal23"/>
              <w:spacing w:after="0"/>
              <w:jc w:val="both"/>
              <w:rPr>
                <w:noProof/>
              </w:rPr>
            </w:pPr>
            <w:r>
              <w:rPr>
                <w:noProof/>
              </w:rPr>
              <w:t>Intrarea în vigoare a revizuirii cadrului juridic pentru organismele de plasament colectiv</w:t>
            </w:r>
          </w:p>
        </w:tc>
      </w:tr>
      <w:tr w:rsidR="00A15990" w14:paraId="37C006F7" w14:textId="77777777">
        <w:trPr>
          <w:trHeight w:val="440"/>
        </w:trPr>
        <w:tc>
          <w:tcPr>
            <w:tcW w:w="1200" w:type="dxa"/>
            <w:shd w:val="clear" w:color="auto" w:fill="C4EFCE"/>
            <w:vAlign w:val="center"/>
            <w:hideMark/>
          </w:tcPr>
          <w:p w14:paraId="26B1491D" w14:textId="77777777" w:rsidR="00A15990" w:rsidRDefault="00686A62">
            <w:pPr>
              <w:pStyle w:val="P68B1DB1-Normal23"/>
              <w:spacing w:after="0"/>
              <w:jc w:val="center"/>
              <w:rPr>
                <w:noProof/>
              </w:rPr>
            </w:pPr>
            <w:r>
              <w:rPr>
                <w:noProof/>
              </w:rPr>
              <w:t>5.25</w:t>
            </w:r>
          </w:p>
        </w:tc>
        <w:tc>
          <w:tcPr>
            <w:tcW w:w="1760" w:type="dxa"/>
            <w:shd w:val="clear" w:color="auto" w:fill="C4EFCE"/>
            <w:vAlign w:val="center"/>
            <w:hideMark/>
          </w:tcPr>
          <w:p w14:paraId="7A4EA22B" w14:textId="77777777" w:rsidR="00A15990" w:rsidRDefault="00686A62">
            <w:pPr>
              <w:pStyle w:val="P68B1DB1-Normal23"/>
              <w:spacing w:after="0"/>
              <w:jc w:val="center"/>
              <w:rPr>
                <w:noProof/>
              </w:rPr>
            </w:pPr>
            <w:r>
              <w:rPr>
                <w:noProof/>
              </w:rPr>
              <w:t xml:space="preserve"> RE-C05-r13</w:t>
            </w:r>
          </w:p>
        </w:tc>
        <w:tc>
          <w:tcPr>
            <w:tcW w:w="1520" w:type="dxa"/>
            <w:shd w:val="clear" w:color="auto" w:fill="C4EFCE"/>
            <w:vAlign w:val="center"/>
            <w:hideMark/>
          </w:tcPr>
          <w:p w14:paraId="35B03426"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43CD5844" w14:textId="77777777" w:rsidR="00A15990" w:rsidRDefault="00686A62">
            <w:pPr>
              <w:pStyle w:val="P68B1DB1-Normal23"/>
              <w:spacing w:after="0"/>
              <w:jc w:val="both"/>
              <w:rPr>
                <w:noProof/>
              </w:rPr>
            </w:pPr>
            <w:r>
              <w:rPr>
                <w:noProof/>
              </w:rPr>
              <w:t>Intrarea în vigoare a revizuirii Legii privind Codul valorilor mobiliare</w:t>
            </w:r>
          </w:p>
        </w:tc>
      </w:tr>
      <w:tr w:rsidR="00A15990" w14:paraId="3107CF2B" w14:textId="77777777">
        <w:trPr>
          <w:trHeight w:val="440"/>
        </w:trPr>
        <w:tc>
          <w:tcPr>
            <w:tcW w:w="1200" w:type="dxa"/>
            <w:shd w:val="clear" w:color="auto" w:fill="C4EFCE"/>
            <w:vAlign w:val="center"/>
            <w:hideMark/>
          </w:tcPr>
          <w:p w14:paraId="5CD7F889" w14:textId="77777777" w:rsidR="00A15990" w:rsidRDefault="00686A62">
            <w:pPr>
              <w:pStyle w:val="P68B1DB1-Normal23"/>
              <w:spacing w:after="0"/>
              <w:jc w:val="center"/>
              <w:rPr>
                <w:noProof/>
              </w:rPr>
            </w:pPr>
            <w:r>
              <w:rPr>
                <w:noProof/>
              </w:rPr>
              <w:t>7.9</w:t>
            </w:r>
          </w:p>
        </w:tc>
        <w:tc>
          <w:tcPr>
            <w:tcW w:w="1760" w:type="dxa"/>
            <w:shd w:val="clear" w:color="auto" w:fill="C4EFCE"/>
            <w:vAlign w:val="center"/>
            <w:hideMark/>
          </w:tcPr>
          <w:p w14:paraId="6466928F" w14:textId="77777777" w:rsidR="00A15990" w:rsidRDefault="00686A62">
            <w:pPr>
              <w:pStyle w:val="P68B1DB1-Normal23"/>
              <w:spacing w:after="0"/>
              <w:jc w:val="center"/>
              <w:rPr>
                <w:noProof/>
              </w:rPr>
            </w:pPr>
            <w:r>
              <w:rPr>
                <w:noProof/>
              </w:rPr>
              <w:t xml:space="preserve">RE-C07-i03 </w:t>
            </w:r>
          </w:p>
        </w:tc>
        <w:tc>
          <w:tcPr>
            <w:tcW w:w="1520" w:type="dxa"/>
            <w:shd w:val="clear" w:color="auto" w:fill="C4EFCE"/>
            <w:vAlign w:val="center"/>
            <w:hideMark/>
          </w:tcPr>
          <w:p w14:paraId="4E115C47" w14:textId="77777777" w:rsidR="00A15990" w:rsidRDefault="00686A62">
            <w:pPr>
              <w:pStyle w:val="P68B1DB1-Normal23"/>
              <w:spacing w:after="0"/>
              <w:jc w:val="center"/>
              <w:rPr>
                <w:noProof/>
              </w:rPr>
            </w:pPr>
            <w:r>
              <w:rPr>
                <w:noProof/>
              </w:rPr>
              <w:t>M</w:t>
            </w:r>
          </w:p>
        </w:tc>
        <w:tc>
          <w:tcPr>
            <w:tcW w:w="5060" w:type="dxa"/>
            <w:shd w:val="clear" w:color="auto" w:fill="C4EFCE"/>
            <w:vAlign w:val="center"/>
            <w:hideMark/>
          </w:tcPr>
          <w:p w14:paraId="0B0DF1F4" w14:textId="77777777" w:rsidR="00A15990" w:rsidRDefault="00686A62">
            <w:pPr>
              <w:pStyle w:val="P68B1DB1-Normal23"/>
              <w:spacing w:after="0"/>
              <w:jc w:val="both"/>
              <w:rPr>
                <w:noProof/>
              </w:rPr>
            </w:pPr>
            <w:r>
              <w:rPr>
                <w:noProof/>
              </w:rPr>
              <w:t>Finalizarea primei evaluări a impactului asupra mediului</w:t>
            </w:r>
          </w:p>
        </w:tc>
      </w:tr>
      <w:tr w:rsidR="00A15990" w14:paraId="652BE136" w14:textId="77777777">
        <w:trPr>
          <w:trHeight w:val="440"/>
        </w:trPr>
        <w:tc>
          <w:tcPr>
            <w:tcW w:w="1200" w:type="dxa"/>
            <w:shd w:val="clear" w:color="auto" w:fill="C4EFCE"/>
            <w:vAlign w:val="center"/>
            <w:hideMark/>
          </w:tcPr>
          <w:p w14:paraId="13A380F0"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02962246" w14:textId="77777777" w:rsidR="00A15990" w:rsidRDefault="00686A62">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4AD9BEA"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23433A9A" w14:textId="7B7D6100" w:rsidR="00A15990" w:rsidRDefault="00686A62">
            <w:pPr>
              <w:pStyle w:val="P68B1DB1-Normal25"/>
              <w:spacing w:after="0" w:line="240" w:lineRule="auto"/>
              <w:jc w:val="center"/>
              <w:rPr>
                <w:rFonts w:cs="Calibri"/>
                <w:noProof/>
              </w:rPr>
            </w:pPr>
            <w:r>
              <w:rPr>
                <w:noProof/>
              </w:rPr>
              <w:t xml:space="preserve"> 379 431 726 MIL.</w:t>
            </w:r>
          </w:p>
        </w:tc>
      </w:tr>
    </w:tbl>
    <w:p w14:paraId="5F6BC874"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44F6034D"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2CE96FCC"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patra cerere de plată (sprijin sub formă de împrumut): </w:t>
      </w:r>
    </w:p>
    <w:p w14:paraId="1272C240"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238EAFDB" w14:textId="77777777">
        <w:trPr>
          <w:trHeight w:val="1018"/>
        </w:trPr>
        <w:tc>
          <w:tcPr>
            <w:tcW w:w="1200" w:type="dxa"/>
            <w:shd w:val="clear" w:color="auto" w:fill="BDD7EE"/>
            <w:vAlign w:val="center"/>
            <w:hideMark/>
          </w:tcPr>
          <w:p w14:paraId="5792BC42"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shd w:val="clear" w:color="auto" w:fill="BDD7EE"/>
            <w:vAlign w:val="center"/>
            <w:hideMark/>
          </w:tcPr>
          <w:p w14:paraId="334D13DB"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shd w:val="clear" w:color="auto" w:fill="BDD7EE"/>
            <w:vAlign w:val="center"/>
            <w:hideMark/>
          </w:tcPr>
          <w:p w14:paraId="2EFF9745" w14:textId="3143B97E"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shd w:val="clear" w:color="auto" w:fill="BDD7EE"/>
            <w:vAlign w:val="center"/>
            <w:hideMark/>
          </w:tcPr>
          <w:p w14:paraId="1E5AFC53"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2B0F91C7" w14:textId="77777777">
        <w:trPr>
          <w:trHeight w:val="440"/>
        </w:trPr>
        <w:tc>
          <w:tcPr>
            <w:tcW w:w="1200" w:type="dxa"/>
            <w:shd w:val="clear" w:color="auto" w:fill="C4EFCE"/>
            <w:vAlign w:val="center"/>
            <w:hideMark/>
          </w:tcPr>
          <w:p w14:paraId="33FD24C6" w14:textId="77777777" w:rsidR="00A15990" w:rsidRDefault="00686A62">
            <w:pPr>
              <w:pStyle w:val="P68B1DB1-Normal23"/>
              <w:spacing w:after="0"/>
              <w:jc w:val="center"/>
              <w:rPr>
                <w:rFonts w:eastAsia="Calibri" w:cs="Calibri"/>
                <w:noProof/>
              </w:rPr>
            </w:pPr>
            <w:r>
              <w:rPr>
                <w:noProof/>
              </w:rPr>
              <w:t>5.44</w:t>
            </w:r>
          </w:p>
        </w:tc>
        <w:tc>
          <w:tcPr>
            <w:tcW w:w="1760" w:type="dxa"/>
            <w:shd w:val="clear" w:color="auto" w:fill="C4EFCE"/>
            <w:vAlign w:val="center"/>
            <w:hideMark/>
          </w:tcPr>
          <w:p w14:paraId="11788CF6" w14:textId="77777777" w:rsidR="00A15990" w:rsidRDefault="00686A62">
            <w:pPr>
              <w:pStyle w:val="P68B1DB1-Normal23"/>
              <w:spacing w:after="0"/>
              <w:jc w:val="center"/>
              <w:rPr>
                <w:rFonts w:eastAsia="Calibri" w:cs="Calibri"/>
                <w:noProof/>
              </w:rPr>
            </w:pPr>
            <w:r>
              <w:rPr>
                <w:noProof/>
              </w:rPr>
              <w:t xml:space="preserve">RE-C05-i11 </w:t>
            </w:r>
          </w:p>
        </w:tc>
        <w:tc>
          <w:tcPr>
            <w:tcW w:w="1520" w:type="dxa"/>
            <w:shd w:val="clear" w:color="auto" w:fill="C4EFCE"/>
            <w:vAlign w:val="center"/>
            <w:hideMark/>
          </w:tcPr>
          <w:p w14:paraId="58C4625A"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0FDFE40" w14:textId="77777777" w:rsidR="00A15990" w:rsidRDefault="00686A62">
            <w:pPr>
              <w:pStyle w:val="P68B1DB1-Normal23"/>
              <w:spacing w:after="0"/>
              <w:jc w:val="both"/>
              <w:rPr>
                <w:rFonts w:eastAsia="Calibri" w:cs="Calibri"/>
                <w:noProof/>
              </w:rPr>
            </w:pPr>
            <w:r>
              <w:rPr>
                <w:noProof/>
              </w:rPr>
              <w:t>Încheierea de contracte pentru dezvoltarea de noi produse, procese sau servicii în domenii strategice relevante (agende de inovare).</w:t>
            </w:r>
          </w:p>
        </w:tc>
      </w:tr>
      <w:tr w:rsidR="00A15990" w14:paraId="7151D914" w14:textId="77777777">
        <w:trPr>
          <w:trHeight w:val="440"/>
        </w:trPr>
        <w:tc>
          <w:tcPr>
            <w:tcW w:w="1200" w:type="dxa"/>
            <w:shd w:val="clear" w:color="auto" w:fill="C4EFCE"/>
            <w:vAlign w:val="center"/>
            <w:hideMark/>
          </w:tcPr>
          <w:p w14:paraId="0F583F70" w14:textId="77777777" w:rsidR="00A15990" w:rsidRDefault="00686A62">
            <w:pPr>
              <w:pStyle w:val="P68B1DB1-Normal23"/>
              <w:spacing w:after="0"/>
              <w:jc w:val="center"/>
              <w:rPr>
                <w:rFonts w:eastAsia="Calibri" w:cs="Calibri"/>
                <w:noProof/>
              </w:rPr>
            </w:pPr>
            <w:r>
              <w:rPr>
                <w:noProof/>
              </w:rPr>
              <w:t>7.11</w:t>
            </w:r>
          </w:p>
        </w:tc>
        <w:tc>
          <w:tcPr>
            <w:tcW w:w="1760" w:type="dxa"/>
            <w:shd w:val="clear" w:color="auto" w:fill="C4EFCE"/>
            <w:vAlign w:val="center"/>
            <w:hideMark/>
          </w:tcPr>
          <w:p w14:paraId="478656E2" w14:textId="77777777" w:rsidR="00A15990" w:rsidRDefault="00686A62">
            <w:pPr>
              <w:pStyle w:val="P68B1DB1-Normal23"/>
              <w:spacing w:after="0"/>
              <w:jc w:val="center"/>
              <w:rPr>
                <w:rFonts w:eastAsia="Calibri" w:cs="Calibri"/>
                <w:noProof/>
              </w:rPr>
            </w:pPr>
            <w:r>
              <w:rPr>
                <w:noProof/>
              </w:rPr>
              <w:t xml:space="preserve">RE-C07-i04  </w:t>
            </w:r>
          </w:p>
        </w:tc>
        <w:tc>
          <w:tcPr>
            <w:tcW w:w="1520" w:type="dxa"/>
            <w:shd w:val="clear" w:color="auto" w:fill="C4EFCE"/>
            <w:vAlign w:val="center"/>
            <w:hideMark/>
          </w:tcPr>
          <w:p w14:paraId="07BFFE39"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6B8891E4" w14:textId="77777777" w:rsidR="00A15990" w:rsidRDefault="00686A62">
            <w:pPr>
              <w:pStyle w:val="P68B1DB1-Normal23"/>
              <w:spacing w:after="0"/>
              <w:jc w:val="both"/>
              <w:rPr>
                <w:rFonts w:eastAsia="Calibri" w:cs="Calibri"/>
                <w:noProof/>
              </w:rPr>
            </w:pPr>
            <w:r>
              <w:rPr>
                <w:noProof/>
              </w:rPr>
              <w:t>Contract semnat pentru 10 proiecte rutiere</w:t>
            </w:r>
          </w:p>
        </w:tc>
      </w:tr>
      <w:tr w:rsidR="00A15990" w14:paraId="2C020E91" w14:textId="77777777">
        <w:trPr>
          <w:trHeight w:val="440"/>
        </w:trPr>
        <w:tc>
          <w:tcPr>
            <w:tcW w:w="1200" w:type="dxa"/>
            <w:shd w:val="clear" w:color="auto" w:fill="C4EFCE"/>
            <w:vAlign w:val="center"/>
            <w:hideMark/>
          </w:tcPr>
          <w:p w14:paraId="6C01BAD7"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1969BD93" w14:textId="77777777" w:rsidR="00A15990" w:rsidRDefault="00686A62">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089A606F"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2572465C" w14:textId="22F74E77" w:rsidR="00A15990" w:rsidRDefault="00686A62">
            <w:pPr>
              <w:pStyle w:val="P68B1DB1-Normal25"/>
              <w:spacing w:after="0" w:line="240" w:lineRule="auto"/>
              <w:jc w:val="center"/>
              <w:rPr>
                <w:rFonts w:cs="Calibri"/>
                <w:noProof/>
              </w:rPr>
            </w:pPr>
            <w:r>
              <w:rPr>
                <w:noProof/>
              </w:rPr>
              <w:t xml:space="preserve">235 337 423 MIL. </w:t>
            </w:r>
          </w:p>
        </w:tc>
      </w:tr>
    </w:tbl>
    <w:p w14:paraId="1848AD6B"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cincea cerere de plată (sprijin sub formă de împrumut): </w:t>
      </w:r>
    </w:p>
    <w:p w14:paraId="3731A29C"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0A22D6D8" w14:textId="77777777">
        <w:trPr>
          <w:trHeight w:val="509"/>
        </w:trPr>
        <w:tc>
          <w:tcPr>
            <w:tcW w:w="1200" w:type="dxa"/>
            <w:vMerge w:val="restart"/>
            <w:shd w:val="clear" w:color="auto" w:fill="BDD7EE"/>
            <w:vAlign w:val="center"/>
            <w:hideMark/>
          </w:tcPr>
          <w:p w14:paraId="0638121E"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301BBB67"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32F1223B" w14:textId="66925770"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67BAF3AB"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655C06D0" w14:textId="77777777">
        <w:trPr>
          <w:trHeight w:val="509"/>
        </w:trPr>
        <w:tc>
          <w:tcPr>
            <w:tcW w:w="1200" w:type="dxa"/>
            <w:vMerge/>
            <w:vAlign w:val="center"/>
            <w:hideMark/>
          </w:tcPr>
          <w:p w14:paraId="7598C946" w14:textId="77777777" w:rsidR="00A15990" w:rsidRDefault="00A15990">
            <w:pPr>
              <w:spacing w:after="0" w:line="240" w:lineRule="auto"/>
              <w:rPr>
                <w:rFonts w:ascii="Times New Roman" w:eastAsia="Times New Roman" w:hAnsi="Times New Roman" w:cs="Times New Roman"/>
                <w:noProof/>
                <w:sz w:val="20"/>
              </w:rPr>
            </w:pPr>
          </w:p>
        </w:tc>
        <w:tc>
          <w:tcPr>
            <w:tcW w:w="1760" w:type="dxa"/>
            <w:vMerge/>
            <w:vAlign w:val="center"/>
            <w:hideMark/>
          </w:tcPr>
          <w:p w14:paraId="016E741A" w14:textId="77777777" w:rsidR="00A15990" w:rsidRDefault="00A15990">
            <w:pPr>
              <w:spacing w:after="0" w:line="240" w:lineRule="auto"/>
              <w:rPr>
                <w:rFonts w:ascii="Times New Roman" w:eastAsia="Times New Roman" w:hAnsi="Times New Roman" w:cs="Times New Roman"/>
                <w:noProof/>
                <w:sz w:val="20"/>
              </w:rPr>
            </w:pPr>
          </w:p>
        </w:tc>
        <w:tc>
          <w:tcPr>
            <w:tcW w:w="1520" w:type="dxa"/>
            <w:vMerge/>
            <w:vAlign w:val="center"/>
            <w:hideMark/>
          </w:tcPr>
          <w:p w14:paraId="0568ABB1" w14:textId="77777777" w:rsidR="00A15990" w:rsidRDefault="00A15990">
            <w:pPr>
              <w:spacing w:after="0" w:line="240" w:lineRule="auto"/>
              <w:rPr>
                <w:rFonts w:ascii="Times New Roman" w:eastAsia="Times New Roman" w:hAnsi="Times New Roman" w:cs="Times New Roman"/>
                <w:noProof/>
                <w:sz w:val="20"/>
              </w:rPr>
            </w:pPr>
          </w:p>
        </w:tc>
        <w:tc>
          <w:tcPr>
            <w:tcW w:w="5060" w:type="dxa"/>
            <w:vMerge/>
            <w:vAlign w:val="center"/>
            <w:hideMark/>
          </w:tcPr>
          <w:p w14:paraId="1B8F5928" w14:textId="77777777" w:rsidR="00A15990" w:rsidRDefault="00A15990">
            <w:pPr>
              <w:spacing w:after="0" w:line="240" w:lineRule="auto"/>
              <w:rPr>
                <w:rFonts w:ascii="Times New Roman" w:eastAsia="Times New Roman" w:hAnsi="Times New Roman" w:cs="Times New Roman"/>
                <w:noProof/>
                <w:sz w:val="20"/>
              </w:rPr>
            </w:pPr>
          </w:p>
        </w:tc>
      </w:tr>
      <w:tr w:rsidR="00A15990" w14:paraId="31A58DED" w14:textId="77777777">
        <w:trPr>
          <w:trHeight w:val="440"/>
        </w:trPr>
        <w:tc>
          <w:tcPr>
            <w:tcW w:w="1200" w:type="dxa"/>
            <w:shd w:val="clear" w:color="auto" w:fill="C4EFCE"/>
            <w:vAlign w:val="center"/>
            <w:hideMark/>
          </w:tcPr>
          <w:p w14:paraId="167E4BB8" w14:textId="77777777" w:rsidR="00A15990" w:rsidRDefault="00686A62">
            <w:pPr>
              <w:pStyle w:val="P68B1DB1-Normal23"/>
              <w:spacing w:after="0"/>
              <w:jc w:val="center"/>
              <w:rPr>
                <w:rFonts w:eastAsia="Calibri" w:cs="Calibri"/>
                <w:noProof/>
              </w:rPr>
            </w:pPr>
            <w:r>
              <w:rPr>
                <w:noProof/>
              </w:rPr>
              <w:t>5.26</w:t>
            </w:r>
          </w:p>
        </w:tc>
        <w:tc>
          <w:tcPr>
            <w:tcW w:w="1760" w:type="dxa"/>
            <w:shd w:val="clear" w:color="auto" w:fill="C4EFCE"/>
            <w:vAlign w:val="center"/>
            <w:hideMark/>
          </w:tcPr>
          <w:p w14:paraId="062B8E17" w14:textId="77777777" w:rsidR="00A15990" w:rsidRDefault="00686A62">
            <w:pPr>
              <w:pStyle w:val="P68B1DB1-Normal23"/>
              <w:spacing w:after="0"/>
              <w:jc w:val="center"/>
              <w:rPr>
                <w:rFonts w:eastAsia="Calibri" w:cs="Calibri"/>
                <w:noProof/>
              </w:rPr>
            </w:pPr>
            <w:r>
              <w:rPr>
                <w:noProof/>
              </w:rPr>
              <w:t>RE-C05-r13</w:t>
            </w:r>
          </w:p>
        </w:tc>
        <w:tc>
          <w:tcPr>
            <w:tcW w:w="1520" w:type="dxa"/>
            <w:shd w:val="clear" w:color="auto" w:fill="C4EFCE"/>
            <w:vAlign w:val="center"/>
            <w:hideMark/>
          </w:tcPr>
          <w:p w14:paraId="4FF6BD54"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7CA2977" w14:textId="77777777" w:rsidR="00A15990" w:rsidRDefault="00686A62">
            <w:pPr>
              <w:pStyle w:val="P68B1DB1-Normal23"/>
              <w:spacing w:after="0"/>
              <w:jc w:val="both"/>
              <w:rPr>
                <w:rFonts w:eastAsia="Calibri" w:cs="Calibri"/>
                <w:noProof/>
              </w:rPr>
            </w:pPr>
            <w:r>
              <w:rPr>
                <w:noProof/>
              </w:rPr>
              <w:t>Dezvoltarea pieței de capital – intrarea în vigoare a legislației</w:t>
            </w:r>
          </w:p>
        </w:tc>
      </w:tr>
      <w:tr w:rsidR="00A15990" w14:paraId="71DDD36A" w14:textId="77777777">
        <w:trPr>
          <w:trHeight w:val="440"/>
        </w:trPr>
        <w:tc>
          <w:tcPr>
            <w:tcW w:w="1200" w:type="dxa"/>
            <w:shd w:val="clear" w:color="auto" w:fill="C4EFCE"/>
            <w:vAlign w:val="center"/>
            <w:hideMark/>
          </w:tcPr>
          <w:p w14:paraId="374292D1" w14:textId="77777777" w:rsidR="00A15990" w:rsidRDefault="00686A62">
            <w:pPr>
              <w:pStyle w:val="P68B1DB1-Normal23"/>
              <w:spacing w:after="0"/>
              <w:jc w:val="center"/>
              <w:rPr>
                <w:rFonts w:eastAsia="Calibri" w:cs="Calibri"/>
                <w:noProof/>
              </w:rPr>
            </w:pPr>
            <w:r>
              <w:rPr>
                <w:noProof/>
              </w:rPr>
              <w:t>5.43</w:t>
            </w:r>
          </w:p>
        </w:tc>
        <w:tc>
          <w:tcPr>
            <w:tcW w:w="1760" w:type="dxa"/>
            <w:shd w:val="clear" w:color="auto" w:fill="C4EFCE"/>
            <w:vAlign w:val="center"/>
            <w:hideMark/>
          </w:tcPr>
          <w:p w14:paraId="10072DFA" w14:textId="77777777" w:rsidR="00A15990" w:rsidRDefault="00686A62">
            <w:pPr>
              <w:pStyle w:val="P68B1DB1-Normal23"/>
              <w:spacing w:after="0"/>
              <w:jc w:val="center"/>
              <w:rPr>
                <w:rFonts w:eastAsia="Calibri" w:cs="Calibri"/>
                <w:noProof/>
              </w:rPr>
            </w:pPr>
            <w:r>
              <w:rPr>
                <w:noProof/>
              </w:rPr>
              <w:t>RE-C05-i06</w:t>
            </w:r>
          </w:p>
        </w:tc>
        <w:tc>
          <w:tcPr>
            <w:tcW w:w="1520" w:type="dxa"/>
            <w:shd w:val="clear" w:color="auto" w:fill="C4EFCE"/>
            <w:vAlign w:val="center"/>
            <w:hideMark/>
          </w:tcPr>
          <w:p w14:paraId="7E7B7F52"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D07322" w14:textId="77777777" w:rsidR="00A15990" w:rsidRDefault="00686A62">
            <w:pPr>
              <w:pStyle w:val="P68B1DB1-Normal23"/>
              <w:spacing w:after="0"/>
              <w:jc w:val="both"/>
              <w:rPr>
                <w:rFonts w:eastAsia="Calibri" w:cs="Calibri"/>
                <w:noProof/>
              </w:rPr>
            </w:pPr>
            <w:r>
              <w:rPr>
                <w:noProof/>
              </w:rPr>
              <w:t>Furnizarea, prin instrumentul de capitalizare, a unei sume totale de 650 000 000 EUR către societăți nefinanciare portugheze sub formă de participații și cvasisprijin sub formă de capitaluri proprii, în conformitate cu politica sa de investiții</w:t>
            </w:r>
          </w:p>
        </w:tc>
      </w:tr>
      <w:tr w:rsidR="00A15990" w14:paraId="67BDDC9F" w14:textId="77777777">
        <w:trPr>
          <w:trHeight w:val="440"/>
        </w:trPr>
        <w:tc>
          <w:tcPr>
            <w:tcW w:w="1200" w:type="dxa"/>
            <w:shd w:val="clear" w:color="auto" w:fill="C4EFCE"/>
            <w:vAlign w:val="center"/>
            <w:hideMark/>
          </w:tcPr>
          <w:p w14:paraId="66047135" w14:textId="77777777" w:rsidR="00A15990" w:rsidRDefault="00686A62">
            <w:pPr>
              <w:pStyle w:val="P68B1DB1-Normal23"/>
              <w:spacing w:after="0"/>
              <w:jc w:val="center"/>
              <w:rPr>
                <w:rFonts w:eastAsia="Calibri" w:cs="Calibri"/>
                <w:noProof/>
              </w:rPr>
            </w:pPr>
            <w:r>
              <w:rPr>
                <w:noProof/>
              </w:rPr>
              <w:t>5.46</w:t>
            </w:r>
          </w:p>
        </w:tc>
        <w:tc>
          <w:tcPr>
            <w:tcW w:w="1760" w:type="dxa"/>
            <w:shd w:val="clear" w:color="auto" w:fill="C4EFCE"/>
            <w:vAlign w:val="center"/>
            <w:hideMark/>
          </w:tcPr>
          <w:p w14:paraId="5377E714" w14:textId="0B051042" w:rsidR="00A15990" w:rsidRDefault="00686A62">
            <w:pPr>
              <w:pStyle w:val="P68B1DB1-Normal23"/>
              <w:spacing w:after="0"/>
              <w:jc w:val="center"/>
              <w:rPr>
                <w:rFonts w:eastAsia="Calibri" w:cs="Calibri"/>
                <w:noProof/>
              </w:rPr>
            </w:pPr>
            <w:r>
              <w:rPr>
                <w:noProof/>
              </w:rPr>
              <w:t>RE-C05-i12</w:t>
            </w:r>
          </w:p>
        </w:tc>
        <w:tc>
          <w:tcPr>
            <w:tcW w:w="1520" w:type="dxa"/>
            <w:shd w:val="clear" w:color="auto" w:fill="C4EFCE"/>
            <w:vAlign w:val="center"/>
            <w:hideMark/>
          </w:tcPr>
          <w:p w14:paraId="39E8C887"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3261A9DA" w14:textId="77777777" w:rsidR="00A15990" w:rsidRDefault="00686A62">
            <w:pPr>
              <w:pStyle w:val="P68B1DB1-Normal23"/>
              <w:spacing w:after="0"/>
              <w:jc w:val="both"/>
              <w:rPr>
                <w:rFonts w:eastAsia="Calibri" w:cs="Calibri"/>
                <w:noProof/>
              </w:rPr>
            </w:pPr>
            <w:r>
              <w:rPr>
                <w:noProof/>
              </w:rPr>
              <w:t>Încheierea de contracte pentru dezvoltarea de noi produse, procese sau servicii în domenii strategice relevante pentru economia cu emisii scăzute de dioxid de carbon, reziliența și adaptarea la schimbările climatice.</w:t>
            </w:r>
          </w:p>
        </w:tc>
      </w:tr>
      <w:tr w:rsidR="00A15990" w14:paraId="783646DD" w14:textId="77777777">
        <w:trPr>
          <w:trHeight w:val="440"/>
        </w:trPr>
        <w:tc>
          <w:tcPr>
            <w:tcW w:w="1200" w:type="dxa"/>
            <w:shd w:val="clear" w:color="auto" w:fill="C4EFCE"/>
            <w:vAlign w:val="center"/>
            <w:hideMark/>
          </w:tcPr>
          <w:p w14:paraId="79C5A416" w14:textId="77777777" w:rsidR="00A15990" w:rsidRDefault="00686A62">
            <w:pPr>
              <w:pStyle w:val="P68B1DB1-Normal23"/>
              <w:spacing w:after="0"/>
              <w:jc w:val="center"/>
              <w:rPr>
                <w:rFonts w:eastAsia="Calibri" w:cs="Calibri"/>
                <w:noProof/>
              </w:rPr>
            </w:pPr>
            <w:r>
              <w:rPr>
                <w:noProof/>
              </w:rPr>
              <w:t>9.10</w:t>
            </w:r>
          </w:p>
        </w:tc>
        <w:tc>
          <w:tcPr>
            <w:tcW w:w="1760" w:type="dxa"/>
            <w:shd w:val="clear" w:color="auto" w:fill="C4EFCE"/>
            <w:vAlign w:val="center"/>
            <w:hideMark/>
          </w:tcPr>
          <w:p w14:paraId="2E34E883" w14:textId="77777777" w:rsidR="00A15990" w:rsidRDefault="00686A62">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3EC8C1A2"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6B927BD" w14:textId="77777777" w:rsidR="00A15990" w:rsidRDefault="00686A62">
            <w:pPr>
              <w:pStyle w:val="P68B1DB1-Normal23"/>
              <w:spacing w:after="0"/>
              <w:jc w:val="both"/>
              <w:rPr>
                <w:rFonts w:eastAsia="Calibri" w:cs="Calibri"/>
                <w:noProof/>
              </w:rPr>
            </w:pPr>
            <w:r>
              <w:rPr>
                <w:noProof/>
              </w:rPr>
              <w:t>Sub rezerva unei evaluări pozitive a impactului asupra mediului care a respectat pe deplin și în mod substanțial criteriile legale, adoptarea unui proiect actualizat al barajului, al generării de energie hidroelectrică și solară și al irigării, care să includă pe deplin toate rezultatele și condițiile din evaluarea impactului asupra mediului.</w:t>
            </w:r>
          </w:p>
        </w:tc>
      </w:tr>
      <w:tr w:rsidR="00A15990" w14:paraId="4044B104" w14:textId="77777777">
        <w:trPr>
          <w:trHeight w:val="440"/>
        </w:trPr>
        <w:tc>
          <w:tcPr>
            <w:tcW w:w="1200" w:type="dxa"/>
            <w:shd w:val="clear" w:color="auto" w:fill="C4EFCE"/>
            <w:vAlign w:val="center"/>
            <w:hideMark/>
          </w:tcPr>
          <w:p w14:paraId="554977E2" w14:textId="77777777" w:rsidR="00A15990" w:rsidRDefault="00686A62">
            <w:pPr>
              <w:pStyle w:val="P68B1DB1-Normal23"/>
              <w:spacing w:after="0"/>
              <w:jc w:val="center"/>
              <w:rPr>
                <w:rFonts w:eastAsia="Calibri" w:cs="Calibri"/>
                <w:noProof/>
              </w:rPr>
            </w:pPr>
            <w:r>
              <w:rPr>
                <w:noProof/>
              </w:rPr>
              <w:t>10.5</w:t>
            </w:r>
          </w:p>
        </w:tc>
        <w:tc>
          <w:tcPr>
            <w:tcW w:w="1760" w:type="dxa"/>
            <w:shd w:val="clear" w:color="auto" w:fill="C4EFCE"/>
            <w:vAlign w:val="center"/>
            <w:hideMark/>
          </w:tcPr>
          <w:p w14:paraId="7E88ECA5" w14:textId="77777777" w:rsidR="00A15990" w:rsidRDefault="00686A62">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65EB6416"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126B7A6F" w14:textId="77777777" w:rsidR="00A15990" w:rsidRDefault="00686A62">
            <w:pPr>
              <w:pStyle w:val="P68B1DB1-Normal23"/>
              <w:spacing w:after="0"/>
              <w:jc w:val="both"/>
              <w:rPr>
                <w:rFonts w:eastAsia="Calibri" w:cs="Calibri"/>
                <w:noProof/>
              </w:rPr>
            </w:pPr>
            <w:r>
              <w:rPr>
                <w:noProof/>
              </w:rPr>
              <w:t>Semnarea contractului pentru „Platforma navală multifuncțională” și „Centrul de operațiuni”</w:t>
            </w:r>
          </w:p>
        </w:tc>
      </w:tr>
      <w:tr w:rsidR="00A15990" w14:paraId="2B9DFF49" w14:textId="77777777">
        <w:trPr>
          <w:trHeight w:val="440"/>
        </w:trPr>
        <w:tc>
          <w:tcPr>
            <w:tcW w:w="1200" w:type="dxa"/>
            <w:shd w:val="clear" w:color="auto" w:fill="C4EFCE"/>
            <w:vAlign w:val="center"/>
            <w:hideMark/>
          </w:tcPr>
          <w:p w14:paraId="2647C53D" w14:textId="77777777" w:rsidR="00A15990" w:rsidRDefault="00686A62">
            <w:pPr>
              <w:pStyle w:val="P68B1DB1-Normal23"/>
              <w:spacing w:after="0"/>
              <w:jc w:val="center"/>
              <w:rPr>
                <w:rFonts w:eastAsia="Calibri" w:cs="Calibri"/>
                <w:noProof/>
              </w:rPr>
            </w:pPr>
            <w:r>
              <w:rPr>
                <w:noProof/>
              </w:rPr>
              <w:t>10.6</w:t>
            </w:r>
          </w:p>
        </w:tc>
        <w:tc>
          <w:tcPr>
            <w:tcW w:w="1760" w:type="dxa"/>
            <w:shd w:val="clear" w:color="auto" w:fill="C4EFCE"/>
            <w:vAlign w:val="center"/>
            <w:hideMark/>
          </w:tcPr>
          <w:p w14:paraId="2A668662" w14:textId="77777777" w:rsidR="00A15990" w:rsidRDefault="00686A62">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3A3E338C"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F4C4272" w14:textId="77777777" w:rsidR="00A15990" w:rsidRDefault="00686A62">
            <w:pPr>
              <w:pStyle w:val="P68B1DB1-Normal23"/>
              <w:spacing w:after="0"/>
              <w:jc w:val="both"/>
              <w:rPr>
                <w:rFonts w:eastAsia="Calibri" w:cs="Calibri"/>
                <w:noProof/>
              </w:rPr>
            </w:pPr>
            <w:r>
              <w:rPr>
                <w:noProof/>
              </w:rPr>
              <w:t>Finalizarea Academiei Arsenale Alfeite</w:t>
            </w:r>
          </w:p>
        </w:tc>
      </w:tr>
      <w:tr w:rsidR="00A15990" w14:paraId="6D18500A" w14:textId="77777777">
        <w:trPr>
          <w:trHeight w:val="440"/>
        </w:trPr>
        <w:tc>
          <w:tcPr>
            <w:tcW w:w="1200" w:type="dxa"/>
            <w:shd w:val="clear" w:color="auto" w:fill="C4EFCE"/>
            <w:vAlign w:val="center"/>
            <w:hideMark/>
          </w:tcPr>
          <w:p w14:paraId="67574E56" w14:textId="77777777" w:rsidR="00A15990" w:rsidRDefault="00686A62">
            <w:pPr>
              <w:pStyle w:val="P68B1DB1-Normal23"/>
              <w:spacing w:after="0"/>
              <w:jc w:val="center"/>
              <w:rPr>
                <w:rFonts w:eastAsia="Calibri" w:cs="Calibri"/>
                <w:noProof/>
              </w:rPr>
            </w:pPr>
            <w:r>
              <w:rPr>
                <w:noProof/>
              </w:rPr>
              <w:t>10.17</w:t>
            </w:r>
          </w:p>
        </w:tc>
        <w:tc>
          <w:tcPr>
            <w:tcW w:w="1760" w:type="dxa"/>
            <w:shd w:val="clear" w:color="auto" w:fill="C4EFCE"/>
            <w:vAlign w:val="center"/>
            <w:hideMark/>
          </w:tcPr>
          <w:p w14:paraId="1B6529A3" w14:textId="77777777" w:rsidR="00A15990" w:rsidRDefault="00686A62">
            <w:pPr>
              <w:pStyle w:val="P68B1DB1-Normal23"/>
              <w:spacing w:after="0"/>
              <w:jc w:val="center"/>
              <w:rPr>
                <w:rFonts w:eastAsia="Calibri" w:cs="Calibri"/>
                <w:noProof/>
              </w:rPr>
            </w:pPr>
            <w:r>
              <w:rPr>
                <w:noProof/>
              </w:rPr>
              <w:t>TC-C10-I07</w:t>
            </w:r>
          </w:p>
        </w:tc>
        <w:tc>
          <w:tcPr>
            <w:tcW w:w="1520" w:type="dxa"/>
            <w:shd w:val="clear" w:color="auto" w:fill="C4EFCE"/>
            <w:vAlign w:val="center"/>
            <w:hideMark/>
          </w:tcPr>
          <w:p w14:paraId="12FB1760"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5BC8A74" w14:textId="77777777" w:rsidR="00A15990" w:rsidRDefault="00686A62">
            <w:pPr>
              <w:pStyle w:val="P68B1DB1-Normal23"/>
              <w:spacing w:after="0"/>
              <w:jc w:val="both"/>
              <w:rPr>
                <w:rFonts w:eastAsia="Calibri" w:cs="Calibri"/>
                <w:noProof/>
              </w:rPr>
            </w:pPr>
            <w:r>
              <w:rPr>
                <w:noProof/>
              </w:rPr>
              <w:t>Lansarea unei cereri de oferte pentru decarbonizarea navelor</w:t>
            </w:r>
          </w:p>
        </w:tc>
      </w:tr>
      <w:tr w:rsidR="00A15990" w14:paraId="433CADC7" w14:textId="77777777">
        <w:trPr>
          <w:trHeight w:val="440"/>
        </w:trPr>
        <w:tc>
          <w:tcPr>
            <w:tcW w:w="1200" w:type="dxa"/>
            <w:shd w:val="clear" w:color="auto" w:fill="C4EFCE"/>
            <w:vAlign w:val="center"/>
            <w:hideMark/>
          </w:tcPr>
          <w:p w14:paraId="58C38FE9"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174B648" w14:textId="77777777" w:rsidR="00A15990" w:rsidRDefault="00686A62">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5581E3C9"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730C8AFB" w14:textId="36EB2DD1" w:rsidR="00A15990" w:rsidRDefault="00686A62">
            <w:pPr>
              <w:pStyle w:val="P68B1DB1-Normal25"/>
              <w:spacing w:after="0" w:line="240" w:lineRule="auto"/>
              <w:jc w:val="center"/>
              <w:rPr>
                <w:rFonts w:cs="Calibri"/>
                <w:noProof/>
              </w:rPr>
            </w:pPr>
            <w:r>
              <w:rPr>
                <w:noProof/>
              </w:rPr>
              <w:t xml:space="preserve"> 1 313 054 513 MIL. </w:t>
            </w:r>
          </w:p>
        </w:tc>
      </w:tr>
    </w:tbl>
    <w:p w14:paraId="776DB0E1"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 xml:space="preserve">A șasea cerere de plată (sprijin sub formă de împrumut): </w:t>
      </w:r>
    </w:p>
    <w:p w14:paraId="4627AFE2"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472DF692" w14:textId="77777777">
        <w:trPr>
          <w:trHeight w:val="1018"/>
        </w:trPr>
        <w:tc>
          <w:tcPr>
            <w:tcW w:w="1200" w:type="dxa"/>
            <w:shd w:val="clear" w:color="auto" w:fill="BDD7EE"/>
            <w:vAlign w:val="center"/>
            <w:hideMark/>
          </w:tcPr>
          <w:p w14:paraId="7B934C96"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shd w:val="clear" w:color="auto" w:fill="BDD7EE"/>
            <w:vAlign w:val="center"/>
            <w:hideMark/>
          </w:tcPr>
          <w:p w14:paraId="5CEE0E60"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shd w:val="clear" w:color="auto" w:fill="BDD7EE"/>
            <w:vAlign w:val="center"/>
            <w:hideMark/>
          </w:tcPr>
          <w:p w14:paraId="33AA6AB1" w14:textId="48F82028"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shd w:val="clear" w:color="auto" w:fill="BDD7EE"/>
            <w:vAlign w:val="center"/>
            <w:hideMark/>
          </w:tcPr>
          <w:p w14:paraId="2BCBDEC5"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248D56A1" w14:textId="77777777">
        <w:trPr>
          <w:trHeight w:val="440"/>
        </w:trPr>
        <w:tc>
          <w:tcPr>
            <w:tcW w:w="1200" w:type="dxa"/>
            <w:shd w:val="clear" w:color="auto" w:fill="C4EFCE"/>
            <w:vAlign w:val="center"/>
            <w:hideMark/>
          </w:tcPr>
          <w:p w14:paraId="4959120F" w14:textId="77777777" w:rsidR="00A15990" w:rsidRDefault="00686A62">
            <w:pPr>
              <w:pStyle w:val="P68B1DB1-Normal23"/>
              <w:spacing w:after="0"/>
              <w:jc w:val="center"/>
              <w:rPr>
                <w:rFonts w:eastAsia="Calibri" w:cs="Calibri"/>
                <w:noProof/>
              </w:rPr>
            </w:pPr>
            <w:r>
              <w:rPr>
                <w:noProof/>
              </w:rPr>
              <w:t>15.7</w:t>
            </w:r>
          </w:p>
        </w:tc>
        <w:tc>
          <w:tcPr>
            <w:tcW w:w="1760" w:type="dxa"/>
            <w:shd w:val="clear" w:color="auto" w:fill="C4EFCE"/>
            <w:vAlign w:val="center"/>
            <w:hideMark/>
          </w:tcPr>
          <w:p w14:paraId="7916AD2D" w14:textId="27F376C2" w:rsidR="00A15990" w:rsidRDefault="00686A62">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75FE8E7B"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41ACFDB1" w14:textId="77777777" w:rsidR="00A15990" w:rsidRDefault="00686A62">
            <w:pPr>
              <w:pStyle w:val="P68B1DB1-Normal23"/>
              <w:spacing w:after="0"/>
              <w:jc w:val="both"/>
              <w:rPr>
                <w:rFonts w:eastAsia="Calibri" w:cs="Calibri"/>
                <w:noProof/>
              </w:rPr>
            </w:pPr>
            <w:r>
              <w:rPr>
                <w:noProof/>
              </w:rPr>
              <w:t>Semnarea contractului pentru construirea unei linii de tranzit feroviar ușor între Odivelas și Loures</w:t>
            </w:r>
          </w:p>
        </w:tc>
      </w:tr>
      <w:tr w:rsidR="00A15990" w14:paraId="258C3A70" w14:textId="77777777">
        <w:trPr>
          <w:trHeight w:val="440"/>
        </w:trPr>
        <w:tc>
          <w:tcPr>
            <w:tcW w:w="1200" w:type="dxa"/>
            <w:shd w:val="clear" w:color="auto" w:fill="C4EFCE"/>
            <w:vAlign w:val="center"/>
          </w:tcPr>
          <w:p w14:paraId="0AE9FA9B" w14:textId="260E9AD6" w:rsidR="00A15990" w:rsidRDefault="00686A62">
            <w:pPr>
              <w:pStyle w:val="P68B1DB1-Normal23"/>
              <w:spacing w:after="0"/>
              <w:jc w:val="center"/>
              <w:rPr>
                <w:rFonts w:eastAsia="Calibri" w:cs="Calibri"/>
                <w:noProof/>
              </w:rPr>
            </w:pPr>
            <w:r>
              <w:rPr>
                <w:noProof/>
              </w:rPr>
              <w:t>19.31</w:t>
            </w:r>
          </w:p>
        </w:tc>
        <w:tc>
          <w:tcPr>
            <w:tcW w:w="1760" w:type="dxa"/>
            <w:shd w:val="clear" w:color="auto" w:fill="C4EFCE"/>
            <w:vAlign w:val="center"/>
          </w:tcPr>
          <w:p w14:paraId="4D3FC2B5" w14:textId="1956D4BE" w:rsidR="00A15990" w:rsidRDefault="00686A62">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221D6EA6" w14:textId="332C3E10"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tcPr>
          <w:p w14:paraId="5E2AA86D" w14:textId="4355B8C4" w:rsidR="00A15990" w:rsidRDefault="00686A62">
            <w:pPr>
              <w:pStyle w:val="P68B1DB1-Normal23"/>
              <w:spacing w:after="0"/>
              <w:jc w:val="both"/>
              <w:rPr>
                <w:rFonts w:eastAsia="Calibri" w:cs="Calibri"/>
                <w:noProof/>
              </w:rPr>
            </w:pPr>
            <w:r>
              <w:rPr>
                <w:noProof/>
              </w:rPr>
              <w:t>Intrarea în vigoare a actului normativ care revizuiește SIADAP</w:t>
            </w:r>
          </w:p>
        </w:tc>
      </w:tr>
      <w:tr w:rsidR="00A15990" w14:paraId="32B276DA" w14:textId="77777777">
        <w:trPr>
          <w:trHeight w:val="440"/>
        </w:trPr>
        <w:tc>
          <w:tcPr>
            <w:tcW w:w="1200" w:type="dxa"/>
            <w:shd w:val="clear" w:color="auto" w:fill="C4EFCE"/>
            <w:vAlign w:val="center"/>
          </w:tcPr>
          <w:p w14:paraId="762889A1" w14:textId="4A9DFF95" w:rsidR="00A15990" w:rsidRDefault="00686A62">
            <w:pPr>
              <w:pStyle w:val="P68B1DB1-Normal23"/>
              <w:spacing w:after="0"/>
              <w:jc w:val="center"/>
              <w:rPr>
                <w:rFonts w:eastAsia="Calibri" w:cs="Calibri"/>
                <w:noProof/>
              </w:rPr>
            </w:pPr>
            <w:r>
              <w:rPr>
                <w:noProof/>
              </w:rPr>
              <w:t>19.32</w:t>
            </w:r>
          </w:p>
        </w:tc>
        <w:tc>
          <w:tcPr>
            <w:tcW w:w="1760" w:type="dxa"/>
            <w:shd w:val="clear" w:color="auto" w:fill="C4EFCE"/>
            <w:vAlign w:val="center"/>
          </w:tcPr>
          <w:p w14:paraId="0C34D2D0" w14:textId="2A62E2CD" w:rsidR="00A15990" w:rsidRDefault="00686A62">
            <w:pPr>
              <w:pStyle w:val="P68B1DB1-Normal23"/>
              <w:spacing w:after="0"/>
              <w:jc w:val="center"/>
              <w:rPr>
                <w:rFonts w:eastAsia="Calibri" w:cs="Calibri"/>
                <w:noProof/>
              </w:rPr>
            </w:pPr>
            <w:r>
              <w:rPr>
                <w:noProof/>
              </w:rPr>
              <w:t xml:space="preserve">TD-C19-r42  </w:t>
            </w:r>
          </w:p>
        </w:tc>
        <w:tc>
          <w:tcPr>
            <w:tcW w:w="1520" w:type="dxa"/>
            <w:shd w:val="clear" w:color="auto" w:fill="C4EFCE"/>
            <w:vAlign w:val="center"/>
          </w:tcPr>
          <w:p w14:paraId="618829A3" w14:textId="2EA3ACFD"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tcPr>
          <w:p w14:paraId="3FB23545" w14:textId="58302992" w:rsidR="00A15990" w:rsidRDefault="00686A62">
            <w:pPr>
              <w:pStyle w:val="P68B1DB1-Normal23"/>
              <w:spacing w:after="0"/>
              <w:jc w:val="both"/>
              <w:rPr>
                <w:rFonts w:eastAsia="Calibri" w:cs="Calibri"/>
                <w:noProof/>
              </w:rPr>
            </w:pPr>
            <w:r>
              <w:rPr>
                <w:noProof/>
              </w:rPr>
              <w:t>Intrarea în vigoare a actului legislativ care revizuiește profilul competențelor în administrația publică</w:t>
            </w:r>
          </w:p>
        </w:tc>
      </w:tr>
      <w:tr w:rsidR="00A15990" w14:paraId="383E267E" w14:textId="77777777">
        <w:trPr>
          <w:trHeight w:val="440"/>
        </w:trPr>
        <w:tc>
          <w:tcPr>
            <w:tcW w:w="1200" w:type="dxa"/>
            <w:shd w:val="clear" w:color="auto" w:fill="C4EFCE"/>
            <w:vAlign w:val="center"/>
            <w:hideMark/>
          </w:tcPr>
          <w:p w14:paraId="5D412478" w14:textId="77777777" w:rsidR="00A15990" w:rsidRDefault="00686A62">
            <w:pPr>
              <w:pStyle w:val="P68B1DB1-Normal23"/>
              <w:spacing w:after="0" w:line="240" w:lineRule="auto"/>
              <w:jc w:val="center"/>
              <w:rPr>
                <w:rFonts w:eastAsia="Times New Roman" w:cs="Calibri"/>
                <w:noProof/>
              </w:rPr>
            </w:pPr>
            <w:r>
              <w:rPr>
                <w:noProof/>
              </w:rPr>
              <w:t> </w:t>
            </w:r>
          </w:p>
        </w:tc>
        <w:tc>
          <w:tcPr>
            <w:tcW w:w="1760" w:type="dxa"/>
            <w:shd w:val="clear" w:color="auto" w:fill="C4EFCE"/>
            <w:vAlign w:val="center"/>
            <w:hideMark/>
          </w:tcPr>
          <w:p w14:paraId="27210276" w14:textId="77777777" w:rsidR="00A15990" w:rsidRDefault="00686A62">
            <w:pPr>
              <w:pStyle w:val="P68B1DB1-Normal23"/>
              <w:spacing w:after="0" w:line="240" w:lineRule="auto"/>
              <w:rPr>
                <w:rFonts w:eastAsia="Times New Roman" w:cs="Calibri"/>
                <w:noProof/>
              </w:rPr>
            </w:pPr>
            <w:r>
              <w:rPr>
                <w:noProof/>
              </w:rPr>
              <w:t> </w:t>
            </w:r>
          </w:p>
        </w:tc>
        <w:tc>
          <w:tcPr>
            <w:tcW w:w="1520" w:type="dxa"/>
            <w:shd w:val="clear" w:color="auto" w:fill="C4EFCE"/>
            <w:vAlign w:val="center"/>
            <w:hideMark/>
          </w:tcPr>
          <w:p w14:paraId="38682DCD" w14:textId="77777777" w:rsidR="00A15990" w:rsidRDefault="00686A62">
            <w:pPr>
              <w:pStyle w:val="P68B1DB1-Normal23"/>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0FB1EF83" w14:textId="29D26B48" w:rsidR="00A15990" w:rsidRDefault="00686A62">
            <w:pPr>
              <w:pStyle w:val="P68B1DB1-Normal25"/>
              <w:spacing w:after="0" w:line="240" w:lineRule="auto"/>
              <w:jc w:val="center"/>
              <w:rPr>
                <w:rFonts w:cs="Calibri"/>
                <w:noProof/>
              </w:rPr>
            </w:pPr>
            <w:r>
              <w:rPr>
                <w:noProof/>
              </w:rPr>
              <w:t xml:space="preserve"> 366 243 120 MIL. </w:t>
            </w:r>
          </w:p>
        </w:tc>
      </w:tr>
    </w:tbl>
    <w:p w14:paraId="43578890"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B71B7AD"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A șaptea cerere de plată (sprijin sub formă de împrumut):</w:t>
      </w:r>
    </w:p>
    <w:p w14:paraId="24A030D4"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200"/>
        <w:gridCol w:w="1760"/>
        <w:gridCol w:w="1520"/>
        <w:gridCol w:w="5060"/>
      </w:tblGrid>
      <w:tr w:rsidR="00A15990" w14:paraId="29B816DE" w14:textId="77777777">
        <w:trPr>
          <w:trHeight w:val="1018"/>
          <w:tblHeader/>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07E0BB5"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6E93FEA9"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E9D866A" w14:textId="402ADF7F"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3C3A7570"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582BD1F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651F993" w14:textId="77777777" w:rsidR="00A15990" w:rsidRDefault="00686A62">
            <w:pPr>
              <w:pStyle w:val="P68B1DB1-Normal23"/>
              <w:spacing w:after="0"/>
              <w:jc w:val="center"/>
              <w:rPr>
                <w:rFonts w:eastAsia="Calibri" w:cs="Calibri"/>
                <w:noProof/>
              </w:rPr>
            </w:pPr>
            <w:r>
              <w:rPr>
                <w:noProof/>
              </w:rPr>
              <w:t>2.21</w:t>
            </w:r>
          </w:p>
        </w:tc>
        <w:tc>
          <w:tcPr>
            <w:tcW w:w="1760" w:type="dxa"/>
            <w:tcBorders>
              <w:top w:val="nil"/>
              <w:left w:val="nil"/>
              <w:bottom w:val="single" w:sz="4" w:space="0" w:color="auto"/>
              <w:right w:val="single" w:sz="4" w:space="0" w:color="auto"/>
            </w:tcBorders>
            <w:shd w:val="clear" w:color="auto" w:fill="C4EFCE"/>
            <w:vAlign w:val="center"/>
          </w:tcPr>
          <w:p w14:paraId="61E03559" w14:textId="77777777" w:rsidR="00A15990" w:rsidRDefault="00686A62">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716B72F7"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226738D" w14:textId="77777777" w:rsidR="00A15990" w:rsidRDefault="00686A62">
            <w:pPr>
              <w:pStyle w:val="P68B1DB1-Normal23"/>
              <w:spacing w:after="0"/>
              <w:jc w:val="both"/>
              <w:rPr>
                <w:rFonts w:eastAsia="Calibri" w:cs="Calibri"/>
                <w:noProof/>
              </w:rPr>
            </w:pPr>
            <w:r>
              <w:rPr>
                <w:noProof/>
              </w:rPr>
              <w:t>Parc de locuințe publice la prețuri accesibile – Locuințe cu lucrări începute (construite cu eficiență energetică ridicată sau reabilitate cu o performanță energetică îmbunătățită)</w:t>
            </w:r>
          </w:p>
        </w:tc>
      </w:tr>
      <w:tr w:rsidR="00A15990" w14:paraId="0BF1C5F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4221612" w14:textId="77777777" w:rsidR="00A15990" w:rsidRDefault="00686A62">
            <w:pPr>
              <w:pStyle w:val="P68B1DB1-Normal23"/>
              <w:spacing w:after="0"/>
              <w:jc w:val="center"/>
              <w:rPr>
                <w:rFonts w:eastAsia="Calibri" w:cs="Calibri"/>
                <w:noProof/>
              </w:rPr>
            </w:pPr>
            <w:r>
              <w:rPr>
                <w:noProof/>
              </w:rPr>
              <w:t>2.22</w:t>
            </w:r>
          </w:p>
        </w:tc>
        <w:tc>
          <w:tcPr>
            <w:tcW w:w="1760" w:type="dxa"/>
            <w:tcBorders>
              <w:top w:val="nil"/>
              <w:left w:val="nil"/>
              <w:bottom w:val="single" w:sz="4" w:space="0" w:color="auto"/>
              <w:right w:val="single" w:sz="4" w:space="0" w:color="auto"/>
            </w:tcBorders>
            <w:shd w:val="clear" w:color="auto" w:fill="C4EFCE"/>
            <w:vAlign w:val="center"/>
          </w:tcPr>
          <w:p w14:paraId="4AB56C42" w14:textId="77777777" w:rsidR="00A15990" w:rsidRDefault="00686A62">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2D06F0E7"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7E5487FC" w14:textId="77777777" w:rsidR="00A15990" w:rsidRDefault="00686A62">
            <w:pPr>
              <w:pStyle w:val="P68B1DB1-Normal23"/>
              <w:spacing w:after="0"/>
              <w:jc w:val="both"/>
              <w:rPr>
                <w:rFonts w:eastAsia="Calibri" w:cs="Calibri"/>
                <w:noProof/>
              </w:rPr>
            </w:pPr>
            <w:r>
              <w:rPr>
                <w:noProof/>
              </w:rPr>
              <w:t>Parc de locuințe publice la prețuri accesibile – Locuințe atribuite (construite cu eficiență energetică ridicată sau reabilitate cu o performanță energetică îmbunătățită)</w:t>
            </w:r>
          </w:p>
        </w:tc>
      </w:tr>
      <w:tr w:rsidR="00A15990" w14:paraId="3D12777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5451CB4" w14:textId="77777777" w:rsidR="00A15990" w:rsidRDefault="00686A62">
            <w:pPr>
              <w:pStyle w:val="P68B1DB1-Normal23"/>
              <w:spacing w:after="0"/>
              <w:jc w:val="center"/>
              <w:rPr>
                <w:rFonts w:eastAsia="Calibri" w:cs="Calibri"/>
                <w:noProof/>
              </w:rPr>
            </w:pPr>
            <w:r>
              <w:rPr>
                <w:noProof/>
              </w:rPr>
              <w:t>2.26</w:t>
            </w:r>
          </w:p>
        </w:tc>
        <w:tc>
          <w:tcPr>
            <w:tcW w:w="1760" w:type="dxa"/>
            <w:tcBorders>
              <w:top w:val="nil"/>
              <w:left w:val="nil"/>
              <w:bottom w:val="single" w:sz="4" w:space="0" w:color="auto"/>
              <w:right w:val="single" w:sz="4" w:space="0" w:color="auto"/>
            </w:tcBorders>
            <w:shd w:val="clear" w:color="auto" w:fill="C4EFCE"/>
            <w:vAlign w:val="center"/>
          </w:tcPr>
          <w:p w14:paraId="576AFC28" w14:textId="77777777" w:rsidR="00A15990" w:rsidRDefault="00686A62">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E587169"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62038BAE" w14:textId="77777777" w:rsidR="00A15990" w:rsidRDefault="00686A62">
            <w:pPr>
              <w:pStyle w:val="P68B1DB1-Normal23"/>
              <w:spacing w:after="0"/>
              <w:jc w:val="both"/>
              <w:rPr>
                <w:rFonts w:eastAsia="Calibri" w:cs="Calibri"/>
                <w:noProof/>
              </w:rPr>
            </w:pPr>
            <w:r>
              <w:rPr>
                <w:noProof/>
              </w:rPr>
              <w:t>Cazarea studenților la costuri accesibile</w:t>
            </w:r>
          </w:p>
        </w:tc>
      </w:tr>
      <w:tr w:rsidR="00A15990" w14:paraId="295142D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87CECBE" w14:textId="77777777" w:rsidR="00A15990" w:rsidRDefault="00686A62">
            <w:pPr>
              <w:pStyle w:val="P68B1DB1-Normal23"/>
              <w:spacing w:after="0"/>
              <w:jc w:val="center"/>
              <w:rPr>
                <w:rFonts w:eastAsia="Calibri" w:cs="Calibri"/>
                <w:noProof/>
              </w:rPr>
            </w:pPr>
            <w:r>
              <w:rPr>
                <w:noProof/>
              </w:rPr>
              <w:t>6.28</w:t>
            </w:r>
          </w:p>
        </w:tc>
        <w:tc>
          <w:tcPr>
            <w:tcW w:w="1760" w:type="dxa"/>
            <w:tcBorders>
              <w:top w:val="nil"/>
              <w:left w:val="nil"/>
              <w:bottom w:val="single" w:sz="4" w:space="0" w:color="auto"/>
              <w:right w:val="single" w:sz="4" w:space="0" w:color="auto"/>
            </w:tcBorders>
            <w:shd w:val="clear" w:color="auto" w:fill="C4EFCE"/>
            <w:vAlign w:val="center"/>
          </w:tcPr>
          <w:p w14:paraId="3B92DB76" w14:textId="3F6FD07E" w:rsidR="00A15990" w:rsidRDefault="00686A62">
            <w:pPr>
              <w:pStyle w:val="P68B1DB1-Normal23"/>
              <w:spacing w:after="0"/>
              <w:jc w:val="center"/>
              <w:rPr>
                <w:rFonts w:eastAsia="Calibri" w:cs="Calibri"/>
                <w:noProof/>
              </w:rPr>
            </w:pPr>
            <w:r>
              <w:rPr>
                <w:noProof/>
              </w:rPr>
              <w:t>RE-C06-i09</w:t>
            </w:r>
          </w:p>
        </w:tc>
        <w:tc>
          <w:tcPr>
            <w:tcW w:w="1520" w:type="dxa"/>
            <w:tcBorders>
              <w:top w:val="nil"/>
              <w:left w:val="nil"/>
              <w:bottom w:val="nil"/>
              <w:right w:val="single" w:sz="4" w:space="0" w:color="auto"/>
            </w:tcBorders>
            <w:shd w:val="clear" w:color="auto" w:fill="C4EFCE"/>
            <w:vAlign w:val="center"/>
          </w:tcPr>
          <w:p w14:paraId="0BFA1EAE"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nil"/>
              <w:right w:val="single" w:sz="4" w:space="0" w:color="auto"/>
            </w:tcBorders>
            <w:shd w:val="clear" w:color="auto" w:fill="C4EFCE"/>
            <w:vAlign w:val="center"/>
          </w:tcPr>
          <w:p w14:paraId="1577A067" w14:textId="77777777" w:rsidR="00A15990" w:rsidRDefault="00686A62">
            <w:pPr>
              <w:pStyle w:val="P68B1DB1-Normal23"/>
              <w:spacing w:after="0"/>
              <w:jc w:val="both"/>
              <w:rPr>
                <w:rFonts w:eastAsia="Calibri" w:cs="Calibri"/>
                <w:noProof/>
              </w:rPr>
            </w:pPr>
            <w:r>
              <w:rPr>
                <w:noProof/>
              </w:rPr>
              <w:t>Semnarea contractelor pentru construirea și renovarea școlilor publice</w:t>
            </w:r>
          </w:p>
        </w:tc>
      </w:tr>
      <w:tr w:rsidR="00A15990" w14:paraId="1EF6CC4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7D3CFE"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3899B9C9" w14:textId="77777777" w:rsidR="00A15990" w:rsidRDefault="00686A62">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7C7921DE"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4E153749" w14:textId="0F77FEA4" w:rsidR="00A15990" w:rsidRDefault="00686A62">
            <w:pPr>
              <w:pStyle w:val="P68B1DB1-Normal25"/>
              <w:spacing w:after="0" w:line="240" w:lineRule="auto"/>
              <w:jc w:val="center"/>
              <w:rPr>
                <w:rFonts w:cs="Calibri"/>
                <w:noProof/>
              </w:rPr>
            </w:pPr>
            <w:r>
              <w:rPr>
                <w:noProof/>
              </w:rPr>
              <w:t xml:space="preserve">689 431 726 MIL. </w:t>
            </w:r>
          </w:p>
        </w:tc>
      </w:tr>
    </w:tbl>
    <w:p w14:paraId="7D06A031"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656FC920" w14:textId="77777777" w:rsidR="00A15990" w:rsidRDefault="00686A62">
      <w:pPr>
        <w:pStyle w:val="P68B1DB1-Normal4"/>
        <w:keepNext/>
        <w:numPr>
          <w:ilvl w:val="1"/>
          <w:numId w:val="19"/>
        </w:numPr>
        <w:spacing w:before="40" w:after="160" w:line="259" w:lineRule="auto"/>
        <w:contextualSpacing/>
        <w:jc w:val="both"/>
        <w:rPr>
          <w:rFonts w:eastAsiaTheme="minorEastAsia" w:cs="Times New Roman"/>
          <w:noProof/>
        </w:rPr>
      </w:pPr>
      <w:r>
        <w:rPr>
          <w:noProof/>
        </w:rPr>
        <w:t>A opta cerere de plată (sprijin sub formă de împrumut):</w:t>
      </w:r>
    </w:p>
    <w:p w14:paraId="0C83B8A2" w14:textId="77777777" w:rsidR="00A15990" w:rsidRDefault="00A15990">
      <w:pPr>
        <w:keepNext/>
        <w:spacing w:before="40" w:after="160" w:line="259" w:lineRule="auto"/>
        <w:ind w:left="360"/>
        <w:contextualSpacing/>
        <w:jc w:val="both"/>
        <w:rPr>
          <w:rFonts w:ascii="Times New Roman" w:eastAsiaTheme="minorEastAsia" w:hAnsi="Times New Roman" w:cs="Times New Roman"/>
          <w:noProof/>
          <w:sz w:val="24"/>
        </w:rPr>
      </w:pPr>
    </w:p>
    <w:tbl>
      <w:tblPr>
        <w:tblW w:w="0" w:type="auto"/>
        <w:tblInd w:w="108" w:type="dxa"/>
        <w:tblLook w:val="04A0" w:firstRow="1" w:lastRow="0" w:firstColumn="1" w:lastColumn="0" w:noHBand="0" w:noVBand="1"/>
      </w:tblPr>
      <w:tblGrid>
        <w:gridCol w:w="1200"/>
        <w:gridCol w:w="1760"/>
        <w:gridCol w:w="1520"/>
        <w:gridCol w:w="5060"/>
      </w:tblGrid>
      <w:tr w:rsidR="00A15990" w14:paraId="1EB3D4C6"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344EC777"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4D46E4F0"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3C9BAAF" w14:textId="0C218CA1"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5D0B89D7"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329A16C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67755" w14:textId="77777777" w:rsidR="00A15990" w:rsidRDefault="00686A62">
            <w:pPr>
              <w:pStyle w:val="P68B1DB1-Normal23"/>
              <w:spacing w:after="0"/>
              <w:jc w:val="center"/>
              <w:rPr>
                <w:rFonts w:eastAsia="Calibri" w:cs="Calibri"/>
                <w:noProof/>
              </w:rPr>
            </w:pPr>
            <w:r>
              <w:rPr>
                <w:noProof/>
              </w:rPr>
              <w:t>15.8</w:t>
            </w:r>
          </w:p>
        </w:tc>
        <w:tc>
          <w:tcPr>
            <w:tcW w:w="1760" w:type="dxa"/>
            <w:tcBorders>
              <w:top w:val="nil"/>
              <w:left w:val="nil"/>
              <w:bottom w:val="single" w:sz="4" w:space="0" w:color="auto"/>
              <w:right w:val="single" w:sz="4" w:space="0" w:color="auto"/>
            </w:tcBorders>
            <w:shd w:val="clear" w:color="auto" w:fill="C4EFCE"/>
            <w:vAlign w:val="center"/>
          </w:tcPr>
          <w:p w14:paraId="514CFC0D" w14:textId="77777777" w:rsidR="00A15990" w:rsidRDefault="00686A62">
            <w:pPr>
              <w:pStyle w:val="P68B1DB1-Normal23"/>
              <w:spacing w:after="0"/>
              <w:jc w:val="center"/>
              <w:rPr>
                <w:rFonts w:eastAsia="Calibri" w:cs="Calibri"/>
                <w:noProof/>
              </w:rPr>
            </w:pPr>
            <w:r>
              <w:rPr>
                <w:noProof/>
              </w:rPr>
              <w:t>TC-C15-I03</w:t>
            </w:r>
          </w:p>
        </w:tc>
        <w:tc>
          <w:tcPr>
            <w:tcW w:w="1520" w:type="dxa"/>
            <w:tcBorders>
              <w:top w:val="nil"/>
              <w:left w:val="nil"/>
              <w:bottom w:val="single" w:sz="4" w:space="0" w:color="auto"/>
              <w:right w:val="single" w:sz="4" w:space="0" w:color="auto"/>
            </w:tcBorders>
            <w:shd w:val="clear" w:color="auto" w:fill="C4EFCE"/>
            <w:vAlign w:val="center"/>
          </w:tcPr>
          <w:p w14:paraId="116E6873" w14:textId="77777777" w:rsidR="00A15990" w:rsidRDefault="00686A62">
            <w:pPr>
              <w:pStyle w:val="P68B1DB1-Normal23"/>
              <w:spacing w:after="0"/>
              <w:jc w:val="center"/>
              <w:rPr>
                <w:rFonts w:eastAsia="Calibri" w:cs="Calibri"/>
                <w:noProof/>
              </w:rPr>
            </w:pPr>
            <w:r>
              <w:rPr>
                <w:noProof/>
              </w:rPr>
              <w:t>M</w:t>
            </w:r>
          </w:p>
        </w:tc>
        <w:tc>
          <w:tcPr>
            <w:tcW w:w="5060" w:type="dxa"/>
            <w:tcBorders>
              <w:top w:val="nil"/>
              <w:left w:val="nil"/>
              <w:bottom w:val="single" w:sz="4" w:space="0" w:color="auto"/>
              <w:right w:val="single" w:sz="4" w:space="0" w:color="auto"/>
            </w:tcBorders>
            <w:shd w:val="clear" w:color="auto" w:fill="C4EFCE"/>
            <w:vAlign w:val="center"/>
          </w:tcPr>
          <w:p w14:paraId="53A9C291" w14:textId="77777777" w:rsidR="00A15990" w:rsidRDefault="00686A62">
            <w:pPr>
              <w:pStyle w:val="P68B1DB1-Normal23"/>
              <w:spacing w:after="0"/>
              <w:jc w:val="both"/>
              <w:rPr>
                <w:rFonts w:eastAsia="Calibri" w:cs="Calibri"/>
                <w:noProof/>
              </w:rPr>
            </w:pPr>
            <w:r>
              <w:rPr>
                <w:noProof/>
              </w:rPr>
              <w:t>Raport intermediar privind construcția liniei de tranzit feroviar ușor între Odivelas și Loures</w:t>
            </w:r>
          </w:p>
        </w:tc>
      </w:tr>
      <w:tr w:rsidR="00A15990" w14:paraId="06662A9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18904BF" w14:textId="74BC30D7" w:rsidR="00A15990" w:rsidRDefault="00686A62">
            <w:pPr>
              <w:pStyle w:val="P68B1DB1-Normal23"/>
              <w:spacing w:after="0"/>
              <w:jc w:val="center"/>
              <w:rPr>
                <w:rFonts w:eastAsia="Calibri" w:cs="Calibri"/>
                <w:noProof/>
              </w:rPr>
            </w:pPr>
            <w:r>
              <w:rPr>
                <w:noProof/>
              </w:rPr>
              <w:t>19.33</w:t>
            </w:r>
          </w:p>
        </w:tc>
        <w:tc>
          <w:tcPr>
            <w:tcW w:w="1760" w:type="dxa"/>
            <w:tcBorders>
              <w:top w:val="nil"/>
              <w:left w:val="nil"/>
              <w:bottom w:val="single" w:sz="4" w:space="0" w:color="auto"/>
              <w:right w:val="single" w:sz="4" w:space="0" w:color="auto"/>
            </w:tcBorders>
            <w:shd w:val="clear" w:color="auto" w:fill="C4EFCE"/>
            <w:vAlign w:val="center"/>
          </w:tcPr>
          <w:p w14:paraId="608803B4" w14:textId="72AAAB61" w:rsidR="00A15990" w:rsidRDefault="00686A62">
            <w:pPr>
              <w:pStyle w:val="P68B1DB1-Normal23"/>
              <w:spacing w:after="0"/>
              <w:jc w:val="center"/>
              <w:rPr>
                <w:rFonts w:eastAsia="Calibri" w:cs="Calibri"/>
                <w:noProof/>
              </w:rPr>
            </w:pPr>
            <w:r>
              <w:rPr>
                <w:noProof/>
              </w:rPr>
              <w:t>TD-C19-r42</w:t>
            </w:r>
          </w:p>
        </w:tc>
        <w:tc>
          <w:tcPr>
            <w:tcW w:w="1520" w:type="dxa"/>
            <w:tcBorders>
              <w:top w:val="nil"/>
              <w:left w:val="nil"/>
              <w:bottom w:val="single" w:sz="4" w:space="0" w:color="auto"/>
              <w:right w:val="single" w:sz="4" w:space="0" w:color="auto"/>
            </w:tcBorders>
            <w:shd w:val="clear" w:color="auto" w:fill="C4EFCE"/>
            <w:vAlign w:val="center"/>
          </w:tcPr>
          <w:p w14:paraId="5D02F4F1" w14:textId="187D8B12"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557BB89C" w14:textId="234CFB7F" w:rsidR="00A15990" w:rsidRDefault="00686A62">
            <w:pPr>
              <w:pStyle w:val="P68B1DB1-Normal23"/>
              <w:spacing w:after="0"/>
              <w:jc w:val="both"/>
              <w:rPr>
                <w:rFonts w:eastAsia="Calibri" w:cs="Calibri"/>
                <w:noProof/>
              </w:rPr>
            </w:pPr>
            <w:r>
              <w:rPr>
                <w:noProof/>
              </w:rPr>
              <w:t>Punerea în funcțiune a noului sistem SIADAP</w:t>
            </w:r>
          </w:p>
        </w:tc>
      </w:tr>
      <w:tr w:rsidR="00A15990" w14:paraId="564D14E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5C67E166" w14:textId="77777777" w:rsidR="00A15990" w:rsidRDefault="00A15990">
            <w:pPr>
              <w:spacing w:after="0" w:line="240" w:lineRule="auto"/>
              <w:jc w:val="center"/>
              <w:rPr>
                <w:rFonts w:ascii="Calibri" w:eastAsia="Times New Roman" w:hAnsi="Calibri" w:cs="Calibri"/>
                <w:noProof/>
                <w:sz w:val="16"/>
              </w:rPr>
            </w:pPr>
          </w:p>
        </w:tc>
        <w:tc>
          <w:tcPr>
            <w:tcW w:w="1760" w:type="dxa"/>
            <w:tcBorders>
              <w:top w:val="nil"/>
              <w:left w:val="nil"/>
              <w:bottom w:val="single" w:sz="4" w:space="0" w:color="auto"/>
              <w:right w:val="single" w:sz="4" w:space="0" w:color="auto"/>
            </w:tcBorders>
            <w:shd w:val="clear" w:color="auto" w:fill="C4EFCE"/>
            <w:vAlign w:val="center"/>
          </w:tcPr>
          <w:p w14:paraId="183EE67D" w14:textId="77777777" w:rsidR="00A15990" w:rsidRDefault="00A15990">
            <w:pPr>
              <w:spacing w:after="0" w:line="240" w:lineRule="auto"/>
              <w:rPr>
                <w:rFonts w:ascii="Calibri" w:eastAsia="Times New Roman" w:hAnsi="Calibri" w:cs="Calibri"/>
                <w:noProof/>
                <w:sz w:val="16"/>
              </w:rPr>
            </w:pPr>
          </w:p>
        </w:tc>
        <w:tc>
          <w:tcPr>
            <w:tcW w:w="1520" w:type="dxa"/>
            <w:tcBorders>
              <w:top w:val="single" w:sz="4" w:space="0" w:color="auto"/>
              <w:left w:val="nil"/>
              <w:bottom w:val="single" w:sz="4" w:space="0" w:color="auto"/>
              <w:right w:val="single" w:sz="4" w:space="0" w:color="auto"/>
            </w:tcBorders>
            <w:shd w:val="clear" w:color="auto" w:fill="C4EFCE"/>
            <w:vAlign w:val="center"/>
          </w:tcPr>
          <w:p w14:paraId="401D1A7C"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378DCF0E" w14:textId="269A2A38" w:rsidR="00A15990" w:rsidRDefault="00686A62">
            <w:pPr>
              <w:pStyle w:val="P68B1DB1-Normal25"/>
              <w:spacing w:after="0" w:line="240" w:lineRule="auto"/>
              <w:jc w:val="center"/>
              <w:rPr>
                <w:rFonts w:cs="Calibri"/>
                <w:noProof/>
              </w:rPr>
            </w:pPr>
            <w:r>
              <w:rPr>
                <w:noProof/>
              </w:rPr>
              <w:t xml:space="preserve">  235 337 423 MIL. </w:t>
            </w:r>
          </w:p>
        </w:tc>
      </w:tr>
    </w:tbl>
    <w:p w14:paraId="66284420" w14:textId="567F52B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6D952C31" w14:textId="0ECD3B5B"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726AC6BB"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3CFC0334" w14:textId="77777777" w:rsidR="00A15990" w:rsidRDefault="00686A62">
      <w:pPr>
        <w:pStyle w:val="ListParagraph"/>
        <w:numPr>
          <w:ilvl w:val="1"/>
          <w:numId w:val="19"/>
        </w:numPr>
        <w:spacing w:before="40" w:line="259" w:lineRule="auto"/>
        <w:rPr>
          <w:noProof/>
        </w:rPr>
      </w:pPr>
      <w:r>
        <w:rPr>
          <w:noProof/>
        </w:rPr>
        <w:t xml:space="preserve"> A noua cerere de plată (sprijin sub formă de împrumut):</w:t>
      </w:r>
    </w:p>
    <w:tbl>
      <w:tblPr>
        <w:tblW w:w="0" w:type="auto"/>
        <w:tblInd w:w="108" w:type="dxa"/>
        <w:tblLook w:val="04A0" w:firstRow="1" w:lastRow="0" w:firstColumn="1" w:lastColumn="0" w:noHBand="0" w:noVBand="1"/>
      </w:tblPr>
      <w:tblGrid>
        <w:gridCol w:w="1200"/>
        <w:gridCol w:w="1760"/>
        <w:gridCol w:w="1520"/>
        <w:gridCol w:w="5060"/>
      </w:tblGrid>
      <w:tr w:rsidR="00A15990" w14:paraId="1494D25F" w14:textId="77777777">
        <w:trPr>
          <w:trHeight w:val="1018"/>
        </w:trPr>
        <w:tc>
          <w:tcPr>
            <w:tcW w:w="1200" w:type="dxa"/>
            <w:tcBorders>
              <w:top w:val="single" w:sz="4" w:space="0" w:color="auto"/>
              <w:left w:val="single" w:sz="4" w:space="0" w:color="auto"/>
              <w:bottom w:val="single" w:sz="4" w:space="0" w:color="auto"/>
              <w:right w:val="single" w:sz="4" w:space="0" w:color="auto"/>
            </w:tcBorders>
            <w:shd w:val="clear" w:color="auto" w:fill="BDD7EE"/>
            <w:vAlign w:val="center"/>
          </w:tcPr>
          <w:p w14:paraId="2B13A76D"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tcBorders>
              <w:top w:val="single" w:sz="4" w:space="0" w:color="auto"/>
              <w:left w:val="single" w:sz="4" w:space="0" w:color="auto"/>
              <w:bottom w:val="single" w:sz="4" w:space="0" w:color="auto"/>
              <w:right w:val="single" w:sz="4" w:space="0" w:color="auto"/>
            </w:tcBorders>
            <w:shd w:val="clear" w:color="auto" w:fill="BDD7EE"/>
            <w:vAlign w:val="center"/>
          </w:tcPr>
          <w:p w14:paraId="2C0AC9A7"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tcBorders>
              <w:top w:val="single" w:sz="4" w:space="0" w:color="auto"/>
              <w:left w:val="single" w:sz="4" w:space="0" w:color="auto"/>
              <w:bottom w:val="single" w:sz="4" w:space="0" w:color="auto"/>
              <w:right w:val="single" w:sz="4" w:space="0" w:color="auto"/>
            </w:tcBorders>
            <w:shd w:val="clear" w:color="auto" w:fill="BDD7EE"/>
            <w:vAlign w:val="center"/>
          </w:tcPr>
          <w:p w14:paraId="34E6E954" w14:textId="0C3D0AC3"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tcBorders>
              <w:top w:val="single" w:sz="4" w:space="0" w:color="auto"/>
              <w:left w:val="single" w:sz="4" w:space="0" w:color="auto"/>
              <w:bottom w:val="single" w:sz="4" w:space="0" w:color="auto"/>
              <w:right w:val="single" w:sz="4" w:space="0" w:color="auto"/>
            </w:tcBorders>
            <w:shd w:val="clear" w:color="auto" w:fill="BDD7EE"/>
            <w:vAlign w:val="center"/>
          </w:tcPr>
          <w:p w14:paraId="1992174E"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78D3922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C57417B" w14:textId="77777777" w:rsidR="00A15990" w:rsidRDefault="00686A62">
            <w:pPr>
              <w:pStyle w:val="P68B1DB1-Normal23"/>
              <w:spacing w:after="0"/>
              <w:jc w:val="center"/>
              <w:rPr>
                <w:rFonts w:eastAsia="Calibri" w:cs="Calibri"/>
                <w:noProof/>
              </w:rPr>
            </w:pPr>
            <w:r>
              <w:rPr>
                <w:noProof/>
              </w:rPr>
              <w:t>2.23</w:t>
            </w:r>
          </w:p>
        </w:tc>
        <w:tc>
          <w:tcPr>
            <w:tcW w:w="1760" w:type="dxa"/>
            <w:tcBorders>
              <w:top w:val="nil"/>
              <w:left w:val="nil"/>
              <w:bottom w:val="single" w:sz="4" w:space="0" w:color="auto"/>
              <w:right w:val="single" w:sz="4" w:space="0" w:color="auto"/>
            </w:tcBorders>
            <w:shd w:val="clear" w:color="auto" w:fill="C4EFCE"/>
            <w:vAlign w:val="center"/>
          </w:tcPr>
          <w:p w14:paraId="2A77E3A7" w14:textId="77777777" w:rsidR="00A15990" w:rsidRDefault="00686A62">
            <w:pPr>
              <w:pStyle w:val="P68B1DB1-Normal23"/>
              <w:spacing w:after="0"/>
              <w:jc w:val="center"/>
              <w:rPr>
                <w:rFonts w:eastAsia="Calibri" w:cs="Calibri"/>
                <w:noProof/>
              </w:rPr>
            </w:pPr>
            <w:r>
              <w:rPr>
                <w:noProof/>
              </w:rPr>
              <w:t>RE-C02-i05</w:t>
            </w:r>
          </w:p>
        </w:tc>
        <w:tc>
          <w:tcPr>
            <w:tcW w:w="1520" w:type="dxa"/>
            <w:tcBorders>
              <w:top w:val="nil"/>
              <w:left w:val="nil"/>
              <w:bottom w:val="single" w:sz="4" w:space="0" w:color="auto"/>
              <w:right w:val="single" w:sz="4" w:space="0" w:color="auto"/>
            </w:tcBorders>
            <w:shd w:val="clear" w:color="auto" w:fill="C4EFCE"/>
            <w:vAlign w:val="center"/>
          </w:tcPr>
          <w:p w14:paraId="54653A95"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4A8559D1" w14:textId="77777777" w:rsidR="00A15990" w:rsidRDefault="00686A62">
            <w:pPr>
              <w:pStyle w:val="P68B1DB1-Normal23"/>
              <w:spacing w:after="0"/>
              <w:jc w:val="both"/>
              <w:rPr>
                <w:rFonts w:eastAsia="Calibri" w:cs="Calibri"/>
                <w:noProof/>
              </w:rPr>
            </w:pPr>
            <w:r>
              <w:rPr>
                <w:noProof/>
              </w:rPr>
              <w:t>Parc de locuințe publice la prețuri accesibile – Locuințe atribuite (construite cu eficiență energetică ridicată sau reabilitate cu o performanță energetică îmbunătățită)</w:t>
            </w:r>
          </w:p>
        </w:tc>
      </w:tr>
      <w:tr w:rsidR="00A15990" w14:paraId="78375D28"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79A92DF" w14:textId="77777777" w:rsidR="00A15990" w:rsidRDefault="00686A62">
            <w:pPr>
              <w:pStyle w:val="P68B1DB1-Normal23"/>
              <w:spacing w:after="0"/>
              <w:jc w:val="center"/>
              <w:rPr>
                <w:rFonts w:eastAsia="Calibri" w:cs="Calibri"/>
                <w:noProof/>
              </w:rPr>
            </w:pPr>
            <w:r>
              <w:rPr>
                <w:noProof/>
              </w:rPr>
              <w:t>2.27</w:t>
            </w:r>
          </w:p>
        </w:tc>
        <w:tc>
          <w:tcPr>
            <w:tcW w:w="1760" w:type="dxa"/>
            <w:tcBorders>
              <w:top w:val="nil"/>
              <w:left w:val="nil"/>
              <w:bottom w:val="single" w:sz="4" w:space="0" w:color="auto"/>
              <w:right w:val="single" w:sz="4" w:space="0" w:color="auto"/>
            </w:tcBorders>
            <w:shd w:val="clear" w:color="auto" w:fill="C4EFCE"/>
            <w:vAlign w:val="center"/>
          </w:tcPr>
          <w:p w14:paraId="3001518D" w14:textId="77777777" w:rsidR="00A15990" w:rsidRDefault="00686A62">
            <w:pPr>
              <w:pStyle w:val="P68B1DB1-Normal23"/>
              <w:spacing w:after="0"/>
              <w:jc w:val="center"/>
              <w:rPr>
                <w:rFonts w:eastAsia="Calibri" w:cs="Calibri"/>
                <w:noProof/>
              </w:rPr>
            </w:pPr>
            <w:r>
              <w:rPr>
                <w:noProof/>
              </w:rPr>
              <w:t>RE-C02-i06</w:t>
            </w:r>
          </w:p>
        </w:tc>
        <w:tc>
          <w:tcPr>
            <w:tcW w:w="1520" w:type="dxa"/>
            <w:tcBorders>
              <w:top w:val="nil"/>
              <w:left w:val="nil"/>
              <w:bottom w:val="single" w:sz="4" w:space="0" w:color="auto"/>
              <w:right w:val="single" w:sz="4" w:space="0" w:color="auto"/>
            </w:tcBorders>
            <w:shd w:val="clear" w:color="auto" w:fill="C4EFCE"/>
            <w:vAlign w:val="center"/>
          </w:tcPr>
          <w:p w14:paraId="3DA24E3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169F4C1B" w14:textId="77777777" w:rsidR="00A15990" w:rsidRDefault="00686A62">
            <w:pPr>
              <w:pStyle w:val="P68B1DB1-Normal23"/>
              <w:spacing w:after="0"/>
              <w:jc w:val="both"/>
              <w:rPr>
                <w:rFonts w:eastAsia="Calibri" w:cs="Calibri"/>
                <w:noProof/>
              </w:rPr>
            </w:pPr>
            <w:r>
              <w:rPr>
                <w:noProof/>
              </w:rPr>
              <w:t>Cazarea studenților la costuri accesibile</w:t>
            </w:r>
          </w:p>
        </w:tc>
      </w:tr>
      <w:tr w:rsidR="00A15990" w14:paraId="67D25657"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EFDADF4" w14:textId="77777777" w:rsidR="00A15990" w:rsidRDefault="00686A62">
            <w:pPr>
              <w:pStyle w:val="P68B1DB1-Normal23"/>
              <w:spacing w:after="0"/>
              <w:jc w:val="center"/>
              <w:rPr>
                <w:rFonts w:eastAsia="Calibri" w:cs="Calibri"/>
                <w:noProof/>
              </w:rPr>
            </w:pPr>
            <w:r>
              <w:rPr>
                <w:noProof/>
              </w:rPr>
              <w:t>5.29</w:t>
            </w:r>
          </w:p>
        </w:tc>
        <w:tc>
          <w:tcPr>
            <w:tcW w:w="1760" w:type="dxa"/>
            <w:tcBorders>
              <w:top w:val="nil"/>
              <w:left w:val="nil"/>
              <w:bottom w:val="single" w:sz="4" w:space="0" w:color="auto"/>
              <w:right w:val="single" w:sz="4" w:space="0" w:color="auto"/>
            </w:tcBorders>
            <w:shd w:val="clear" w:color="auto" w:fill="C4EFCE"/>
            <w:vAlign w:val="center"/>
          </w:tcPr>
          <w:p w14:paraId="65077588" w14:textId="77777777" w:rsidR="00A15990" w:rsidRDefault="00686A62">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6A34C10A"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4DE8649" w14:textId="73C0101C" w:rsidR="00A15990" w:rsidRDefault="00686A62">
            <w:pPr>
              <w:pStyle w:val="P68B1DB1-Normal23"/>
              <w:spacing w:after="0"/>
              <w:jc w:val="both"/>
              <w:rPr>
                <w:rFonts w:eastAsia="Calibri" w:cs="Calibri"/>
                <w:noProof/>
              </w:rPr>
            </w:pPr>
            <w:r>
              <w:rPr>
                <w:noProof/>
              </w:rPr>
              <w:t>Furnizarea, prin instrumentul de capitalizare, a unei sume totale de 1 300 000 000 EUR societăților nefinanciare portugheze sub formă de sprijin sub formă de capital propriu și cvasicapital, în conformitate cu politica sa de investiții</w:t>
            </w:r>
          </w:p>
        </w:tc>
      </w:tr>
      <w:tr w:rsidR="00A15990" w14:paraId="50C64ABA"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0B472DD0" w14:textId="77777777" w:rsidR="00A15990" w:rsidRDefault="00686A62">
            <w:pPr>
              <w:pStyle w:val="P68B1DB1-Normal23"/>
              <w:spacing w:after="0"/>
              <w:jc w:val="center"/>
              <w:rPr>
                <w:rFonts w:eastAsia="Calibri" w:cs="Calibri"/>
                <w:noProof/>
              </w:rPr>
            </w:pPr>
            <w:r>
              <w:rPr>
                <w:noProof/>
              </w:rPr>
              <w:t>5.32</w:t>
            </w:r>
          </w:p>
        </w:tc>
        <w:tc>
          <w:tcPr>
            <w:tcW w:w="1760" w:type="dxa"/>
            <w:tcBorders>
              <w:top w:val="nil"/>
              <w:left w:val="nil"/>
              <w:bottom w:val="single" w:sz="4" w:space="0" w:color="auto"/>
              <w:right w:val="single" w:sz="4" w:space="0" w:color="auto"/>
            </w:tcBorders>
            <w:shd w:val="clear" w:color="auto" w:fill="C4EFCE"/>
            <w:vAlign w:val="center"/>
          </w:tcPr>
          <w:p w14:paraId="44B52EBF" w14:textId="77777777" w:rsidR="00A15990" w:rsidRDefault="00686A62">
            <w:pPr>
              <w:pStyle w:val="P68B1DB1-Normal23"/>
              <w:spacing w:after="0"/>
              <w:jc w:val="center"/>
              <w:rPr>
                <w:rFonts w:eastAsia="Calibri" w:cs="Calibri"/>
                <w:noProof/>
              </w:rPr>
            </w:pPr>
            <w:r>
              <w:rPr>
                <w:noProof/>
              </w:rPr>
              <w:t>RE-C05-i06</w:t>
            </w:r>
          </w:p>
        </w:tc>
        <w:tc>
          <w:tcPr>
            <w:tcW w:w="1520" w:type="dxa"/>
            <w:tcBorders>
              <w:top w:val="nil"/>
              <w:left w:val="nil"/>
              <w:bottom w:val="single" w:sz="4" w:space="0" w:color="auto"/>
              <w:right w:val="single" w:sz="4" w:space="0" w:color="auto"/>
            </w:tcBorders>
            <w:shd w:val="clear" w:color="auto" w:fill="C4EFCE"/>
            <w:vAlign w:val="center"/>
          </w:tcPr>
          <w:p w14:paraId="75CF3957"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9D7A449" w14:textId="77777777" w:rsidR="00A15990" w:rsidRDefault="00686A62">
            <w:pPr>
              <w:pStyle w:val="P68B1DB1-Normal23"/>
              <w:spacing w:after="0"/>
              <w:jc w:val="both"/>
              <w:rPr>
                <w:rFonts w:eastAsia="Calibri" w:cs="Calibri"/>
                <w:noProof/>
              </w:rPr>
            </w:pPr>
            <w:r>
              <w:rPr>
                <w:noProof/>
              </w:rPr>
              <w:t>100 % din garanțiile puse la dispoziție prin majorarea de capital au fost semnate.</w:t>
            </w:r>
          </w:p>
        </w:tc>
      </w:tr>
      <w:tr w:rsidR="00A15990" w14:paraId="382C66B1"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622DA2FA" w14:textId="77777777" w:rsidR="00A15990" w:rsidRDefault="00686A62">
            <w:pPr>
              <w:pStyle w:val="P68B1DB1-Normal23"/>
              <w:spacing w:after="0"/>
              <w:jc w:val="center"/>
              <w:rPr>
                <w:rFonts w:eastAsia="Calibri" w:cs="Calibri"/>
                <w:noProof/>
              </w:rPr>
            </w:pPr>
            <w:r>
              <w:rPr>
                <w:noProof/>
              </w:rPr>
              <w:t>5.45</w:t>
            </w:r>
          </w:p>
        </w:tc>
        <w:tc>
          <w:tcPr>
            <w:tcW w:w="1760" w:type="dxa"/>
            <w:tcBorders>
              <w:top w:val="nil"/>
              <w:left w:val="nil"/>
              <w:bottom w:val="single" w:sz="4" w:space="0" w:color="auto"/>
              <w:right w:val="single" w:sz="4" w:space="0" w:color="auto"/>
            </w:tcBorders>
            <w:shd w:val="clear" w:color="auto" w:fill="C4EFCE"/>
            <w:vAlign w:val="center"/>
          </w:tcPr>
          <w:p w14:paraId="0BD22FC2" w14:textId="77777777" w:rsidR="00A15990" w:rsidRDefault="00686A62">
            <w:pPr>
              <w:pStyle w:val="P68B1DB1-Normal23"/>
              <w:spacing w:after="0"/>
              <w:jc w:val="center"/>
              <w:rPr>
                <w:rFonts w:eastAsia="Calibri" w:cs="Calibri"/>
                <w:noProof/>
              </w:rPr>
            </w:pPr>
            <w:r>
              <w:rPr>
                <w:noProof/>
              </w:rPr>
              <w:t>RE-C05-i11</w:t>
            </w:r>
          </w:p>
        </w:tc>
        <w:tc>
          <w:tcPr>
            <w:tcW w:w="1520" w:type="dxa"/>
            <w:tcBorders>
              <w:top w:val="nil"/>
              <w:left w:val="nil"/>
              <w:bottom w:val="single" w:sz="4" w:space="0" w:color="auto"/>
              <w:right w:val="single" w:sz="4" w:space="0" w:color="auto"/>
            </w:tcBorders>
            <w:shd w:val="clear" w:color="auto" w:fill="C4EFCE"/>
            <w:vAlign w:val="center"/>
          </w:tcPr>
          <w:p w14:paraId="197EDE46"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3321F122" w14:textId="77777777" w:rsidR="00A15990" w:rsidRDefault="00686A62">
            <w:pPr>
              <w:pStyle w:val="P68B1DB1-Normal23"/>
              <w:spacing w:after="0"/>
              <w:jc w:val="both"/>
              <w:rPr>
                <w:rFonts w:eastAsia="Calibri" w:cs="Calibri"/>
                <w:noProof/>
              </w:rPr>
            </w:pPr>
            <w:r>
              <w:rPr>
                <w:noProof/>
              </w:rPr>
              <w:t>Finalizarea a 446 produse, procese sau servicii.</w:t>
            </w:r>
          </w:p>
        </w:tc>
      </w:tr>
      <w:tr w:rsidR="00A15990" w14:paraId="75A43AF5"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1A6C56C4" w14:textId="77777777" w:rsidR="00A15990" w:rsidRDefault="00686A62">
            <w:pPr>
              <w:pStyle w:val="P68B1DB1-Normal23"/>
              <w:spacing w:after="0"/>
              <w:jc w:val="center"/>
              <w:rPr>
                <w:rFonts w:eastAsia="Calibri" w:cs="Calibri"/>
                <w:noProof/>
              </w:rPr>
            </w:pPr>
            <w:r>
              <w:rPr>
                <w:noProof/>
              </w:rPr>
              <w:t>5.47</w:t>
            </w:r>
          </w:p>
        </w:tc>
        <w:tc>
          <w:tcPr>
            <w:tcW w:w="1760" w:type="dxa"/>
            <w:tcBorders>
              <w:top w:val="nil"/>
              <w:left w:val="nil"/>
              <w:bottom w:val="single" w:sz="4" w:space="0" w:color="auto"/>
              <w:right w:val="single" w:sz="4" w:space="0" w:color="auto"/>
            </w:tcBorders>
            <w:shd w:val="clear" w:color="auto" w:fill="C4EFCE"/>
            <w:vAlign w:val="center"/>
          </w:tcPr>
          <w:p w14:paraId="49495519" w14:textId="3E544D5D" w:rsidR="00A15990" w:rsidRDefault="00686A62">
            <w:pPr>
              <w:pStyle w:val="P68B1DB1-Normal23"/>
              <w:spacing w:after="0"/>
              <w:jc w:val="center"/>
              <w:rPr>
                <w:rFonts w:eastAsia="Calibri" w:cs="Calibri"/>
                <w:noProof/>
              </w:rPr>
            </w:pPr>
            <w:r>
              <w:rPr>
                <w:noProof/>
              </w:rPr>
              <w:t>RE-C05-i12</w:t>
            </w:r>
          </w:p>
        </w:tc>
        <w:tc>
          <w:tcPr>
            <w:tcW w:w="1520" w:type="dxa"/>
            <w:tcBorders>
              <w:top w:val="nil"/>
              <w:left w:val="nil"/>
              <w:bottom w:val="single" w:sz="4" w:space="0" w:color="auto"/>
              <w:right w:val="single" w:sz="4" w:space="0" w:color="auto"/>
            </w:tcBorders>
            <w:shd w:val="clear" w:color="auto" w:fill="C4EFCE"/>
            <w:vAlign w:val="center"/>
          </w:tcPr>
          <w:p w14:paraId="1D528D41"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0301C30B" w14:textId="77777777" w:rsidR="00A15990" w:rsidRDefault="00686A62">
            <w:pPr>
              <w:pStyle w:val="P68B1DB1-Normal23"/>
              <w:spacing w:after="0"/>
              <w:jc w:val="both"/>
              <w:rPr>
                <w:rFonts w:eastAsia="Calibri" w:cs="Calibri"/>
                <w:noProof/>
              </w:rPr>
            </w:pPr>
            <w:r>
              <w:rPr>
                <w:noProof/>
              </w:rPr>
              <w:t>Încheierea de contracte pentru dezvoltarea de noi produse, procese sau servicii în domenii strategice relevante pentru economia cu emisii scăzute de dioxid de carbon, reziliența și adaptarea la schimbările climatice.</w:t>
            </w:r>
          </w:p>
        </w:tc>
      </w:tr>
      <w:tr w:rsidR="00A15990" w14:paraId="14F0C662"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876D187" w14:textId="77777777" w:rsidR="00A15990" w:rsidRDefault="00686A62">
            <w:pPr>
              <w:pStyle w:val="P68B1DB1-Normal23"/>
              <w:spacing w:after="0"/>
              <w:jc w:val="center"/>
              <w:rPr>
                <w:rFonts w:eastAsia="Calibri" w:cs="Calibri"/>
                <w:noProof/>
              </w:rPr>
            </w:pPr>
            <w:r>
              <w:rPr>
                <w:noProof/>
              </w:rPr>
              <w:t>7.10</w:t>
            </w:r>
          </w:p>
        </w:tc>
        <w:tc>
          <w:tcPr>
            <w:tcW w:w="1760" w:type="dxa"/>
            <w:tcBorders>
              <w:top w:val="nil"/>
              <w:left w:val="nil"/>
              <w:bottom w:val="single" w:sz="4" w:space="0" w:color="auto"/>
              <w:right w:val="single" w:sz="4" w:space="0" w:color="auto"/>
            </w:tcBorders>
            <w:shd w:val="clear" w:color="auto" w:fill="C4EFCE"/>
            <w:vAlign w:val="center"/>
          </w:tcPr>
          <w:p w14:paraId="4150F0A6" w14:textId="77777777" w:rsidR="00A15990" w:rsidRDefault="00686A62">
            <w:pPr>
              <w:pStyle w:val="P68B1DB1-Normal23"/>
              <w:spacing w:after="0"/>
              <w:jc w:val="center"/>
              <w:rPr>
                <w:rFonts w:eastAsia="Calibri" w:cs="Calibri"/>
                <w:noProof/>
              </w:rPr>
            </w:pPr>
            <w:r>
              <w:rPr>
                <w:noProof/>
              </w:rPr>
              <w:t>RE-C07-i03</w:t>
            </w:r>
          </w:p>
        </w:tc>
        <w:tc>
          <w:tcPr>
            <w:tcW w:w="1520" w:type="dxa"/>
            <w:tcBorders>
              <w:top w:val="nil"/>
              <w:left w:val="nil"/>
              <w:bottom w:val="single" w:sz="4" w:space="0" w:color="auto"/>
              <w:right w:val="single" w:sz="4" w:space="0" w:color="auto"/>
            </w:tcBorders>
            <w:shd w:val="clear" w:color="auto" w:fill="C4EFCE"/>
            <w:vAlign w:val="center"/>
          </w:tcPr>
          <w:p w14:paraId="592CEA84" w14:textId="77777777" w:rsidR="00A15990" w:rsidRDefault="00686A62">
            <w:pPr>
              <w:pStyle w:val="P68B1DB1-Normal23"/>
              <w:spacing w:after="0"/>
              <w:jc w:val="center"/>
              <w:rPr>
                <w:rFonts w:eastAsia="Calibri" w:cs="Calibri"/>
                <w:noProof/>
              </w:rPr>
            </w:pPr>
            <w:r>
              <w:rPr>
                <w:noProof/>
              </w:rPr>
              <w:t>T</w:t>
            </w:r>
          </w:p>
        </w:tc>
        <w:tc>
          <w:tcPr>
            <w:tcW w:w="5060" w:type="dxa"/>
            <w:tcBorders>
              <w:top w:val="nil"/>
              <w:left w:val="nil"/>
              <w:bottom w:val="single" w:sz="4" w:space="0" w:color="auto"/>
              <w:right w:val="single" w:sz="4" w:space="0" w:color="auto"/>
            </w:tcBorders>
            <w:shd w:val="clear" w:color="auto" w:fill="C4EFCE"/>
            <w:vAlign w:val="center"/>
          </w:tcPr>
          <w:p w14:paraId="2B2DBE78" w14:textId="77777777" w:rsidR="00A15990" w:rsidRDefault="00686A62">
            <w:pPr>
              <w:pStyle w:val="P68B1DB1-Normal23"/>
              <w:spacing w:after="0"/>
              <w:jc w:val="both"/>
              <w:rPr>
                <w:rFonts w:eastAsia="Calibri" w:cs="Calibri"/>
                <w:noProof/>
              </w:rPr>
            </w:pPr>
            <w:r>
              <w:rPr>
                <w:noProof/>
              </w:rPr>
              <w:t>Drumuri construite sau reabilitate</w:t>
            </w:r>
          </w:p>
        </w:tc>
      </w:tr>
      <w:tr w:rsidR="00A15990" w14:paraId="7DB20DEC"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73F74755" w14:textId="77777777" w:rsidR="00A15990" w:rsidRDefault="00686A62">
            <w:pPr>
              <w:pStyle w:val="P68B1DB1-Normal23"/>
              <w:spacing w:after="0"/>
              <w:jc w:val="center"/>
              <w:rPr>
                <w:rFonts w:eastAsia="Calibri" w:cs="Calibri"/>
                <w:noProof/>
              </w:rPr>
            </w:pPr>
            <w:r>
              <w:rPr>
                <w:noProof/>
              </w:rPr>
              <w:t>7.12</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0788EBF" w14:textId="77777777" w:rsidR="00A15990" w:rsidRDefault="00686A62">
            <w:pPr>
              <w:pStyle w:val="P68B1DB1-Normal23"/>
              <w:spacing w:after="0"/>
              <w:jc w:val="center"/>
              <w:rPr>
                <w:rFonts w:eastAsia="Calibri" w:cs="Calibri"/>
                <w:noProof/>
              </w:rPr>
            </w:pPr>
            <w:r>
              <w:rPr>
                <w:noProof/>
              </w:rPr>
              <w:t>RE-C07-i04</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C0933CA" w14:textId="77777777" w:rsidR="00A15990" w:rsidRDefault="00686A62">
            <w:pPr>
              <w:pStyle w:val="P68B1DB1-Normal23"/>
              <w:spacing w:after="0"/>
              <w:jc w:val="center"/>
              <w:rPr>
                <w:rFonts w:eastAsia="Calibri" w:cs="Calibri"/>
                <w:noProof/>
              </w:rPr>
            </w:pPr>
            <w:r>
              <w:rPr>
                <w:noProof/>
              </w:rPr>
              <w:t>T</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6814B6B4" w14:textId="77777777" w:rsidR="00A15990" w:rsidRDefault="00686A62">
            <w:pPr>
              <w:pStyle w:val="P68B1DB1-Normal23"/>
              <w:spacing w:after="0"/>
              <w:jc w:val="both"/>
              <w:rPr>
                <w:rFonts w:eastAsia="Calibri" w:cs="Calibri"/>
                <w:noProof/>
              </w:rPr>
            </w:pPr>
            <w:r>
              <w:rPr>
                <w:noProof/>
              </w:rPr>
              <w:t>Drumuri construite sau reabilitate</w:t>
            </w:r>
          </w:p>
        </w:tc>
      </w:tr>
      <w:tr w:rsidR="00A15990" w14:paraId="2FF9C22D"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2DAA1A82" w14:textId="66BEC41C" w:rsidR="00A15990" w:rsidRDefault="00686A62">
            <w:pPr>
              <w:pStyle w:val="P68B1DB1-Normal23"/>
              <w:spacing w:after="0"/>
              <w:jc w:val="center"/>
              <w:rPr>
                <w:rFonts w:eastAsia="Calibri" w:cs="Calibri"/>
                <w:noProof/>
              </w:rPr>
            </w:pPr>
            <w:r>
              <w:rPr>
                <w:noProof/>
              </w:rPr>
              <w:t>19.30</w:t>
            </w:r>
          </w:p>
        </w:tc>
        <w:tc>
          <w:tcPr>
            <w:tcW w:w="1760" w:type="dxa"/>
            <w:tcBorders>
              <w:top w:val="single" w:sz="4" w:space="0" w:color="auto"/>
              <w:left w:val="nil"/>
              <w:bottom w:val="single" w:sz="4" w:space="0" w:color="auto"/>
              <w:right w:val="single" w:sz="4" w:space="0" w:color="auto"/>
            </w:tcBorders>
            <w:shd w:val="clear" w:color="auto" w:fill="C4EFCE"/>
            <w:vAlign w:val="center"/>
          </w:tcPr>
          <w:p w14:paraId="71C7B993" w14:textId="3F7646E8" w:rsidR="00A15990" w:rsidRDefault="00686A62">
            <w:pPr>
              <w:pStyle w:val="P68B1DB1-Normal23"/>
              <w:spacing w:after="0"/>
              <w:jc w:val="center"/>
              <w:rPr>
                <w:rFonts w:eastAsia="Calibri" w:cs="Calibri"/>
                <w:noProof/>
              </w:rPr>
            </w:pPr>
            <w:r>
              <w:rPr>
                <w:noProof/>
              </w:rPr>
              <w:t>TD-C19-r41</w:t>
            </w:r>
          </w:p>
        </w:tc>
        <w:tc>
          <w:tcPr>
            <w:tcW w:w="1520" w:type="dxa"/>
            <w:tcBorders>
              <w:top w:val="single" w:sz="4" w:space="0" w:color="auto"/>
              <w:left w:val="nil"/>
              <w:bottom w:val="nil"/>
              <w:right w:val="single" w:sz="4" w:space="0" w:color="auto"/>
            </w:tcBorders>
            <w:shd w:val="clear" w:color="auto" w:fill="C4EFCE"/>
            <w:vAlign w:val="center"/>
          </w:tcPr>
          <w:p w14:paraId="16274021" w14:textId="378AF8DD" w:rsidR="00A15990" w:rsidRDefault="00686A62">
            <w:pPr>
              <w:pStyle w:val="P68B1DB1-Normal23"/>
              <w:spacing w:after="0"/>
              <w:jc w:val="center"/>
              <w:rPr>
                <w:rFonts w:eastAsia="Calibri" w:cs="Calibri"/>
                <w:noProof/>
              </w:rPr>
            </w:pPr>
            <w:r>
              <w:rPr>
                <w:noProof/>
              </w:rPr>
              <w:t>M</w:t>
            </w:r>
          </w:p>
        </w:tc>
        <w:tc>
          <w:tcPr>
            <w:tcW w:w="5060" w:type="dxa"/>
            <w:tcBorders>
              <w:top w:val="single" w:sz="4" w:space="0" w:color="auto"/>
              <w:left w:val="nil"/>
              <w:bottom w:val="nil"/>
              <w:right w:val="single" w:sz="4" w:space="0" w:color="auto"/>
            </w:tcBorders>
            <w:shd w:val="clear" w:color="auto" w:fill="C4EFCE"/>
            <w:vAlign w:val="center"/>
          </w:tcPr>
          <w:p w14:paraId="7AD3F20C" w14:textId="697A142B" w:rsidR="00A15990" w:rsidRDefault="00686A62">
            <w:pPr>
              <w:pStyle w:val="P68B1DB1-Normal23"/>
              <w:spacing w:after="0"/>
              <w:jc w:val="both"/>
              <w:rPr>
                <w:rFonts w:eastAsia="Calibri" w:cs="Calibri"/>
                <w:noProof/>
              </w:rPr>
            </w:pPr>
            <w:r>
              <w:rPr>
                <w:noProof/>
              </w:rPr>
              <w:t>Intrarea în vigoare a actului normativ privind accesul la serviciile publice</w:t>
            </w:r>
          </w:p>
        </w:tc>
      </w:tr>
      <w:tr w:rsidR="00A15990" w14:paraId="2DA41D00" w14:textId="77777777">
        <w:trPr>
          <w:trHeight w:val="440"/>
        </w:trPr>
        <w:tc>
          <w:tcPr>
            <w:tcW w:w="1200" w:type="dxa"/>
            <w:tcBorders>
              <w:top w:val="nil"/>
              <w:left w:val="single" w:sz="4" w:space="0" w:color="auto"/>
              <w:bottom w:val="single" w:sz="4" w:space="0" w:color="auto"/>
              <w:right w:val="single" w:sz="4" w:space="0" w:color="auto"/>
            </w:tcBorders>
            <w:shd w:val="clear" w:color="auto" w:fill="C4EFCE"/>
            <w:vAlign w:val="center"/>
          </w:tcPr>
          <w:p w14:paraId="32CD2493"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tcBorders>
              <w:top w:val="nil"/>
              <w:left w:val="nil"/>
              <w:bottom w:val="single" w:sz="4" w:space="0" w:color="auto"/>
              <w:right w:val="single" w:sz="4" w:space="0" w:color="auto"/>
            </w:tcBorders>
            <w:shd w:val="clear" w:color="auto" w:fill="C4EFCE"/>
            <w:vAlign w:val="center"/>
          </w:tcPr>
          <w:p w14:paraId="0300EF67" w14:textId="77777777" w:rsidR="00A15990" w:rsidRDefault="00686A62">
            <w:pPr>
              <w:pStyle w:val="P68B1DB1-Normal8"/>
              <w:spacing w:after="0" w:line="240" w:lineRule="auto"/>
              <w:rPr>
                <w:rFonts w:eastAsia="Times New Roman" w:cs="Calibri"/>
                <w:noProof/>
              </w:rPr>
            </w:pPr>
            <w:r>
              <w:rPr>
                <w:noProof/>
              </w:rPr>
              <w:t> </w:t>
            </w:r>
          </w:p>
        </w:tc>
        <w:tc>
          <w:tcPr>
            <w:tcW w:w="1520" w:type="dxa"/>
            <w:tcBorders>
              <w:top w:val="single" w:sz="4" w:space="0" w:color="auto"/>
              <w:left w:val="nil"/>
              <w:bottom w:val="single" w:sz="4" w:space="0" w:color="auto"/>
              <w:right w:val="single" w:sz="4" w:space="0" w:color="auto"/>
            </w:tcBorders>
            <w:shd w:val="clear" w:color="auto" w:fill="C4EFCE"/>
            <w:vAlign w:val="center"/>
          </w:tcPr>
          <w:p w14:paraId="55ECE748"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tcBorders>
              <w:top w:val="single" w:sz="4" w:space="0" w:color="auto"/>
              <w:left w:val="nil"/>
              <w:bottom w:val="single" w:sz="4" w:space="0" w:color="auto"/>
              <w:right w:val="single" w:sz="4" w:space="0" w:color="auto"/>
            </w:tcBorders>
            <w:shd w:val="clear" w:color="auto" w:fill="C4EFCE"/>
            <w:vAlign w:val="center"/>
          </w:tcPr>
          <w:p w14:paraId="7C719D15" w14:textId="6A1C6747" w:rsidR="00A15990" w:rsidRDefault="00686A62">
            <w:pPr>
              <w:pStyle w:val="P68B1DB1-Normal25"/>
              <w:spacing w:after="0" w:line="240" w:lineRule="auto"/>
              <w:jc w:val="center"/>
              <w:rPr>
                <w:rFonts w:cs="Calibri"/>
                <w:noProof/>
              </w:rPr>
            </w:pPr>
            <w:r>
              <w:rPr>
                <w:noProof/>
              </w:rPr>
              <w:t xml:space="preserve"> 938 960 210 MIL. </w:t>
            </w:r>
          </w:p>
        </w:tc>
      </w:tr>
    </w:tbl>
    <w:p w14:paraId="2594BF65" w14:textId="77777777" w:rsidR="00A15990" w:rsidRDefault="00A15990">
      <w:pPr>
        <w:keepNext/>
        <w:spacing w:before="40" w:after="160" w:line="259" w:lineRule="auto"/>
        <w:contextualSpacing/>
        <w:jc w:val="both"/>
        <w:rPr>
          <w:rFonts w:ascii="Times New Roman" w:eastAsiaTheme="minorEastAsia" w:hAnsi="Times New Roman" w:cs="Times New Roman"/>
          <w:noProof/>
          <w:sz w:val="24"/>
        </w:rPr>
      </w:pPr>
    </w:p>
    <w:p w14:paraId="76C80100" w14:textId="2CDFED06" w:rsidR="00A15990" w:rsidRDefault="00686A62">
      <w:pPr>
        <w:pStyle w:val="P68B1DB1-Normal4"/>
        <w:keepNext/>
        <w:spacing w:before="40" w:after="160" w:line="259" w:lineRule="auto"/>
        <w:contextualSpacing/>
        <w:jc w:val="both"/>
        <w:rPr>
          <w:rFonts w:eastAsia="Yu Mincho" w:cs="Times New Roman"/>
          <w:noProof/>
        </w:rPr>
      </w:pPr>
      <w:r>
        <w:rPr>
          <w:noProof/>
        </w:rPr>
        <w:t>2.10. A zecea cerere de plată (sprijin sub formă de împrumut):</w:t>
      </w:r>
    </w:p>
    <w:p w14:paraId="71DB6764" w14:textId="77777777" w:rsidR="00A15990" w:rsidRDefault="00A15990">
      <w:pPr>
        <w:keepNext/>
        <w:spacing w:before="40" w:after="0" w:line="259" w:lineRule="auto"/>
        <w:jc w:val="both"/>
        <w:rPr>
          <w:rFonts w:ascii="Times New Roman" w:eastAsiaTheme="minorEastAsia" w:hAnsi="Times New Roman" w:cs="Times New Roman"/>
          <w:noProof/>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760"/>
        <w:gridCol w:w="1520"/>
        <w:gridCol w:w="5060"/>
      </w:tblGrid>
      <w:tr w:rsidR="00A15990" w14:paraId="6B7C20FE" w14:textId="77777777">
        <w:trPr>
          <w:trHeight w:val="509"/>
          <w:tblHeader/>
        </w:trPr>
        <w:tc>
          <w:tcPr>
            <w:tcW w:w="1200" w:type="dxa"/>
            <w:vMerge w:val="restart"/>
            <w:shd w:val="clear" w:color="auto" w:fill="BDD7EE"/>
            <w:vAlign w:val="center"/>
            <w:hideMark/>
          </w:tcPr>
          <w:p w14:paraId="091A540E" w14:textId="77777777" w:rsidR="00A15990" w:rsidRDefault="00686A62">
            <w:pPr>
              <w:pStyle w:val="P68B1DB1-Normal22"/>
              <w:spacing w:after="0" w:line="240" w:lineRule="auto"/>
              <w:jc w:val="center"/>
              <w:rPr>
                <w:rFonts w:eastAsia="Times New Roman" w:cs="Times New Roman"/>
                <w:noProof/>
              </w:rPr>
            </w:pPr>
            <w:r>
              <w:rPr>
                <w:noProof/>
              </w:rPr>
              <w:t>Număr secvențial</w:t>
            </w:r>
          </w:p>
        </w:tc>
        <w:tc>
          <w:tcPr>
            <w:tcW w:w="1760" w:type="dxa"/>
            <w:vMerge w:val="restart"/>
            <w:shd w:val="clear" w:color="auto" w:fill="BDD7EE"/>
            <w:vAlign w:val="center"/>
            <w:hideMark/>
          </w:tcPr>
          <w:p w14:paraId="52173FC7" w14:textId="77777777" w:rsidR="00A15990" w:rsidRDefault="00686A62">
            <w:pPr>
              <w:pStyle w:val="P68B1DB1-Normal22"/>
              <w:spacing w:after="0" w:line="240" w:lineRule="auto"/>
              <w:jc w:val="center"/>
              <w:rPr>
                <w:rFonts w:eastAsia="Times New Roman" w:cs="Times New Roman"/>
                <w:noProof/>
              </w:rPr>
            </w:pPr>
            <w:r>
              <w:rPr>
                <w:noProof/>
              </w:rPr>
              <w:t>Măsură conexă (reformă sau investiție)</w:t>
            </w:r>
          </w:p>
        </w:tc>
        <w:tc>
          <w:tcPr>
            <w:tcW w:w="1520" w:type="dxa"/>
            <w:vMerge w:val="restart"/>
            <w:shd w:val="clear" w:color="auto" w:fill="BDD7EE"/>
            <w:vAlign w:val="center"/>
            <w:hideMark/>
          </w:tcPr>
          <w:p w14:paraId="60F692F4" w14:textId="12272B51" w:rsidR="00A15990" w:rsidRDefault="004976DE">
            <w:pPr>
              <w:pStyle w:val="P68B1DB1-Normal22"/>
              <w:spacing w:after="0" w:line="240" w:lineRule="auto"/>
              <w:jc w:val="center"/>
              <w:rPr>
                <w:rFonts w:eastAsia="Times New Roman" w:cs="Times New Roman"/>
                <w:noProof/>
              </w:rPr>
            </w:pPr>
            <w:r>
              <w:rPr>
                <w:noProof/>
              </w:rPr>
              <w:t>Jalon</w:t>
            </w:r>
            <w:r w:rsidR="00686A62">
              <w:rPr>
                <w:noProof/>
              </w:rPr>
              <w:t>/</w:t>
            </w:r>
            <w:r>
              <w:rPr>
                <w:noProof/>
              </w:rPr>
              <w:t>Țintă</w:t>
            </w:r>
          </w:p>
        </w:tc>
        <w:tc>
          <w:tcPr>
            <w:tcW w:w="5060" w:type="dxa"/>
            <w:vMerge w:val="restart"/>
            <w:shd w:val="clear" w:color="auto" w:fill="BDD7EE"/>
            <w:vAlign w:val="center"/>
            <w:hideMark/>
          </w:tcPr>
          <w:p w14:paraId="6E70766D" w14:textId="77777777" w:rsidR="00A15990" w:rsidRDefault="00686A62">
            <w:pPr>
              <w:pStyle w:val="P68B1DB1-Normal22"/>
              <w:spacing w:after="0" w:line="240" w:lineRule="auto"/>
              <w:jc w:val="center"/>
              <w:rPr>
                <w:rFonts w:eastAsia="Times New Roman" w:cs="Times New Roman"/>
                <w:noProof/>
              </w:rPr>
            </w:pPr>
            <w:r>
              <w:rPr>
                <w:noProof/>
              </w:rPr>
              <w:t>Nume</w:t>
            </w:r>
          </w:p>
        </w:tc>
      </w:tr>
      <w:tr w:rsidR="00A15990" w14:paraId="5EC6EC37" w14:textId="77777777">
        <w:trPr>
          <w:trHeight w:val="509"/>
          <w:tblHeader/>
        </w:trPr>
        <w:tc>
          <w:tcPr>
            <w:tcW w:w="1200" w:type="dxa"/>
            <w:vMerge/>
            <w:vAlign w:val="center"/>
            <w:hideMark/>
          </w:tcPr>
          <w:p w14:paraId="140A919C" w14:textId="77777777" w:rsidR="00A15990" w:rsidRDefault="00A15990">
            <w:pPr>
              <w:spacing w:after="0" w:line="240" w:lineRule="auto"/>
              <w:rPr>
                <w:rFonts w:ascii="Times New Roman" w:eastAsia="Times New Roman" w:hAnsi="Times New Roman" w:cs="Times New Roman"/>
                <w:noProof/>
                <w:sz w:val="20"/>
              </w:rPr>
            </w:pPr>
          </w:p>
        </w:tc>
        <w:tc>
          <w:tcPr>
            <w:tcW w:w="1760" w:type="dxa"/>
            <w:vMerge/>
            <w:vAlign w:val="center"/>
            <w:hideMark/>
          </w:tcPr>
          <w:p w14:paraId="7480BF59" w14:textId="77777777" w:rsidR="00A15990" w:rsidRDefault="00A15990">
            <w:pPr>
              <w:spacing w:after="0" w:line="240" w:lineRule="auto"/>
              <w:rPr>
                <w:rFonts w:ascii="Times New Roman" w:eastAsia="Times New Roman" w:hAnsi="Times New Roman" w:cs="Times New Roman"/>
                <w:noProof/>
                <w:sz w:val="20"/>
              </w:rPr>
            </w:pPr>
          </w:p>
        </w:tc>
        <w:tc>
          <w:tcPr>
            <w:tcW w:w="1520" w:type="dxa"/>
            <w:vMerge/>
            <w:vAlign w:val="center"/>
            <w:hideMark/>
          </w:tcPr>
          <w:p w14:paraId="0A39A395" w14:textId="77777777" w:rsidR="00A15990" w:rsidRDefault="00A15990">
            <w:pPr>
              <w:spacing w:after="0" w:line="240" w:lineRule="auto"/>
              <w:rPr>
                <w:rFonts w:ascii="Times New Roman" w:eastAsia="Times New Roman" w:hAnsi="Times New Roman" w:cs="Times New Roman"/>
                <w:noProof/>
                <w:sz w:val="20"/>
              </w:rPr>
            </w:pPr>
          </w:p>
        </w:tc>
        <w:tc>
          <w:tcPr>
            <w:tcW w:w="5060" w:type="dxa"/>
            <w:vMerge/>
            <w:vAlign w:val="center"/>
            <w:hideMark/>
          </w:tcPr>
          <w:p w14:paraId="6045547B" w14:textId="77777777" w:rsidR="00A15990" w:rsidRDefault="00A15990">
            <w:pPr>
              <w:spacing w:after="0" w:line="240" w:lineRule="auto"/>
              <w:rPr>
                <w:rFonts w:ascii="Times New Roman" w:eastAsia="Times New Roman" w:hAnsi="Times New Roman" w:cs="Times New Roman"/>
                <w:noProof/>
                <w:sz w:val="20"/>
              </w:rPr>
            </w:pPr>
          </w:p>
        </w:tc>
      </w:tr>
      <w:tr w:rsidR="00A15990" w14:paraId="43A9225B" w14:textId="77777777">
        <w:trPr>
          <w:trHeight w:val="440"/>
        </w:trPr>
        <w:tc>
          <w:tcPr>
            <w:tcW w:w="1200" w:type="dxa"/>
            <w:shd w:val="clear" w:color="auto" w:fill="C4EFCE"/>
            <w:vAlign w:val="center"/>
            <w:hideMark/>
          </w:tcPr>
          <w:p w14:paraId="1060EBA6" w14:textId="77777777" w:rsidR="00A15990" w:rsidRDefault="00686A62">
            <w:pPr>
              <w:pStyle w:val="P68B1DB1-Normal23"/>
              <w:spacing w:after="0"/>
              <w:jc w:val="center"/>
              <w:rPr>
                <w:rFonts w:eastAsia="Calibri" w:cs="Calibri"/>
                <w:noProof/>
              </w:rPr>
            </w:pPr>
            <w:r>
              <w:rPr>
                <w:noProof/>
              </w:rPr>
              <w:t>2.24</w:t>
            </w:r>
          </w:p>
        </w:tc>
        <w:tc>
          <w:tcPr>
            <w:tcW w:w="1760" w:type="dxa"/>
            <w:shd w:val="clear" w:color="auto" w:fill="C4EFCE"/>
            <w:vAlign w:val="center"/>
            <w:hideMark/>
          </w:tcPr>
          <w:p w14:paraId="713D07D5" w14:textId="77777777" w:rsidR="00A15990" w:rsidRDefault="00686A62">
            <w:pPr>
              <w:pStyle w:val="P68B1DB1-Normal23"/>
              <w:spacing w:after="0"/>
              <w:jc w:val="center"/>
              <w:rPr>
                <w:rFonts w:eastAsia="Calibri" w:cs="Calibri"/>
                <w:noProof/>
              </w:rPr>
            </w:pPr>
            <w:r>
              <w:rPr>
                <w:noProof/>
              </w:rPr>
              <w:t>RE-C02-i05</w:t>
            </w:r>
          </w:p>
        </w:tc>
        <w:tc>
          <w:tcPr>
            <w:tcW w:w="1520" w:type="dxa"/>
            <w:shd w:val="clear" w:color="auto" w:fill="C4EFCE"/>
            <w:vAlign w:val="center"/>
            <w:hideMark/>
          </w:tcPr>
          <w:p w14:paraId="4D626FFD"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546F0F41" w14:textId="77777777" w:rsidR="00A15990" w:rsidRDefault="00686A62">
            <w:pPr>
              <w:pStyle w:val="P68B1DB1-Normal23"/>
              <w:spacing w:after="0"/>
              <w:jc w:val="both"/>
              <w:rPr>
                <w:rFonts w:eastAsia="Calibri" w:cs="Calibri"/>
                <w:noProof/>
              </w:rPr>
            </w:pPr>
            <w:r>
              <w:rPr>
                <w:noProof/>
              </w:rPr>
              <w:t>Parc de locuințe publice la prețuri accesibile – Locuințe atribuite (construite cu eficiență energetică ridicată sau reabilitate cu o performanță energetică îmbunătățită)</w:t>
            </w:r>
          </w:p>
        </w:tc>
      </w:tr>
      <w:tr w:rsidR="00A15990" w14:paraId="6ACD318C" w14:textId="77777777">
        <w:trPr>
          <w:trHeight w:val="440"/>
        </w:trPr>
        <w:tc>
          <w:tcPr>
            <w:tcW w:w="1200" w:type="dxa"/>
            <w:shd w:val="clear" w:color="auto" w:fill="C4EFCE"/>
            <w:vAlign w:val="center"/>
            <w:hideMark/>
          </w:tcPr>
          <w:p w14:paraId="4A97CC8F" w14:textId="77777777" w:rsidR="00A15990" w:rsidRDefault="00686A62">
            <w:pPr>
              <w:pStyle w:val="P68B1DB1-Normal23"/>
              <w:spacing w:after="0"/>
              <w:jc w:val="center"/>
              <w:rPr>
                <w:rFonts w:eastAsia="Calibri" w:cs="Calibri"/>
                <w:noProof/>
              </w:rPr>
            </w:pPr>
            <w:r>
              <w:rPr>
                <w:noProof/>
              </w:rPr>
              <w:t>2.28</w:t>
            </w:r>
          </w:p>
        </w:tc>
        <w:tc>
          <w:tcPr>
            <w:tcW w:w="1760" w:type="dxa"/>
            <w:shd w:val="clear" w:color="auto" w:fill="C4EFCE"/>
            <w:vAlign w:val="center"/>
            <w:hideMark/>
          </w:tcPr>
          <w:p w14:paraId="3C8F5913" w14:textId="77777777" w:rsidR="00A15990" w:rsidRDefault="00686A62">
            <w:pPr>
              <w:pStyle w:val="P68B1DB1-Normal23"/>
              <w:spacing w:after="0"/>
              <w:jc w:val="center"/>
              <w:rPr>
                <w:rFonts w:eastAsia="Calibri" w:cs="Calibri"/>
                <w:noProof/>
              </w:rPr>
            </w:pPr>
            <w:r>
              <w:rPr>
                <w:noProof/>
              </w:rPr>
              <w:t>RE-C02-i06</w:t>
            </w:r>
          </w:p>
        </w:tc>
        <w:tc>
          <w:tcPr>
            <w:tcW w:w="1520" w:type="dxa"/>
            <w:shd w:val="clear" w:color="auto" w:fill="C4EFCE"/>
            <w:vAlign w:val="center"/>
            <w:hideMark/>
          </w:tcPr>
          <w:p w14:paraId="6259008C"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B76E21D" w14:textId="77777777" w:rsidR="00A15990" w:rsidRDefault="00686A62">
            <w:pPr>
              <w:pStyle w:val="P68B1DB1-Normal23"/>
              <w:spacing w:after="0"/>
              <w:jc w:val="both"/>
              <w:rPr>
                <w:rFonts w:eastAsia="Calibri" w:cs="Calibri"/>
                <w:noProof/>
              </w:rPr>
            </w:pPr>
            <w:r>
              <w:rPr>
                <w:noProof/>
              </w:rPr>
              <w:t>Cazarea studenților la costuri accesibile</w:t>
            </w:r>
          </w:p>
        </w:tc>
      </w:tr>
      <w:tr w:rsidR="00A15990" w14:paraId="0BC09961" w14:textId="77777777">
        <w:trPr>
          <w:trHeight w:val="440"/>
        </w:trPr>
        <w:tc>
          <w:tcPr>
            <w:tcW w:w="1200" w:type="dxa"/>
            <w:shd w:val="clear" w:color="auto" w:fill="C4EFCE"/>
            <w:vAlign w:val="center"/>
            <w:hideMark/>
          </w:tcPr>
          <w:p w14:paraId="5CF2BED8" w14:textId="77777777" w:rsidR="00A15990" w:rsidRDefault="00686A62">
            <w:pPr>
              <w:pStyle w:val="P68B1DB1-Normal23"/>
              <w:spacing w:after="0"/>
              <w:jc w:val="center"/>
              <w:rPr>
                <w:rFonts w:eastAsia="Calibri" w:cs="Calibri"/>
                <w:noProof/>
              </w:rPr>
            </w:pPr>
            <w:r>
              <w:rPr>
                <w:noProof/>
              </w:rPr>
              <w:t>2.32</w:t>
            </w:r>
          </w:p>
        </w:tc>
        <w:tc>
          <w:tcPr>
            <w:tcW w:w="1760" w:type="dxa"/>
            <w:shd w:val="clear" w:color="auto" w:fill="C4EFCE"/>
            <w:vAlign w:val="center"/>
            <w:hideMark/>
          </w:tcPr>
          <w:p w14:paraId="67904F64" w14:textId="77777777" w:rsidR="00A15990" w:rsidRDefault="00686A62">
            <w:pPr>
              <w:pStyle w:val="P68B1DB1-Normal23"/>
              <w:spacing w:after="0"/>
              <w:jc w:val="center"/>
              <w:rPr>
                <w:rFonts w:eastAsia="Calibri" w:cs="Calibri"/>
                <w:noProof/>
              </w:rPr>
            </w:pPr>
            <w:r>
              <w:rPr>
                <w:noProof/>
              </w:rPr>
              <w:t>RE-C02-i01</w:t>
            </w:r>
          </w:p>
        </w:tc>
        <w:tc>
          <w:tcPr>
            <w:tcW w:w="1520" w:type="dxa"/>
            <w:shd w:val="clear" w:color="auto" w:fill="C4EFCE"/>
            <w:vAlign w:val="center"/>
            <w:hideMark/>
          </w:tcPr>
          <w:p w14:paraId="264290E3"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62BD1AF8" w14:textId="77777777" w:rsidR="00A15990" w:rsidRDefault="00686A62">
            <w:pPr>
              <w:pStyle w:val="P68B1DB1-Normal23"/>
              <w:spacing w:after="0"/>
              <w:jc w:val="both"/>
              <w:rPr>
                <w:rFonts w:eastAsia="Calibri" w:cs="Calibri"/>
                <w:noProof/>
              </w:rPr>
            </w:pPr>
            <w:r>
              <w:rPr>
                <w:noProof/>
              </w:rPr>
              <w:t>Program de sprijin pentru accesul la locuințe (împrumut) – locuințe achiziționate, construite (cu eficiență energetică ridicată) sau reabilitate (cu o performanță energetică îmbunătățită) furnizate gospodăriilor</w:t>
            </w:r>
          </w:p>
        </w:tc>
      </w:tr>
      <w:tr w:rsidR="00A15990" w14:paraId="0E1519F3" w14:textId="77777777">
        <w:trPr>
          <w:trHeight w:val="440"/>
        </w:trPr>
        <w:tc>
          <w:tcPr>
            <w:tcW w:w="1200" w:type="dxa"/>
            <w:shd w:val="clear" w:color="auto" w:fill="C4EFCE"/>
            <w:vAlign w:val="center"/>
            <w:hideMark/>
          </w:tcPr>
          <w:p w14:paraId="76C8C652" w14:textId="77777777" w:rsidR="00A15990" w:rsidRDefault="00686A62">
            <w:pPr>
              <w:pStyle w:val="P68B1DB1-Normal23"/>
              <w:spacing w:after="0"/>
              <w:jc w:val="center"/>
              <w:rPr>
                <w:rFonts w:eastAsia="Calibri" w:cs="Calibri"/>
                <w:noProof/>
              </w:rPr>
            </w:pPr>
            <w:r>
              <w:rPr>
                <w:noProof/>
              </w:rPr>
              <w:t>6.29</w:t>
            </w:r>
          </w:p>
        </w:tc>
        <w:tc>
          <w:tcPr>
            <w:tcW w:w="1760" w:type="dxa"/>
            <w:shd w:val="clear" w:color="auto" w:fill="C4EFCE"/>
            <w:vAlign w:val="center"/>
            <w:hideMark/>
          </w:tcPr>
          <w:p w14:paraId="0F6D3ED0" w14:textId="77777777" w:rsidR="00A15990" w:rsidRDefault="00686A62">
            <w:pPr>
              <w:pStyle w:val="P68B1DB1-Normal23"/>
              <w:spacing w:after="0"/>
              <w:jc w:val="center"/>
              <w:rPr>
                <w:rFonts w:eastAsia="Calibri" w:cs="Calibri"/>
                <w:noProof/>
              </w:rPr>
            </w:pPr>
            <w:r>
              <w:rPr>
                <w:noProof/>
              </w:rPr>
              <w:t>RE-C06-i09</w:t>
            </w:r>
          </w:p>
        </w:tc>
        <w:tc>
          <w:tcPr>
            <w:tcW w:w="1520" w:type="dxa"/>
            <w:shd w:val="clear" w:color="auto" w:fill="C4EFCE"/>
            <w:vAlign w:val="center"/>
            <w:hideMark/>
          </w:tcPr>
          <w:p w14:paraId="6D0F7153"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047B6D19" w14:textId="77777777" w:rsidR="00A15990" w:rsidRDefault="00686A62">
            <w:pPr>
              <w:pStyle w:val="P68B1DB1-Normal23"/>
              <w:spacing w:after="0"/>
              <w:jc w:val="both"/>
              <w:rPr>
                <w:rFonts w:eastAsia="Calibri" w:cs="Calibri"/>
                <w:noProof/>
              </w:rPr>
            </w:pPr>
            <w:r>
              <w:rPr>
                <w:noProof/>
              </w:rPr>
              <w:t>Școli construite sau renovate</w:t>
            </w:r>
          </w:p>
        </w:tc>
      </w:tr>
      <w:tr w:rsidR="00A15990" w14:paraId="5238DA6D" w14:textId="77777777">
        <w:trPr>
          <w:trHeight w:val="440"/>
        </w:trPr>
        <w:tc>
          <w:tcPr>
            <w:tcW w:w="1200" w:type="dxa"/>
            <w:shd w:val="clear" w:color="auto" w:fill="C4EFCE"/>
            <w:vAlign w:val="center"/>
            <w:hideMark/>
          </w:tcPr>
          <w:p w14:paraId="5A9125CA" w14:textId="77777777" w:rsidR="00A15990" w:rsidRDefault="00686A62">
            <w:pPr>
              <w:pStyle w:val="P68B1DB1-Normal23"/>
              <w:spacing w:after="0"/>
              <w:jc w:val="center"/>
              <w:rPr>
                <w:rFonts w:eastAsia="Calibri" w:cs="Calibri"/>
                <w:noProof/>
              </w:rPr>
            </w:pPr>
            <w:r>
              <w:rPr>
                <w:noProof/>
              </w:rPr>
              <w:t>9.11</w:t>
            </w:r>
          </w:p>
        </w:tc>
        <w:tc>
          <w:tcPr>
            <w:tcW w:w="1760" w:type="dxa"/>
            <w:shd w:val="clear" w:color="auto" w:fill="C4EFCE"/>
            <w:vAlign w:val="center"/>
            <w:hideMark/>
          </w:tcPr>
          <w:p w14:paraId="0D639E29" w14:textId="77777777" w:rsidR="00A15990" w:rsidRDefault="00686A62">
            <w:pPr>
              <w:pStyle w:val="P68B1DB1-Normal23"/>
              <w:spacing w:after="0"/>
              <w:jc w:val="center"/>
              <w:rPr>
                <w:rFonts w:eastAsia="Calibri" w:cs="Calibri"/>
                <w:noProof/>
              </w:rPr>
            </w:pPr>
            <w:r>
              <w:rPr>
                <w:noProof/>
              </w:rPr>
              <w:t>RE-C09-i02</w:t>
            </w:r>
          </w:p>
        </w:tc>
        <w:tc>
          <w:tcPr>
            <w:tcW w:w="1520" w:type="dxa"/>
            <w:shd w:val="clear" w:color="auto" w:fill="C4EFCE"/>
            <w:vAlign w:val="center"/>
            <w:hideMark/>
          </w:tcPr>
          <w:p w14:paraId="41B75453"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312ACE4B" w14:textId="77777777" w:rsidR="00A15990" w:rsidRDefault="00686A62">
            <w:pPr>
              <w:pStyle w:val="P68B1DB1-Normal23"/>
              <w:spacing w:after="0"/>
              <w:jc w:val="both"/>
              <w:rPr>
                <w:rFonts w:eastAsia="Calibri" w:cs="Calibri"/>
                <w:noProof/>
              </w:rPr>
            </w:pPr>
            <w:r>
              <w:rPr>
                <w:noProof/>
              </w:rPr>
              <w:t>Punerea în funcțiune a barajului, producerea de energie hidroelectrică și solară și irigarea, cu respectarea deplină a rezultatelor și a condițiilor stabilite de EIA și atingerea unei stări bune a corpurilor de apă relevante</w:t>
            </w:r>
          </w:p>
        </w:tc>
      </w:tr>
      <w:tr w:rsidR="00A15990" w14:paraId="19AB668B" w14:textId="77777777">
        <w:trPr>
          <w:trHeight w:val="440"/>
        </w:trPr>
        <w:tc>
          <w:tcPr>
            <w:tcW w:w="1200" w:type="dxa"/>
            <w:shd w:val="clear" w:color="auto" w:fill="C4EFCE"/>
            <w:vAlign w:val="center"/>
            <w:hideMark/>
          </w:tcPr>
          <w:p w14:paraId="6A2076DD" w14:textId="77777777" w:rsidR="00A15990" w:rsidRDefault="00686A62">
            <w:pPr>
              <w:pStyle w:val="P68B1DB1-Normal23"/>
              <w:spacing w:after="0"/>
              <w:jc w:val="center"/>
              <w:rPr>
                <w:rFonts w:eastAsia="Calibri" w:cs="Calibri"/>
                <w:noProof/>
              </w:rPr>
            </w:pPr>
            <w:r>
              <w:rPr>
                <w:noProof/>
              </w:rPr>
              <w:t>10.7</w:t>
            </w:r>
          </w:p>
        </w:tc>
        <w:tc>
          <w:tcPr>
            <w:tcW w:w="1760" w:type="dxa"/>
            <w:shd w:val="clear" w:color="auto" w:fill="C4EFCE"/>
            <w:vAlign w:val="center"/>
            <w:hideMark/>
          </w:tcPr>
          <w:p w14:paraId="7A7CF25E" w14:textId="77777777" w:rsidR="00A15990" w:rsidRDefault="00686A62">
            <w:pPr>
              <w:pStyle w:val="P68B1DB1-Normal23"/>
              <w:spacing w:after="0"/>
              <w:jc w:val="center"/>
              <w:rPr>
                <w:rFonts w:eastAsia="Calibri" w:cs="Calibri"/>
                <w:noProof/>
              </w:rPr>
            </w:pPr>
            <w:r>
              <w:rPr>
                <w:noProof/>
              </w:rPr>
              <w:t>TC-C10-I03</w:t>
            </w:r>
          </w:p>
        </w:tc>
        <w:tc>
          <w:tcPr>
            <w:tcW w:w="1520" w:type="dxa"/>
            <w:shd w:val="clear" w:color="auto" w:fill="C4EFCE"/>
            <w:vAlign w:val="center"/>
            <w:hideMark/>
          </w:tcPr>
          <w:p w14:paraId="266B0A8B" w14:textId="77777777" w:rsidR="00A15990" w:rsidRDefault="00686A62">
            <w:pPr>
              <w:pStyle w:val="P68B1DB1-Normal23"/>
              <w:spacing w:after="0"/>
              <w:jc w:val="center"/>
              <w:rPr>
                <w:rFonts w:eastAsia="Calibri" w:cs="Calibri"/>
                <w:noProof/>
              </w:rPr>
            </w:pPr>
            <w:r>
              <w:rPr>
                <w:noProof/>
              </w:rPr>
              <w:t>M</w:t>
            </w:r>
          </w:p>
        </w:tc>
        <w:tc>
          <w:tcPr>
            <w:tcW w:w="5060" w:type="dxa"/>
            <w:shd w:val="clear" w:color="auto" w:fill="C4EFCE"/>
            <w:vAlign w:val="center"/>
            <w:hideMark/>
          </w:tcPr>
          <w:p w14:paraId="73803CDA" w14:textId="77777777" w:rsidR="00A15990" w:rsidRDefault="00686A62">
            <w:pPr>
              <w:pStyle w:val="P68B1DB1-Normal23"/>
              <w:spacing w:after="0"/>
              <w:jc w:val="both"/>
              <w:rPr>
                <w:rFonts w:eastAsia="Calibri" w:cs="Calibri"/>
                <w:noProof/>
              </w:rPr>
            </w:pPr>
            <w:r>
              <w:rPr>
                <w:noProof/>
              </w:rPr>
              <w:t>Recepția și acceptarea „Platformei navale multifuncționale” și a „Centrului de operațiuni”</w:t>
            </w:r>
          </w:p>
        </w:tc>
      </w:tr>
      <w:tr w:rsidR="00A15990" w14:paraId="057D473A" w14:textId="77777777">
        <w:trPr>
          <w:trHeight w:val="440"/>
        </w:trPr>
        <w:tc>
          <w:tcPr>
            <w:tcW w:w="1200" w:type="dxa"/>
            <w:shd w:val="clear" w:color="auto" w:fill="C4EFCE"/>
            <w:vAlign w:val="center"/>
            <w:hideMark/>
          </w:tcPr>
          <w:p w14:paraId="5F8992F9" w14:textId="77777777" w:rsidR="00A15990" w:rsidRDefault="00686A62">
            <w:pPr>
              <w:pStyle w:val="P68B1DB1-Normal23"/>
              <w:spacing w:after="0"/>
              <w:jc w:val="center"/>
              <w:rPr>
                <w:rFonts w:eastAsia="Calibri" w:cs="Calibri"/>
                <w:noProof/>
              </w:rPr>
            </w:pPr>
            <w:r>
              <w:rPr>
                <w:noProof/>
              </w:rPr>
              <w:t>10.18</w:t>
            </w:r>
          </w:p>
        </w:tc>
        <w:tc>
          <w:tcPr>
            <w:tcW w:w="1760" w:type="dxa"/>
            <w:shd w:val="clear" w:color="auto" w:fill="C4EFCE"/>
            <w:vAlign w:val="center"/>
            <w:hideMark/>
          </w:tcPr>
          <w:p w14:paraId="3BD8484D" w14:textId="77777777" w:rsidR="00A15990" w:rsidRDefault="00686A62">
            <w:pPr>
              <w:pStyle w:val="P68B1DB1-Normal23"/>
              <w:spacing w:after="0"/>
              <w:jc w:val="center"/>
              <w:rPr>
                <w:rFonts w:eastAsia="Calibri" w:cs="Calibri"/>
                <w:noProof/>
              </w:rPr>
            </w:pPr>
            <w:r>
              <w:rPr>
                <w:noProof/>
              </w:rPr>
              <w:t>TC-10-i07</w:t>
            </w:r>
          </w:p>
        </w:tc>
        <w:tc>
          <w:tcPr>
            <w:tcW w:w="1520" w:type="dxa"/>
            <w:shd w:val="clear" w:color="auto" w:fill="C4EFCE"/>
            <w:vAlign w:val="center"/>
            <w:hideMark/>
          </w:tcPr>
          <w:p w14:paraId="735A96C0"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7556295A" w14:textId="77777777" w:rsidR="00A15990" w:rsidRDefault="00686A62">
            <w:pPr>
              <w:pStyle w:val="P68B1DB1-Normal23"/>
              <w:spacing w:after="0"/>
              <w:jc w:val="both"/>
              <w:rPr>
                <w:rFonts w:eastAsia="Calibri" w:cs="Calibri"/>
                <w:noProof/>
              </w:rPr>
            </w:pPr>
            <w:r>
              <w:rPr>
                <w:noProof/>
              </w:rPr>
              <w:t>Finalizarea intervențiilor în materie de eficiență energetică pentru nave</w:t>
            </w:r>
          </w:p>
        </w:tc>
      </w:tr>
      <w:tr w:rsidR="00A15990" w14:paraId="4F144B9C" w14:textId="77777777">
        <w:trPr>
          <w:trHeight w:val="440"/>
        </w:trPr>
        <w:tc>
          <w:tcPr>
            <w:tcW w:w="1200" w:type="dxa"/>
            <w:shd w:val="clear" w:color="auto" w:fill="C4EFCE"/>
            <w:vAlign w:val="center"/>
            <w:hideMark/>
          </w:tcPr>
          <w:p w14:paraId="32223458" w14:textId="77777777" w:rsidR="00A15990" w:rsidRDefault="00686A62">
            <w:pPr>
              <w:pStyle w:val="P68B1DB1-Normal23"/>
              <w:spacing w:after="0"/>
              <w:jc w:val="center"/>
              <w:rPr>
                <w:rFonts w:eastAsia="Calibri" w:cs="Calibri"/>
                <w:noProof/>
              </w:rPr>
            </w:pPr>
            <w:r>
              <w:rPr>
                <w:noProof/>
              </w:rPr>
              <w:t>15.9</w:t>
            </w:r>
          </w:p>
        </w:tc>
        <w:tc>
          <w:tcPr>
            <w:tcW w:w="1760" w:type="dxa"/>
            <w:shd w:val="clear" w:color="auto" w:fill="C4EFCE"/>
            <w:vAlign w:val="center"/>
            <w:hideMark/>
          </w:tcPr>
          <w:p w14:paraId="653ED741" w14:textId="77777777" w:rsidR="00A15990" w:rsidRDefault="00686A62">
            <w:pPr>
              <w:pStyle w:val="P68B1DB1-Normal23"/>
              <w:spacing w:after="0"/>
              <w:jc w:val="center"/>
              <w:rPr>
                <w:rFonts w:eastAsia="Calibri" w:cs="Calibri"/>
                <w:noProof/>
              </w:rPr>
            </w:pPr>
            <w:r>
              <w:rPr>
                <w:noProof/>
              </w:rPr>
              <w:t>TC-C15-I03</w:t>
            </w:r>
          </w:p>
        </w:tc>
        <w:tc>
          <w:tcPr>
            <w:tcW w:w="1520" w:type="dxa"/>
            <w:shd w:val="clear" w:color="auto" w:fill="C4EFCE"/>
            <w:vAlign w:val="center"/>
            <w:hideMark/>
          </w:tcPr>
          <w:p w14:paraId="36D4B6CD" w14:textId="77777777" w:rsidR="00A15990" w:rsidRDefault="00686A62">
            <w:pPr>
              <w:pStyle w:val="P68B1DB1-Normal23"/>
              <w:spacing w:after="0"/>
              <w:jc w:val="center"/>
              <w:rPr>
                <w:rFonts w:eastAsia="Calibri" w:cs="Calibri"/>
                <w:noProof/>
              </w:rPr>
            </w:pPr>
            <w:r>
              <w:rPr>
                <w:noProof/>
              </w:rPr>
              <w:t>T</w:t>
            </w:r>
          </w:p>
        </w:tc>
        <w:tc>
          <w:tcPr>
            <w:tcW w:w="5060" w:type="dxa"/>
            <w:shd w:val="clear" w:color="auto" w:fill="C4EFCE"/>
            <w:vAlign w:val="center"/>
            <w:hideMark/>
          </w:tcPr>
          <w:p w14:paraId="19759650" w14:textId="77777777" w:rsidR="00A15990" w:rsidRDefault="00686A62">
            <w:pPr>
              <w:pStyle w:val="P68B1DB1-Normal23"/>
              <w:spacing w:after="0"/>
              <w:jc w:val="both"/>
              <w:rPr>
                <w:rFonts w:eastAsia="Calibri" w:cs="Calibri"/>
                <w:noProof/>
              </w:rPr>
            </w:pPr>
            <w:r>
              <w:rPr>
                <w:noProof/>
              </w:rPr>
              <w:t>Finalizarea construcției unei linii de tranzit feroviar ușor între Odivelas și Loures</w:t>
            </w:r>
          </w:p>
        </w:tc>
      </w:tr>
      <w:tr w:rsidR="00A15990" w14:paraId="4C01CA89" w14:textId="77777777">
        <w:trPr>
          <w:trHeight w:val="440"/>
        </w:trPr>
        <w:tc>
          <w:tcPr>
            <w:tcW w:w="1200" w:type="dxa"/>
            <w:shd w:val="clear" w:color="auto" w:fill="C4EFCE"/>
            <w:vAlign w:val="center"/>
            <w:hideMark/>
          </w:tcPr>
          <w:p w14:paraId="58A583A0" w14:textId="77777777" w:rsidR="00A15990" w:rsidRDefault="00686A62">
            <w:pPr>
              <w:pStyle w:val="P68B1DB1-Normal8"/>
              <w:spacing w:after="0" w:line="240" w:lineRule="auto"/>
              <w:jc w:val="center"/>
              <w:rPr>
                <w:rFonts w:eastAsia="Times New Roman" w:cs="Calibri"/>
                <w:noProof/>
              </w:rPr>
            </w:pPr>
            <w:r>
              <w:rPr>
                <w:noProof/>
              </w:rPr>
              <w:t> </w:t>
            </w:r>
          </w:p>
        </w:tc>
        <w:tc>
          <w:tcPr>
            <w:tcW w:w="1760" w:type="dxa"/>
            <w:shd w:val="clear" w:color="auto" w:fill="C4EFCE"/>
            <w:vAlign w:val="center"/>
            <w:hideMark/>
          </w:tcPr>
          <w:p w14:paraId="60B776CD" w14:textId="77777777" w:rsidR="00A15990" w:rsidRDefault="00686A62">
            <w:pPr>
              <w:pStyle w:val="P68B1DB1-Normal8"/>
              <w:spacing w:after="0" w:line="240" w:lineRule="auto"/>
              <w:rPr>
                <w:rFonts w:eastAsia="Times New Roman" w:cs="Calibri"/>
                <w:noProof/>
              </w:rPr>
            </w:pPr>
            <w:r>
              <w:rPr>
                <w:noProof/>
              </w:rPr>
              <w:t> </w:t>
            </w:r>
          </w:p>
        </w:tc>
        <w:tc>
          <w:tcPr>
            <w:tcW w:w="1520" w:type="dxa"/>
            <w:shd w:val="clear" w:color="auto" w:fill="C4EFCE"/>
            <w:vAlign w:val="center"/>
            <w:hideMark/>
          </w:tcPr>
          <w:p w14:paraId="795582F7" w14:textId="77777777" w:rsidR="00A15990" w:rsidRDefault="00686A62">
            <w:pPr>
              <w:pStyle w:val="P68B1DB1-Normal24"/>
              <w:spacing w:after="0" w:line="240" w:lineRule="auto"/>
              <w:jc w:val="center"/>
              <w:rPr>
                <w:rFonts w:eastAsia="Times New Roman" w:cs="Calibri"/>
                <w:noProof/>
              </w:rPr>
            </w:pPr>
            <w:r>
              <w:rPr>
                <w:noProof/>
              </w:rPr>
              <w:t>Valoarea tranșelor</w:t>
            </w:r>
          </w:p>
        </w:tc>
        <w:tc>
          <w:tcPr>
            <w:tcW w:w="5060" w:type="dxa"/>
            <w:shd w:val="clear" w:color="auto" w:fill="C4EFCE"/>
            <w:vAlign w:val="center"/>
            <w:hideMark/>
          </w:tcPr>
          <w:p w14:paraId="608E3E88" w14:textId="42969D28" w:rsidR="00A15990" w:rsidRDefault="00686A62">
            <w:pPr>
              <w:pStyle w:val="P68B1DB1-Normal25"/>
              <w:spacing w:after="0" w:line="240" w:lineRule="auto"/>
              <w:jc w:val="center"/>
              <w:rPr>
                <w:rFonts w:cs="Calibri"/>
                <w:noProof/>
              </w:rPr>
            </w:pPr>
            <w:r>
              <w:rPr>
                <w:noProof/>
              </w:rPr>
              <w:t xml:space="preserve"> 907 960 212 MIL. </w:t>
            </w:r>
          </w:p>
        </w:tc>
      </w:tr>
    </w:tbl>
    <w:p w14:paraId="1317C313" w14:textId="77777777" w:rsidR="00A15990" w:rsidRDefault="00A15990">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p>
    <w:p w14:paraId="7BC3CF85" w14:textId="11A36794" w:rsidR="00A15990" w:rsidRDefault="00686A62">
      <w:pPr>
        <w:keepNext/>
        <w:tabs>
          <w:tab w:val="num" w:pos="850"/>
        </w:tabs>
        <w:spacing w:before="360" w:after="0" w:line="259" w:lineRule="auto"/>
        <w:ind w:left="850" w:hanging="850"/>
        <w:jc w:val="both"/>
        <w:outlineLvl w:val="0"/>
        <w:rPr>
          <w:rFonts w:ascii="Times New Roman" w:eastAsiaTheme="majorEastAsia" w:hAnsi="Times New Roman" w:cs="Times New Roman"/>
          <w:b/>
          <w:smallCaps/>
          <w:noProof/>
          <w:sz w:val="24"/>
        </w:rPr>
      </w:pPr>
      <w:r>
        <w:rPr>
          <w:noProof/>
        </w:rPr>
        <w:br w:type="page"/>
      </w:r>
      <w:r>
        <w:rPr>
          <w:rFonts w:ascii="Times New Roman" w:hAnsi="Times New Roman"/>
          <w:b/>
          <w:smallCaps/>
          <w:noProof/>
          <w:sz w:val="24"/>
        </w:rPr>
        <w:t xml:space="preserve">SECȚIUNEA 3: DISPOZIȚII SUPLIMENTARE </w:t>
      </w:r>
    </w:p>
    <w:p w14:paraId="21FD14C8" w14:textId="77777777" w:rsidR="00A15990" w:rsidRDefault="00686A62">
      <w:pPr>
        <w:pStyle w:val="P68B1DB1-Normal3"/>
        <w:keepNext/>
        <w:numPr>
          <w:ilvl w:val="1"/>
          <w:numId w:val="49"/>
        </w:numPr>
        <w:spacing w:before="40" w:after="0" w:line="259" w:lineRule="auto"/>
        <w:ind w:left="357" w:hanging="357"/>
        <w:jc w:val="both"/>
        <w:outlineLvl w:val="1"/>
        <w:rPr>
          <w:rFonts w:eastAsiaTheme="majorEastAsia" w:cs="Times New Roman"/>
          <w:noProof/>
        </w:rPr>
      </w:pPr>
      <w:r>
        <w:rPr>
          <w:noProof/>
        </w:rPr>
        <w:t>Măsuri pentru monitorizarea și implementarea planului de redresare și reziliență</w:t>
      </w:r>
    </w:p>
    <w:p w14:paraId="0513130D"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Monitorizarea și punerea în aplicare a planului de redresare și reziliență al Portugaliei se desfășoară în conformitate cu următoarele dispoziții: </w:t>
      </w:r>
    </w:p>
    <w:p w14:paraId="47CE9DC2" w14:textId="3215C937" w:rsidR="00A15990" w:rsidRDefault="00686A62">
      <w:pPr>
        <w:pStyle w:val="P68B1DB1-Normal4"/>
        <w:keepNext/>
        <w:spacing w:before="40" w:after="0" w:line="259" w:lineRule="auto"/>
        <w:jc w:val="both"/>
        <w:rPr>
          <w:rFonts w:eastAsiaTheme="minorEastAsia" w:cs="Times New Roman"/>
          <w:noProof/>
        </w:rPr>
      </w:pPr>
      <w:r>
        <w:rPr>
          <w:noProof/>
        </w:rPr>
        <w:t xml:space="preserve">Decretul-lege nr. 29-B/2021, modificat prin Decretul-lege nr. 61/2023 din iulie 24, stabilește un model de guvernanță pe patru niveluri: </w:t>
      </w:r>
    </w:p>
    <w:p w14:paraId="5C86F29E" w14:textId="77777777" w:rsidR="00A15990" w:rsidRDefault="00686A62">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O comisie interministerială, prezidată de prim-ministru, responsabilă de coordonarea strategică și politică și de orientarea politică generală; </w:t>
      </w:r>
    </w:p>
    <w:p w14:paraId="40167AC1" w14:textId="77777777" w:rsidR="00A15990" w:rsidRDefault="00686A62">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O comisie națională de monitorizare, alcătuită din reprezentanți ai diferiților parteneri sociali și economici și personalități importante ale societății civile și prezidată de o persoană independentă, care să monitorizeze punerea în aplicare a planului de redresare și reziliență și rezultatele acestuia, să promoveze diseminarea corespunzătoare a acestuia către cetățeni, întreprinderi și alte organizații, să examineze orice probleme care îi afectează performanța și să propună recomandări; </w:t>
      </w:r>
    </w:p>
    <w:p w14:paraId="39701269" w14:textId="78BB1033" w:rsidR="00A15990" w:rsidRDefault="00686A62">
      <w:pPr>
        <w:pStyle w:val="P68B1DB1-Normal4"/>
        <w:keepNext/>
        <w:numPr>
          <w:ilvl w:val="0"/>
          <w:numId w:val="54"/>
        </w:numPr>
        <w:spacing w:before="40" w:after="160" w:line="259" w:lineRule="auto"/>
        <w:contextualSpacing/>
        <w:jc w:val="both"/>
        <w:rPr>
          <w:rFonts w:eastAsiaTheme="minorEastAsia" w:cs="Times New Roman"/>
          <w:noProof/>
        </w:rPr>
      </w:pPr>
      <w:r>
        <w:rPr>
          <w:noProof/>
        </w:rPr>
        <w:t xml:space="preserve">O structură administrativă </w:t>
      </w:r>
      <w:r>
        <w:rPr>
          <w:i/>
          <w:noProof/>
        </w:rPr>
        <w:t>Estrutura de missao Recuperar Portugal</w:t>
      </w:r>
      <w:r>
        <w:rPr>
          <w:noProof/>
        </w:rPr>
        <w:t xml:space="preserve"> (denumită în continuare „grupul operativ”) instituit prin Rezoluția nr. 46-B/2021 a Consiliului de Miniștri este responsabilă de punerea în aplicare a planului de redresare și reziliență, împreună cu Agenția pentru Dezvoltare și Coeziune (supravegherea utilizării mixului de fonduri ale UE, controlarea riscului de dublă finanțare și a coerenței cu alte inițiative) și Ministerul Finanțelor;</w:t>
      </w:r>
    </w:p>
    <w:p w14:paraId="1B7F06E3" w14:textId="77777777" w:rsidR="00A15990" w:rsidRDefault="00686A62">
      <w:pPr>
        <w:pStyle w:val="P68B1DB1-Normal4"/>
        <w:keepNext/>
        <w:numPr>
          <w:ilvl w:val="0"/>
          <w:numId w:val="54"/>
        </w:numPr>
        <w:spacing w:before="40" w:after="160" w:line="259" w:lineRule="auto"/>
        <w:contextualSpacing/>
        <w:jc w:val="both"/>
        <w:rPr>
          <w:rFonts w:eastAsiaTheme="minorEastAsia" w:cs="Times New Roman"/>
          <w:noProof/>
        </w:rPr>
      </w:pPr>
      <w:r>
        <w:rPr>
          <w:noProof/>
        </w:rPr>
        <w:t>Comitetul de audit și control (CAC), prezidat de Inspectoratul General al Finanțelor (IGF), este responsabil de activitățile de audit și control.</w:t>
      </w:r>
    </w:p>
    <w:p w14:paraId="7337E38A" w14:textId="77777777" w:rsidR="00A15990" w:rsidRDefault="00686A62">
      <w:pPr>
        <w:pStyle w:val="P68B1DB1-Normal4"/>
        <w:keepNext/>
        <w:spacing w:before="40" w:after="0" w:line="259" w:lineRule="auto"/>
        <w:jc w:val="both"/>
        <w:rPr>
          <w:rFonts w:eastAsiaTheme="minorEastAsia" w:cs="Times New Roman"/>
          <w:noProof/>
        </w:rPr>
      </w:pPr>
      <w:r>
        <w:rPr>
          <w:noProof/>
        </w:rPr>
        <w:t xml:space="preserve">Portugalia a înființat actorii instituționali responsabili cu punerea în aplicare a reformelor și a investițiilor individuale la nivel de componentă. Ministerele responsabile sau actorii implicați în realizarea fiecărei reforme și a fiecărei investiții colaborează periodic cu grupul operativ, care este structura responsabilă de coordonarea activității privind planul de redresare și reziliență, de semnarea contractelor cu beneficiarii direcți și intermediari, de verificarea îndeplinirii jaloanelor și a țintelor și de transmiterea cererilor de plată către Comisia Europeană. </w:t>
      </w:r>
    </w:p>
    <w:p w14:paraId="4221245C" w14:textId="77777777" w:rsidR="00A15990" w:rsidRDefault="00A15990">
      <w:pPr>
        <w:keepNext/>
        <w:spacing w:before="40" w:after="0" w:line="259" w:lineRule="auto"/>
        <w:jc w:val="both"/>
        <w:rPr>
          <w:rFonts w:ascii="Times New Roman" w:eastAsiaTheme="minorEastAsia" w:hAnsi="Times New Roman" w:cs="Times New Roman"/>
          <w:noProof/>
          <w:sz w:val="24"/>
        </w:rPr>
      </w:pPr>
    </w:p>
    <w:p w14:paraId="0C7CC7C0" w14:textId="77777777" w:rsidR="00A15990" w:rsidRDefault="00686A62">
      <w:pPr>
        <w:pStyle w:val="P68B1DB1-Normal3"/>
        <w:keepNext/>
        <w:numPr>
          <w:ilvl w:val="1"/>
          <w:numId w:val="49"/>
        </w:numPr>
        <w:spacing w:before="40" w:after="0" w:line="259" w:lineRule="auto"/>
        <w:ind w:left="357" w:hanging="357"/>
        <w:jc w:val="both"/>
        <w:outlineLvl w:val="1"/>
        <w:rPr>
          <w:rFonts w:eastAsiaTheme="minorEastAsia" w:cs="Times New Roman"/>
          <w:noProof/>
        </w:rPr>
      </w:pPr>
      <w:r>
        <w:rPr>
          <w:noProof/>
        </w:rPr>
        <w:t>Măsuri pentru asigurarea accesului deplin al Comisiei la datele subiacente</w:t>
      </w:r>
    </w:p>
    <w:p w14:paraId="2A07BA90" w14:textId="77777777" w:rsidR="00A15990" w:rsidRDefault="00A15990">
      <w:pPr>
        <w:keepNext/>
        <w:spacing w:before="40" w:after="0" w:line="259" w:lineRule="auto"/>
        <w:ind w:left="357"/>
        <w:jc w:val="both"/>
        <w:outlineLvl w:val="1"/>
        <w:rPr>
          <w:rFonts w:ascii="Times New Roman" w:eastAsiaTheme="minorEastAsia" w:hAnsi="Times New Roman" w:cs="Times New Roman"/>
          <w:b/>
          <w:noProof/>
          <w:sz w:val="24"/>
          <w:u w:val="single"/>
        </w:rPr>
      </w:pPr>
    </w:p>
    <w:p w14:paraId="058CE76E" w14:textId="524D29FB" w:rsidR="00A15990" w:rsidRDefault="00686A62">
      <w:pPr>
        <w:pStyle w:val="P68B1DB1-Normal4"/>
        <w:keepNext/>
        <w:numPr>
          <w:ilvl w:val="0"/>
          <w:numId w:val="69"/>
        </w:numPr>
        <w:spacing w:before="120" w:after="0" w:line="240" w:lineRule="auto"/>
        <w:ind w:left="714" w:hanging="357"/>
        <w:contextualSpacing/>
        <w:jc w:val="both"/>
        <w:rPr>
          <w:rFonts w:cs="Times New Roman"/>
          <w:noProof/>
        </w:rPr>
      </w:pPr>
      <w:r>
        <w:rPr>
          <w:noProof/>
        </w:rPr>
        <w:t>Grupul operativ „Estrutura de missao Recuperar Portugal”, în calitate de organism central de coordonare a planului de redresare și reziliență al Portugaliei și a punerii sale în aplicare, este responsabil de coordonarea și monitorizarea generală a planului, împreună cu Agenția pentru Dezvoltare și Coeziune și cu Ministerul Finanțelor. În special, acesta acționează ca organism de coordonare pentru monitorizarea progreselor înregistrate în ceea ce privește jaloanele și țintele, pentru monitorizarea și, după caz, pentru punerea în aplicare a activităților de control și audit, precum și pentru furnizarea de rapoarte și de cereri de plată. Acesta coordonează raportarea jaloanelor și a țintelor, a indicatorilor relevanți, dar și a informațiilor financiare calitative și a altor date, cum ar fi cele privind destinatarii finali. Codificarea datelor are loc într-un sistem informatic centralizat.</w:t>
      </w:r>
    </w:p>
    <w:p w14:paraId="09971485" w14:textId="77777777" w:rsidR="00A15990" w:rsidRDefault="00686A62">
      <w:pPr>
        <w:pStyle w:val="P68B1DB1-Normal4"/>
        <w:keepNext/>
        <w:numPr>
          <w:ilvl w:val="0"/>
          <w:numId w:val="69"/>
        </w:numPr>
        <w:spacing w:before="120" w:after="120" w:line="240" w:lineRule="auto"/>
        <w:contextualSpacing/>
        <w:jc w:val="both"/>
        <w:rPr>
          <w:rFonts w:eastAsiaTheme="minorEastAsia" w:cs="Times New Roman"/>
          <w:noProof/>
        </w:rPr>
      </w:pPr>
      <w:r>
        <w:rPr>
          <w:noProof/>
        </w:rPr>
        <w:t xml:space="preserve">În conformitate cu articolul 24 alineatul (2) din Regulamentul (UE) 2021/241, la îndeplinirea jaloanelor și a țintelor relevante convenite în secțiunea 2.1 din prezenta anexă, Portugalia prezintă Comisiei o cerere justificată în mod corespunzător de plată a contribuției financiare și, după caz, a împrumutului. Portugalia se asigură că, la cerere, Comisia are acces deplin la datele subiacente relevante care justifică în mod corespunzător cererea de plată, atât pentru evaluarea cererii de plată în conformitate cu articolul 24 alineatul (3) din Regulamentul (UE) 2021/241, cât și în scopuri de audit și control. </w:t>
      </w:r>
    </w:p>
    <w:p w14:paraId="03FAF694" w14:textId="77777777" w:rsidR="00A15990" w:rsidRDefault="00A15990">
      <w:pPr>
        <w:rPr>
          <w:noProof/>
        </w:rPr>
      </w:pPr>
    </w:p>
    <w:sectPr w:rsidR="00A15990">
      <w:headerReference w:type="even" r:id="rId392"/>
      <w:headerReference w:type="default" r:id="rId393"/>
      <w:footerReference w:type="even" r:id="rId394"/>
      <w:footerReference w:type="default" r:id="rId395"/>
      <w:headerReference w:type="first" r:id="rId396"/>
      <w:footerReference w:type="first" r:id="rId39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6D76B" w14:textId="77777777" w:rsidR="000D1E8D" w:rsidRDefault="000D1E8D">
      <w:pPr>
        <w:spacing w:after="0" w:line="240" w:lineRule="auto"/>
      </w:pPr>
      <w:r>
        <w:separator/>
      </w:r>
    </w:p>
  </w:endnote>
  <w:endnote w:type="continuationSeparator" w:id="0">
    <w:p w14:paraId="50F82215" w14:textId="77777777" w:rsidR="000D1E8D" w:rsidRDefault="000D1E8D">
      <w:pPr>
        <w:spacing w:after="0" w:line="240" w:lineRule="auto"/>
      </w:pPr>
      <w:r>
        <w:continuationSeparator/>
      </w:r>
    </w:p>
  </w:endnote>
  <w:endnote w:type="continuationNotice" w:id="1">
    <w:p w14:paraId="752D5A4D" w14:textId="77777777" w:rsidR="000D1E8D" w:rsidRDefault="000D1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Yu Mincho Light">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félkövé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17682" w14:textId="77777777" w:rsidR="00D97C3E" w:rsidRPr="00D97C3E" w:rsidRDefault="00D97C3E" w:rsidP="00D97C3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9A8A" w14:textId="77777777" w:rsidR="005B3782" w:rsidRDefault="005B3782">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1D25" w14:textId="77777777" w:rsidR="00A15990" w:rsidRDefault="00A15990">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12415"/>
      <w:docPartObj>
        <w:docPartGallery w:val="Page Numbers (Bottom of Page)"/>
        <w:docPartUnique/>
      </w:docPartObj>
    </w:sdtPr>
    <w:sdtEndPr>
      <w:rPr>
        <w:noProof/>
      </w:rPr>
    </w:sdtEndPr>
    <w:sdtContent>
      <w:p w14:paraId="5C35590C" w14:textId="38FA2857"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3AB594E4" w14:textId="77777777" w:rsidR="00A15990" w:rsidRDefault="00A15990">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387E" w14:textId="77777777" w:rsidR="00A15990" w:rsidRDefault="00A15990">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3C40" w14:textId="77777777" w:rsidR="00A15990" w:rsidRDefault="00A15990">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05438"/>
      <w:docPartObj>
        <w:docPartGallery w:val="Page Numbers (Bottom of Page)"/>
        <w:docPartUnique/>
      </w:docPartObj>
    </w:sdtPr>
    <w:sdtEndPr>
      <w:rPr>
        <w:noProof/>
      </w:rPr>
    </w:sdtEndPr>
    <w:sdtContent>
      <w:p w14:paraId="6CE76736" w14:textId="62189A6B"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E47A84D" w14:textId="77777777" w:rsidR="00A15990" w:rsidRDefault="00A15990">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A711" w14:textId="77777777" w:rsidR="00A15990" w:rsidRDefault="00A15990">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7546" w14:textId="77777777" w:rsidR="00A15990" w:rsidRDefault="00A15990">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537083"/>
      <w:docPartObj>
        <w:docPartGallery w:val="Page Numbers (Bottom of Page)"/>
        <w:docPartUnique/>
      </w:docPartObj>
    </w:sdtPr>
    <w:sdtEndPr>
      <w:rPr>
        <w:noProof/>
      </w:rPr>
    </w:sdtEndPr>
    <w:sdtContent>
      <w:p w14:paraId="400B67AA" w14:textId="0E52DA81"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9B88E92" w14:textId="77777777" w:rsidR="00A15990" w:rsidRDefault="00A15990">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66A6" w14:textId="77777777" w:rsidR="00A15990" w:rsidRDefault="00A15990">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032C" w14:textId="77777777" w:rsidR="00A15990" w:rsidRDefault="00A159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308487"/>
      <w:docPartObj>
        <w:docPartGallery w:val="Page Numbers (Bottom of Page)"/>
        <w:docPartUnique/>
      </w:docPartObj>
    </w:sdtPr>
    <w:sdtEndPr>
      <w:rPr>
        <w:noProof/>
      </w:rPr>
    </w:sdtEndPr>
    <w:sdtContent>
      <w:p w14:paraId="125A2E86" w14:textId="323149A2" w:rsidR="005B3782" w:rsidRDefault="005B3782">
        <w:pPr>
          <w:pStyle w:val="Footer"/>
          <w:jc w:val="center"/>
        </w:pPr>
        <w:r>
          <w:fldChar w:fldCharType="begin"/>
        </w:r>
        <w:r>
          <w:instrText xml:space="preserve"> PAGE   \* MERGEFORMAT </w:instrText>
        </w:r>
        <w:r>
          <w:fldChar w:fldCharType="separate"/>
        </w:r>
        <w:r w:rsidR="00D97C3E">
          <w:rPr>
            <w:noProof/>
          </w:rPr>
          <w:t>8</w:t>
        </w:r>
        <w:r>
          <w:fldChar w:fldCharType="end"/>
        </w:r>
      </w:p>
    </w:sdtContent>
  </w:sdt>
  <w:p w14:paraId="28B776AB" w14:textId="77777777" w:rsidR="005B3782" w:rsidRDefault="005B3782">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41652"/>
      <w:docPartObj>
        <w:docPartGallery w:val="Page Numbers (Bottom of Page)"/>
        <w:docPartUnique/>
      </w:docPartObj>
    </w:sdtPr>
    <w:sdtEndPr>
      <w:rPr>
        <w:noProof/>
      </w:rPr>
    </w:sdtEndPr>
    <w:sdtContent>
      <w:p w14:paraId="64BE41A1" w14:textId="4418F725"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CCA67FB" w14:textId="77777777" w:rsidR="00A15990" w:rsidRDefault="00A15990">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F1F5" w14:textId="77777777" w:rsidR="00A15990" w:rsidRDefault="00A15990">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C986" w14:textId="77777777" w:rsidR="00A15990" w:rsidRDefault="00A15990">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802795"/>
      <w:docPartObj>
        <w:docPartGallery w:val="Page Numbers (Bottom of Page)"/>
        <w:docPartUnique/>
      </w:docPartObj>
    </w:sdtPr>
    <w:sdtEndPr>
      <w:rPr>
        <w:noProof/>
      </w:rPr>
    </w:sdtEndPr>
    <w:sdtContent>
      <w:p w14:paraId="3F6CD9B0" w14:textId="2B432A40"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685FDF4B" w14:textId="77777777" w:rsidR="00A15990" w:rsidRDefault="00A15990">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3878" w14:textId="77777777" w:rsidR="00A15990" w:rsidRDefault="00A15990">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DCE7" w14:textId="77777777" w:rsidR="00A15990" w:rsidRDefault="00A15990">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881091"/>
      <w:docPartObj>
        <w:docPartGallery w:val="Page Numbers (Bottom of Page)"/>
        <w:docPartUnique/>
      </w:docPartObj>
    </w:sdtPr>
    <w:sdtEndPr>
      <w:rPr>
        <w:noProof/>
      </w:rPr>
    </w:sdtEndPr>
    <w:sdtContent>
      <w:p w14:paraId="75178E5C" w14:textId="7FB31806"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8422C38" w14:textId="77777777" w:rsidR="00A15990" w:rsidRDefault="00A15990">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B6C7" w14:textId="77777777" w:rsidR="00A15990" w:rsidRDefault="00A15990">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ECB7" w14:textId="77777777" w:rsidR="00A15990" w:rsidRDefault="00A15990">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032258"/>
      <w:docPartObj>
        <w:docPartGallery w:val="Page Numbers (Bottom of Page)"/>
        <w:docPartUnique/>
      </w:docPartObj>
    </w:sdtPr>
    <w:sdtEndPr>
      <w:rPr>
        <w:noProof/>
      </w:rPr>
    </w:sdtEndPr>
    <w:sdtContent>
      <w:p w14:paraId="2727D672" w14:textId="46A37415"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1BA5E86" w14:textId="77777777" w:rsidR="00A15990" w:rsidRDefault="00A15990">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1C5A" w14:textId="77777777" w:rsidR="005B3782" w:rsidRDefault="005B3782">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5423" w14:textId="77777777" w:rsidR="00A15990" w:rsidRDefault="00A15990">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2A79" w14:textId="77777777" w:rsidR="00A15990" w:rsidRDefault="00A15990">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292644"/>
      <w:docPartObj>
        <w:docPartGallery w:val="Page Numbers (Bottom of Page)"/>
        <w:docPartUnique/>
      </w:docPartObj>
    </w:sdtPr>
    <w:sdtEndPr>
      <w:rPr>
        <w:noProof/>
      </w:rPr>
    </w:sdtEndPr>
    <w:sdtContent>
      <w:p w14:paraId="1A732953" w14:textId="0EAA12DF"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F3FCFDE" w14:textId="77777777" w:rsidR="00A15990" w:rsidRDefault="00A15990">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EE08" w14:textId="77777777" w:rsidR="00A15990" w:rsidRDefault="00A15990">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D009" w14:textId="77777777" w:rsidR="00A15990" w:rsidRDefault="00A15990">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412636"/>
      <w:docPartObj>
        <w:docPartGallery w:val="Page Numbers (Bottom of Page)"/>
        <w:docPartUnique/>
      </w:docPartObj>
    </w:sdtPr>
    <w:sdtEndPr>
      <w:rPr>
        <w:noProof/>
      </w:rPr>
    </w:sdtEndPr>
    <w:sdtContent>
      <w:p w14:paraId="5F31BC2C" w14:textId="25CE31BF"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98CD17C" w14:textId="77777777" w:rsidR="00A15990" w:rsidRDefault="00A15990">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D655" w14:textId="77777777" w:rsidR="00A15990" w:rsidRDefault="00A15990">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FCCA" w14:textId="77777777" w:rsidR="00A15990" w:rsidRDefault="00A15990">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565869"/>
      <w:docPartObj>
        <w:docPartGallery w:val="Page Numbers (Bottom of Page)"/>
        <w:docPartUnique/>
      </w:docPartObj>
    </w:sdtPr>
    <w:sdtEndPr>
      <w:rPr>
        <w:noProof/>
      </w:rPr>
    </w:sdtEndPr>
    <w:sdtContent>
      <w:p w14:paraId="2A025F3F" w14:textId="7ED8BDBE"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4331C35" w14:textId="77777777" w:rsidR="00A15990" w:rsidRDefault="00A15990">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8598" w14:textId="77777777" w:rsidR="00A15990" w:rsidRDefault="00A1599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57A0" w14:textId="77777777" w:rsidR="00A15990" w:rsidRDefault="00A15990">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4A3A" w14:textId="77777777" w:rsidR="00A15990" w:rsidRDefault="00A15990">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366933"/>
      <w:docPartObj>
        <w:docPartGallery w:val="Page Numbers (Bottom of Page)"/>
        <w:docPartUnique/>
      </w:docPartObj>
    </w:sdtPr>
    <w:sdtEndPr>
      <w:rPr>
        <w:noProof/>
      </w:rPr>
    </w:sdtEndPr>
    <w:sdtContent>
      <w:p w14:paraId="6946F91E" w14:textId="65DB2926"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3317CAD5" w14:textId="77777777" w:rsidR="00A15990" w:rsidRDefault="00A15990">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9999" w14:textId="77777777" w:rsidR="00A15990" w:rsidRDefault="00A15990">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FC7C" w14:textId="77777777" w:rsidR="00A15990" w:rsidRDefault="00A15990">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154876"/>
      <w:docPartObj>
        <w:docPartGallery w:val="Page Numbers (Bottom of Page)"/>
        <w:docPartUnique/>
      </w:docPartObj>
    </w:sdtPr>
    <w:sdtEndPr>
      <w:rPr>
        <w:noProof/>
      </w:rPr>
    </w:sdtEndPr>
    <w:sdtContent>
      <w:p w14:paraId="5182A1D9" w14:textId="3F40DCD6"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9915F40" w14:textId="77777777" w:rsidR="00A15990" w:rsidRDefault="00A15990">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047F" w14:textId="77777777" w:rsidR="00A15990" w:rsidRDefault="00A15990">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A06D" w14:textId="77777777" w:rsidR="00A15990" w:rsidRDefault="00A15990">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89003"/>
      <w:docPartObj>
        <w:docPartGallery w:val="Page Numbers (Bottom of Page)"/>
        <w:docPartUnique/>
      </w:docPartObj>
    </w:sdtPr>
    <w:sdtEndPr>
      <w:rPr>
        <w:noProof/>
      </w:rPr>
    </w:sdtEndPr>
    <w:sdtContent>
      <w:p w14:paraId="70C4F1F4" w14:textId="71FC3837"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5A4C2D26" w14:textId="77777777" w:rsidR="00A15990" w:rsidRDefault="00A15990">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1873" w14:textId="77777777" w:rsidR="00A15990" w:rsidRDefault="00A15990">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903F" w14:textId="77777777" w:rsidR="00A15990" w:rsidRDefault="00A1599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949075"/>
      <w:docPartObj>
        <w:docPartGallery w:val="Page Numbers (Bottom of Page)"/>
        <w:docPartUnique/>
      </w:docPartObj>
    </w:sdtPr>
    <w:sdtEndPr>
      <w:rPr>
        <w:noProof/>
      </w:rPr>
    </w:sdtEndPr>
    <w:sdtContent>
      <w:p w14:paraId="697ADC4C" w14:textId="6ABC6722" w:rsidR="00A15990" w:rsidRDefault="00686A62">
        <w:pPr>
          <w:pStyle w:val="Footer"/>
          <w:jc w:val="center"/>
        </w:pPr>
        <w:r>
          <w:fldChar w:fldCharType="begin"/>
        </w:r>
        <w:r>
          <w:instrText xml:space="preserve"> PAGE   \* MERGEFORMAT </w:instrText>
        </w:r>
        <w:r>
          <w:fldChar w:fldCharType="separate"/>
        </w:r>
        <w:r w:rsidR="00C71AC4">
          <w:rPr>
            <w:noProof/>
          </w:rPr>
          <w:t>20</w:t>
        </w:r>
        <w:r>
          <w:fldChar w:fldCharType="end"/>
        </w:r>
      </w:p>
    </w:sdtContent>
  </w:sdt>
  <w:p w14:paraId="2F25493B" w14:textId="77777777" w:rsidR="00A15990" w:rsidRDefault="00A15990">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059084"/>
      <w:docPartObj>
        <w:docPartGallery w:val="Page Numbers (Bottom of Page)"/>
        <w:docPartUnique/>
      </w:docPartObj>
    </w:sdtPr>
    <w:sdtEndPr>
      <w:rPr>
        <w:noProof/>
      </w:rPr>
    </w:sdtEndPr>
    <w:sdtContent>
      <w:p w14:paraId="09FF84C0" w14:textId="371DBF66"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689A89B" w14:textId="77777777" w:rsidR="00A15990" w:rsidRDefault="00A15990">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F905" w14:textId="77777777" w:rsidR="00A15990" w:rsidRDefault="00A15990">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66487" w14:textId="77777777" w:rsidR="00A15990" w:rsidRDefault="00A15990">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668119"/>
      <w:docPartObj>
        <w:docPartGallery w:val="Page Numbers (Bottom of Page)"/>
        <w:docPartUnique/>
      </w:docPartObj>
    </w:sdtPr>
    <w:sdtEndPr>
      <w:rPr>
        <w:noProof/>
      </w:rPr>
    </w:sdtEndPr>
    <w:sdtContent>
      <w:p w14:paraId="197EF205" w14:textId="4FAF66C8"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51BFF986" w14:textId="77777777" w:rsidR="00A15990" w:rsidRDefault="00A15990">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C769" w14:textId="77777777" w:rsidR="00A15990" w:rsidRDefault="00A15990">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304A" w14:textId="77777777" w:rsidR="00A15990" w:rsidRDefault="00A15990">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942259"/>
      <w:docPartObj>
        <w:docPartGallery w:val="Page Numbers (Bottom of Page)"/>
        <w:docPartUnique/>
      </w:docPartObj>
    </w:sdtPr>
    <w:sdtEndPr>
      <w:rPr>
        <w:noProof/>
      </w:rPr>
    </w:sdtEndPr>
    <w:sdtContent>
      <w:p w14:paraId="6B70ED90" w14:textId="4C8D18B1"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05AB191" w14:textId="77777777" w:rsidR="00A15990" w:rsidRDefault="00A15990">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9200" w14:textId="77777777" w:rsidR="00A15990" w:rsidRDefault="00A15990">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C958" w14:textId="77777777" w:rsidR="00A15990" w:rsidRDefault="00A15990">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377877"/>
      <w:docPartObj>
        <w:docPartGallery w:val="Page Numbers (Bottom of Page)"/>
        <w:docPartUnique/>
      </w:docPartObj>
    </w:sdtPr>
    <w:sdtEndPr>
      <w:rPr>
        <w:noProof/>
      </w:rPr>
    </w:sdtEndPr>
    <w:sdtContent>
      <w:p w14:paraId="3EFC1F34" w14:textId="60F5F0D7"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170B67A" w14:textId="77777777" w:rsidR="00A15990" w:rsidRDefault="00A15990">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B398" w14:textId="77777777" w:rsidR="00A15990" w:rsidRDefault="00A15990">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82C2" w14:textId="77777777" w:rsidR="00A15990" w:rsidRDefault="00A15990">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BE4B" w14:textId="77777777" w:rsidR="00A15990" w:rsidRDefault="00A15990">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968927"/>
      <w:docPartObj>
        <w:docPartGallery w:val="Page Numbers (Bottom of Page)"/>
        <w:docPartUnique/>
      </w:docPartObj>
    </w:sdtPr>
    <w:sdtEndPr>
      <w:rPr>
        <w:noProof/>
      </w:rPr>
    </w:sdtEndPr>
    <w:sdtContent>
      <w:p w14:paraId="1B2ED277" w14:textId="35738820"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6B25FDC" w14:textId="77777777" w:rsidR="00A15990" w:rsidRDefault="00A15990">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7671" w14:textId="77777777" w:rsidR="00A15990" w:rsidRDefault="00A15990">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973B" w14:textId="77777777" w:rsidR="00A15990" w:rsidRDefault="00A15990">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835111"/>
      <w:docPartObj>
        <w:docPartGallery w:val="Page Numbers (Bottom of Page)"/>
        <w:docPartUnique/>
      </w:docPartObj>
    </w:sdtPr>
    <w:sdtEndPr>
      <w:rPr>
        <w:noProof/>
      </w:rPr>
    </w:sdtEndPr>
    <w:sdtContent>
      <w:p w14:paraId="4CF811EF" w14:textId="78EE14FB"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21E2B198" w14:textId="77777777" w:rsidR="00A15990" w:rsidRDefault="00A15990">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7961" w14:textId="77777777" w:rsidR="00A15990" w:rsidRDefault="00A15990">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7371" w14:textId="77777777" w:rsidR="00A15990" w:rsidRDefault="00A15990">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91529"/>
      <w:docPartObj>
        <w:docPartGallery w:val="Page Numbers (Bottom of Page)"/>
        <w:docPartUnique/>
      </w:docPartObj>
    </w:sdtPr>
    <w:sdtEndPr>
      <w:rPr>
        <w:noProof/>
      </w:rPr>
    </w:sdtEndPr>
    <w:sdtContent>
      <w:p w14:paraId="126DF290" w14:textId="395CA58A"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2D623DEB" w14:textId="77777777" w:rsidR="00A15990" w:rsidRDefault="00A15990">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51D7" w14:textId="77777777" w:rsidR="00A15990" w:rsidRDefault="00A1599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0C83" w14:textId="77777777" w:rsidR="00A15990" w:rsidRDefault="00A15990">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9E64" w14:textId="77777777" w:rsidR="00A15990" w:rsidRDefault="00A15990">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50509"/>
      <w:docPartObj>
        <w:docPartGallery w:val="Page Numbers (Bottom of Page)"/>
        <w:docPartUnique/>
      </w:docPartObj>
    </w:sdtPr>
    <w:sdtEndPr>
      <w:rPr>
        <w:noProof/>
      </w:rPr>
    </w:sdtEndPr>
    <w:sdtContent>
      <w:p w14:paraId="398E9E99" w14:textId="20945DC3"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1EBDB67F" w14:textId="77777777" w:rsidR="00A15990" w:rsidRDefault="00A15990">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2AB5" w14:textId="77777777" w:rsidR="00A15990" w:rsidRDefault="00A15990">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9CDF8" w14:textId="77777777" w:rsidR="00A15990" w:rsidRDefault="00A15990">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71365"/>
      <w:docPartObj>
        <w:docPartGallery w:val="Page Numbers (Bottom of Page)"/>
        <w:docPartUnique/>
      </w:docPartObj>
    </w:sdtPr>
    <w:sdtEndPr>
      <w:rPr>
        <w:noProof/>
      </w:rPr>
    </w:sdtEndPr>
    <w:sdtContent>
      <w:p w14:paraId="62055C4B" w14:textId="19453D9B"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3DFBE96B" w14:textId="77777777" w:rsidR="00A15990" w:rsidRDefault="00A15990">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A32A" w14:textId="77777777" w:rsidR="00A15990" w:rsidRDefault="00A15990">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7CC1" w14:textId="77777777" w:rsidR="00A15990" w:rsidRDefault="00A15990">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6313"/>
      <w:docPartObj>
        <w:docPartGallery w:val="Page Numbers (Bottom of Page)"/>
        <w:docPartUnique/>
      </w:docPartObj>
    </w:sdtPr>
    <w:sdtEndPr>
      <w:rPr>
        <w:noProof/>
      </w:rPr>
    </w:sdtEndPr>
    <w:sdtContent>
      <w:p w14:paraId="4B6FA002" w14:textId="6A34B5C3"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6B1E739A" w14:textId="77777777" w:rsidR="00A15990" w:rsidRDefault="00A15990">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DC62" w14:textId="77777777" w:rsidR="00A15990" w:rsidRDefault="00A15990">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71EE" w14:textId="77777777" w:rsidR="00A15990" w:rsidRDefault="00A1599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44112"/>
      <w:docPartObj>
        <w:docPartGallery w:val="Page Numbers (Bottom of Page)"/>
        <w:docPartUnique/>
      </w:docPartObj>
    </w:sdtPr>
    <w:sdtEndPr>
      <w:rPr>
        <w:noProof/>
      </w:rPr>
    </w:sdtEndPr>
    <w:sdtContent>
      <w:p w14:paraId="12CB0D27" w14:textId="267F9262" w:rsidR="00A15990" w:rsidRDefault="00686A62">
        <w:pPr>
          <w:pStyle w:val="Footer"/>
          <w:jc w:val="center"/>
        </w:pPr>
        <w:r>
          <w:fldChar w:fldCharType="begin"/>
        </w:r>
        <w:r>
          <w:instrText xml:space="preserve"> PAGE   \* MERGEFORMAT </w:instrText>
        </w:r>
        <w:r>
          <w:fldChar w:fldCharType="separate"/>
        </w:r>
        <w:r w:rsidR="00874482">
          <w:rPr>
            <w:noProof/>
          </w:rPr>
          <w:t>23</w:t>
        </w:r>
        <w:r>
          <w:fldChar w:fldCharType="end"/>
        </w:r>
      </w:p>
    </w:sdtContent>
  </w:sdt>
  <w:p w14:paraId="0B5F64D9" w14:textId="77777777" w:rsidR="00A15990" w:rsidRDefault="00A15990">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06568"/>
      <w:docPartObj>
        <w:docPartGallery w:val="Page Numbers (Bottom of Page)"/>
        <w:docPartUnique/>
      </w:docPartObj>
    </w:sdtPr>
    <w:sdtEndPr>
      <w:rPr>
        <w:noProof/>
      </w:rPr>
    </w:sdtEndPr>
    <w:sdtContent>
      <w:p w14:paraId="28D3693D" w14:textId="75FD25FC"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12266354" w14:textId="77777777" w:rsidR="00A15990" w:rsidRDefault="00A15990">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6BB2" w14:textId="77777777" w:rsidR="00A15990" w:rsidRDefault="00A15990">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FECF" w14:textId="77777777" w:rsidR="00A15990" w:rsidRDefault="00A15990">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02"/>
      <w:docPartObj>
        <w:docPartGallery w:val="Page Numbers (Bottom of Page)"/>
        <w:docPartUnique/>
      </w:docPartObj>
    </w:sdtPr>
    <w:sdtEndPr>
      <w:rPr>
        <w:noProof/>
      </w:rPr>
    </w:sdtEndPr>
    <w:sdtContent>
      <w:p w14:paraId="53C379DD" w14:textId="6EC11630"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35C4841" w14:textId="77777777" w:rsidR="00A15990" w:rsidRDefault="00A15990">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1D8EB" w14:textId="77777777" w:rsidR="00A15990" w:rsidRDefault="00A15990">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0043" w14:textId="77777777" w:rsidR="00A15990" w:rsidRDefault="00A15990">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754586"/>
      <w:docPartObj>
        <w:docPartGallery w:val="Page Numbers (Bottom of Page)"/>
        <w:docPartUnique/>
      </w:docPartObj>
    </w:sdtPr>
    <w:sdtEndPr>
      <w:rPr>
        <w:noProof/>
      </w:rPr>
    </w:sdtEndPr>
    <w:sdtContent>
      <w:p w14:paraId="7AEAA58B" w14:textId="18D29009"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4B82BCE" w14:textId="77777777" w:rsidR="00A15990" w:rsidRDefault="00A15990">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499E" w14:textId="77777777" w:rsidR="00A15990" w:rsidRDefault="00A15990">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D40B" w14:textId="77777777" w:rsidR="00A15990" w:rsidRDefault="00A15990">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24723"/>
      <w:docPartObj>
        <w:docPartGallery w:val="Page Numbers (Bottom of Page)"/>
        <w:docPartUnique/>
      </w:docPartObj>
    </w:sdtPr>
    <w:sdtEndPr>
      <w:rPr>
        <w:noProof/>
      </w:rPr>
    </w:sdtEndPr>
    <w:sdtContent>
      <w:p w14:paraId="01B45A81" w14:textId="7B94C4ED"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6DD189E6" w14:textId="77777777" w:rsidR="00A15990" w:rsidRDefault="00A15990">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6430" w14:textId="77777777" w:rsidR="00A15990" w:rsidRDefault="00A15990">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73D8" w14:textId="77777777" w:rsidR="00A15990" w:rsidRDefault="00A15990">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68AC" w14:textId="77777777" w:rsidR="00A15990" w:rsidRDefault="00A15990">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08648"/>
      <w:docPartObj>
        <w:docPartGallery w:val="Page Numbers (Bottom of Page)"/>
        <w:docPartUnique/>
      </w:docPartObj>
    </w:sdtPr>
    <w:sdtEndPr>
      <w:rPr>
        <w:noProof/>
      </w:rPr>
    </w:sdtEndPr>
    <w:sdtContent>
      <w:p w14:paraId="13ED70D2" w14:textId="57D86C32"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32C7D1A9" w14:textId="77777777" w:rsidR="00A15990" w:rsidRDefault="00A15990">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3600" w14:textId="77777777" w:rsidR="00A15990" w:rsidRDefault="00A15990">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8FED2" w14:textId="77777777" w:rsidR="00A15990" w:rsidRDefault="00A15990">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87532"/>
      <w:docPartObj>
        <w:docPartGallery w:val="Page Numbers (Bottom of Page)"/>
        <w:docPartUnique/>
      </w:docPartObj>
    </w:sdtPr>
    <w:sdtEndPr>
      <w:rPr>
        <w:noProof/>
      </w:rPr>
    </w:sdtEndPr>
    <w:sdtContent>
      <w:p w14:paraId="53677020" w14:textId="1DCBDA7B"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A3B62C6" w14:textId="77777777" w:rsidR="00A15990" w:rsidRDefault="00A15990">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8487" w14:textId="77777777" w:rsidR="00A15990" w:rsidRDefault="00A15990">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AF4" w14:textId="77777777" w:rsidR="00A15990" w:rsidRDefault="00A15990">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5917"/>
      <w:docPartObj>
        <w:docPartGallery w:val="Page Numbers (Bottom of Page)"/>
        <w:docPartUnique/>
      </w:docPartObj>
    </w:sdtPr>
    <w:sdtEndPr>
      <w:rPr>
        <w:noProof/>
      </w:rPr>
    </w:sdtEndPr>
    <w:sdtContent>
      <w:p w14:paraId="508043F1" w14:textId="6ABC6F45"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2BD69011" w14:textId="77777777" w:rsidR="00A15990" w:rsidRDefault="00A15990">
    <w:pPr>
      <w:pStyle w:val="FooterCouncil"/>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8B47" w14:textId="77777777" w:rsidR="00A15990" w:rsidRDefault="00A1599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C72B" w14:textId="77777777" w:rsidR="005B3782" w:rsidRDefault="005B3782">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BBC0" w14:textId="77777777" w:rsidR="00A15990" w:rsidRDefault="00A15990">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4516"/>
      <w:docPartObj>
        <w:docPartGallery w:val="Page Numbers (Bottom of Page)"/>
        <w:docPartUnique/>
      </w:docPartObj>
    </w:sdtPr>
    <w:sdtEndPr>
      <w:rPr>
        <w:noProof/>
      </w:rPr>
    </w:sdtEndPr>
    <w:sdtContent>
      <w:p w14:paraId="4A7028B2" w14:textId="2C22FBB5"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33B5F61B" w14:textId="77777777" w:rsidR="00A15990" w:rsidRDefault="00A15990">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DA6B" w14:textId="77777777" w:rsidR="00A15990" w:rsidRDefault="00A15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B708" w14:textId="47FF3A46" w:rsidR="00B45574" w:rsidRPr="00D97C3E" w:rsidRDefault="00D97C3E" w:rsidP="00D97C3E">
    <w:pPr>
      <w:pStyle w:val="FooterCoverPage"/>
      <w:rPr>
        <w:rFonts w:ascii="Arial" w:hAnsi="Arial" w:cs="Arial"/>
        <w:b/>
        <w:sz w:val="48"/>
      </w:rPr>
    </w:pPr>
    <w:r w:rsidRPr="00D97C3E">
      <w:rPr>
        <w:rFonts w:ascii="Arial" w:hAnsi="Arial" w:cs="Arial"/>
        <w:b/>
        <w:sz w:val="48"/>
      </w:rPr>
      <w:t>RO</w:t>
    </w:r>
    <w:r w:rsidRPr="00D97C3E">
      <w:rPr>
        <w:rFonts w:ascii="Arial" w:hAnsi="Arial" w:cs="Arial"/>
        <w:b/>
        <w:sz w:val="48"/>
      </w:rPr>
      <w:tab/>
    </w:r>
    <w:r w:rsidRPr="00D97C3E">
      <w:rPr>
        <w:rFonts w:ascii="Arial" w:hAnsi="Arial" w:cs="Arial"/>
        <w:b/>
        <w:sz w:val="48"/>
      </w:rPr>
      <w:tab/>
    </w:r>
    <w:r w:rsidRPr="00D97C3E">
      <w:tab/>
    </w:r>
    <w:r w:rsidRPr="00D97C3E">
      <w:rPr>
        <w:rFonts w:ascii="Arial" w:hAnsi="Arial" w:cs="Arial"/>
        <w:b/>
        <w:sz w:val="48"/>
      </w:rPr>
      <w:t>RO</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824086"/>
      <w:docPartObj>
        <w:docPartGallery w:val="Page Numbers (Bottom of Page)"/>
        <w:docPartUnique/>
      </w:docPartObj>
    </w:sdtPr>
    <w:sdtEndPr>
      <w:rPr>
        <w:noProof/>
      </w:rPr>
    </w:sdtEndPr>
    <w:sdtContent>
      <w:p w14:paraId="63915B0E" w14:textId="77777777" w:rsidR="005B3782" w:rsidRDefault="005B3782">
        <w:pPr>
          <w:pStyle w:val="Footer"/>
          <w:jc w:val="center"/>
        </w:pPr>
        <w:r>
          <w:fldChar w:fldCharType="begin"/>
        </w:r>
        <w:r>
          <w:instrText xml:space="preserve"> PAGE   \* MERGEFORMAT </w:instrText>
        </w:r>
        <w:r>
          <w:fldChar w:fldCharType="separate"/>
        </w:r>
        <w:r>
          <w:t>2</w:t>
        </w:r>
        <w:r>
          <w:fldChar w:fldCharType="end"/>
        </w:r>
      </w:p>
    </w:sdtContent>
  </w:sdt>
  <w:p w14:paraId="5A5F0598" w14:textId="77777777" w:rsidR="005B3782" w:rsidRDefault="005B3782">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09A8" w14:textId="77777777" w:rsidR="005B3782" w:rsidRDefault="005B37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01BA" w14:textId="77777777" w:rsidR="00A15990" w:rsidRDefault="00A1599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30203"/>
      <w:docPartObj>
        <w:docPartGallery w:val="Page Numbers (Bottom of Page)"/>
        <w:docPartUnique/>
      </w:docPartObj>
    </w:sdtPr>
    <w:sdtEndPr>
      <w:rPr>
        <w:noProof/>
      </w:rPr>
    </w:sdtEndPr>
    <w:sdtContent>
      <w:p w14:paraId="2CED8AC6" w14:textId="20A90797"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5C9F863" w14:textId="77777777" w:rsidR="00A15990" w:rsidRDefault="00A15990">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2863" w14:textId="77777777" w:rsidR="00A15990" w:rsidRDefault="00A1599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0E3D" w14:textId="77777777" w:rsidR="00A15990" w:rsidRDefault="00A1599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98613"/>
      <w:docPartObj>
        <w:docPartGallery w:val="Page Numbers (Bottom of Page)"/>
        <w:docPartUnique/>
      </w:docPartObj>
    </w:sdtPr>
    <w:sdtEndPr>
      <w:rPr>
        <w:noProof/>
      </w:rPr>
    </w:sdtEndPr>
    <w:sdtContent>
      <w:p w14:paraId="05F0F492" w14:textId="1FFE498F"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741FD69" w14:textId="77777777" w:rsidR="00A15990" w:rsidRDefault="00A15990">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0E57" w14:textId="77777777" w:rsidR="00A15990" w:rsidRDefault="00A1599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600E" w14:textId="77777777" w:rsidR="00A15990" w:rsidRDefault="00A1599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87096"/>
      <w:docPartObj>
        <w:docPartGallery w:val="Page Numbers (Bottom of Page)"/>
        <w:docPartUnique/>
      </w:docPartObj>
    </w:sdtPr>
    <w:sdtEndPr>
      <w:rPr>
        <w:noProof/>
      </w:rPr>
    </w:sdtEndPr>
    <w:sdtContent>
      <w:p w14:paraId="2DEBA96A" w14:textId="4C15FA84"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EB36D5D" w14:textId="77777777" w:rsidR="00A15990" w:rsidRDefault="00A15990">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ED67" w14:textId="77777777" w:rsidR="00D97C3E" w:rsidRPr="00D97C3E" w:rsidRDefault="00D97C3E" w:rsidP="00D97C3E">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295D" w14:textId="77777777" w:rsidR="00A15990" w:rsidRDefault="00A1599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C1FE" w14:textId="77777777" w:rsidR="00A15990" w:rsidRDefault="00A1599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698929"/>
      <w:docPartObj>
        <w:docPartGallery w:val="Page Numbers (Bottom of Page)"/>
        <w:docPartUnique/>
      </w:docPartObj>
    </w:sdtPr>
    <w:sdtEndPr>
      <w:rPr>
        <w:noProof/>
      </w:rPr>
    </w:sdtEndPr>
    <w:sdtContent>
      <w:p w14:paraId="714D1441" w14:textId="7E54DB4C"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19E7858" w14:textId="77777777" w:rsidR="00A15990" w:rsidRDefault="00A15990">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A4F3" w14:textId="77777777" w:rsidR="00A15990" w:rsidRDefault="00A1599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9EF6" w14:textId="77777777" w:rsidR="00A15990" w:rsidRDefault="00A1599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99938"/>
      <w:docPartObj>
        <w:docPartGallery w:val="Page Numbers (Bottom of Page)"/>
        <w:docPartUnique/>
      </w:docPartObj>
    </w:sdtPr>
    <w:sdtEndPr>
      <w:rPr>
        <w:noProof/>
      </w:rPr>
    </w:sdtEndPr>
    <w:sdtContent>
      <w:p w14:paraId="345873AE" w14:textId="1218090F"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2986C6F5" w14:textId="77777777" w:rsidR="00A15990" w:rsidRDefault="00A15990">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3DE8" w14:textId="77777777" w:rsidR="00A15990" w:rsidRDefault="00A1599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039" w14:textId="77777777" w:rsidR="00A15990" w:rsidRDefault="00A1599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77009"/>
      <w:docPartObj>
        <w:docPartGallery w:val="Page Numbers (Bottom of Page)"/>
        <w:docPartUnique/>
      </w:docPartObj>
    </w:sdtPr>
    <w:sdtEndPr>
      <w:rPr>
        <w:noProof/>
      </w:rPr>
    </w:sdtEndPr>
    <w:sdtContent>
      <w:p w14:paraId="65098364" w14:textId="728670F7"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643FB93" w14:textId="77777777" w:rsidR="00A15990" w:rsidRDefault="00A15990">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F6AF8" w14:textId="77777777" w:rsidR="00A15990" w:rsidRDefault="00A15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0DE0" w14:textId="77777777" w:rsidR="00A15990" w:rsidRDefault="00A1599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2116" w14:textId="77777777" w:rsidR="00A15990" w:rsidRDefault="00A1599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741893"/>
      <w:docPartObj>
        <w:docPartGallery w:val="Page Numbers (Bottom of Page)"/>
        <w:docPartUnique/>
      </w:docPartObj>
    </w:sdtPr>
    <w:sdtEndPr>
      <w:rPr>
        <w:noProof/>
      </w:rPr>
    </w:sdtEndPr>
    <w:sdtContent>
      <w:p w14:paraId="00966A19" w14:textId="69B60B7F"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3F45C853" w14:textId="77777777" w:rsidR="00A15990" w:rsidRDefault="00A15990">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0EAA" w14:textId="77777777" w:rsidR="00A15990" w:rsidRDefault="00A1599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00FE" w14:textId="77777777" w:rsidR="00A15990" w:rsidRDefault="00A1599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36114"/>
      <w:docPartObj>
        <w:docPartGallery w:val="Page Numbers (Bottom of Page)"/>
        <w:docPartUnique/>
      </w:docPartObj>
    </w:sdtPr>
    <w:sdtEndPr>
      <w:rPr>
        <w:noProof/>
      </w:rPr>
    </w:sdtEndPr>
    <w:sdtContent>
      <w:p w14:paraId="25167880" w14:textId="0D504E9E"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B6037DF" w14:textId="77777777" w:rsidR="00A15990" w:rsidRDefault="00A15990">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1D7A" w14:textId="77777777" w:rsidR="00A15990" w:rsidRDefault="00A1599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43A7" w14:textId="77777777" w:rsidR="00A15990" w:rsidRDefault="00A1599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07974"/>
      <w:docPartObj>
        <w:docPartGallery w:val="Page Numbers (Bottom of Page)"/>
        <w:docPartUnique/>
      </w:docPartObj>
    </w:sdtPr>
    <w:sdtEndPr>
      <w:rPr>
        <w:noProof/>
      </w:rPr>
    </w:sdtEndPr>
    <w:sdtContent>
      <w:p w14:paraId="1811EA1C" w14:textId="44C20AC1"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1988643" w14:textId="77777777" w:rsidR="00A15990" w:rsidRDefault="00A15990">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4B48" w14:textId="77777777" w:rsidR="00A15990" w:rsidRDefault="00A1599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73585" w14:textId="77777777" w:rsidR="00A15990" w:rsidRDefault="00A159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346073"/>
      <w:docPartObj>
        <w:docPartGallery w:val="Page Numbers (Bottom of Page)"/>
        <w:docPartUnique/>
      </w:docPartObj>
    </w:sdtPr>
    <w:sdtEndPr>
      <w:rPr>
        <w:noProof/>
      </w:rPr>
    </w:sdtEndPr>
    <w:sdtContent>
      <w:p w14:paraId="2AA68066" w14:textId="74EB7387" w:rsidR="00A15990" w:rsidRDefault="00686A62">
        <w:pPr>
          <w:pStyle w:val="Footer"/>
          <w:jc w:val="center"/>
        </w:pPr>
        <w:r>
          <w:fldChar w:fldCharType="begin"/>
        </w:r>
        <w:r>
          <w:instrText xml:space="preserve"> PAGE   \* MERGEFORMAT </w:instrText>
        </w:r>
        <w:r>
          <w:fldChar w:fldCharType="separate"/>
        </w:r>
        <w:r w:rsidR="00D97C3E">
          <w:rPr>
            <w:noProof/>
          </w:rPr>
          <w:t>1</w:t>
        </w:r>
        <w:r>
          <w:fldChar w:fldCharType="end"/>
        </w:r>
      </w:p>
    </w:sdtContent>
  </w:sdt>
  <w:p w14:paraId="0DEA6884" w14:textId="77777777" w:rsidR="00A15990" w:rsidRDefault="00A1599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01915"/>
      <w:docPartObj>
        <w:docPartGallery w:val="Page Numbers (Bottom of Page)"/>
        <w:docPartUnique/>
      </w:docPartObj>
    </w:sdtPr>
    <w:sdtEndPr>
      <w:rPr>
        <w:noProof/>
      </w:rPr>
    </w:sdtEndPr>
    <w:sdtContent>
      <w:p w14:paraId="7D3A79CE" w14:textId="724C2B6F"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68DB9891" w14:textId="77777777" w:rsidR="00A15990" w:rsidRDefault="00A15990">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6A8D" w14:textId="77777777" w:rsidR="00A15990" w:rsidRDefault="00A1599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2201" w14:textId="77777777" w:rsidR="00A15990" w:rsidRDefault="00A1599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415558"/>
      <w:docPartObj>
        <w:docPartGallery w:val="Page Numbers (Bottom of Page)"/>
        <w:docPartUnique/>
      </w:docPartObj>
    </w:sdtPr>
    <w:sdtEndPr>
      <w:rPr>
        <w:noProof/>
      </w:rPr>
    </w:sdtEndPr>
    <w:sdtContent>
      <w:p w14:paraId="3C55196F" w14:textId="3F12762B"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08F913B" w14:textId="77777777" w:rsidR="00A15990" w:rsidRDefault="00A15990">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2109" w14:textId="77777777" w:rsidR="00A15990" w:rsidRDefault="00A1599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1565" w14:textId="77777777" w:rsidR="00A15990" w:rsidRDefault="00A1599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578241"/>
      <w:docPartObj>
        <w:docPartGallery w:val="Page Numbers (Bottom of Page)"/>
        <w:docPartUnique/>
      </w:docPartObj>
    </w:sdtPr>
    <w:sdtEndPr>
      <w:rPr>
        <w:noProof/>
      </w:rPr>
    </w:sdtEndPr>
    <w:sdtContent>
      <w:p w14:paraId="491E5022" w14:textId="0DA370AA"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11540942" w14:textId="77777777" w:rsidR="00A15990" w:rsidRDefault="00A15990">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2774" w14:textId="77777777" w:rsidR="00A15990" w:rsidRDefault="00A1599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3ED" w14:textId="77777777" w:rsidR="00A15990" w:rsidRDefault="00A1599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12463"/>
      <w:docPartObj>
        <w:docPartGallery w:val="Page Numbers (Bottom of Page)"/>
        <w:docPartUnique/>
      </w:docPartObj>
    </w:sdtPr>
    <w:sdtEndPr>
      <w:rPr>
        <w:noProof/>
      </w:rPr>
    </w:sdtEndPr>
    <w:sdtContent>
      <w:p w14:paraId="553A0A03" w14:textId="771841E8"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23CC830" w14:textId="77777777" w:rsidR="00A15990" w:rsidRDefault="00A15990">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863A" w14:textId="77777777" w:rsidR="00A15990" w:rsidRDefault="00A1599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3F60" w14:textId="77777777" w:rsidR="00A15990" w:rsidRDefault="00A1599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2836" w14:textId="77777777" w:rsidR="00A15990" w:rsidRDefault="00A1599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33270"/>
      <w:docPartObj>
        <w:docPartGallery w:val="Page Numbers (Bottom of Page)"/>
        <w:docPartUnique/>
      </w:docPartObj>
    </w:sdtPr>
    <w:sdtEndPr>
      <w:rPr>
        <w:noProof/>
      </w:rPr>
    </w:sdtEndPr>
    <w:sdtContent>
      <w:p w14:paraId="0F5CF51F" w14:textId="58203338"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135D1FF" w14:textId="77777777" w:rsidR="00A15990" w:rsidRDefault="00A15990">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5A9E" w14:textId="77777777" w:rsidR="00A15990" w:rsidRDefault="00A1599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CD2B" w14:textId="77777777" w:rsidR="00A15990" w:rsidRDefault="00A1599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83907"/>
      <w:docPartObj>
        <w:docPartGallery w:val="Page Numbers (Bottom of Page)"/>
        <w:docPartUnique/>
      </w:docPartObj>
    </w:sdtPr>
    <w:sdtEndPr>
      <w:rPr>
        <w:noProof/>
      </w:rPr>
    </w:sdtEndPr>
    <w:sdtContent>
      <w:p w14:paraId="1E7DE44E" w14:textId="71994768"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368A7015" w14:textId="77777777" w:rsidR="00A15990" w:rsidRDefault="00A15990">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2D1F" w14:textId="77777777" w:rsidR="00A15990" w:rsidRDefault="00A1599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DB6A" w14:textId="77777777" w:rsidR="00A15990" w:rsidRDefault="00A15990">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4488"/>
      <w:docPartObj>
        <w:docPartGallery w:val="Page Numbers (Bottom of Page)"/>
        <w:docPartUnique/>
      </w:docPartObj>
    </w:sdtPr>
    <w:sdtEndPr>
      <w:rPr>
        <w:noProof/>
      </w:rPr>
    </w:sdtEndPr>
    <w:sdtContent>
      <w:p w14:paraId="26B90A8C" w14:textId="16A8AB06"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22113364" w14:textId="77777777" w:rsidR="00A15990" w:rsidRDefault="00A15990">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D2FD" w14:textId="77777777" w:rsidR="00A15990" w:rsidRDefault="00A159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296D" w14:textId="77777777" w:rsidR="005B3782" w:rsidRDefault="005B378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96EC" w14:textId="77777777" w:rsidR="00A15990" w:rsidRDefault="00A15990">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375543"/>
      <w:docPartObj>
        <w:docPartGallery w:val="Page Numbers (Bottom of Page)"/>
        <w:docPartUnique/>
      </w:docPartObj>
    </w:sdtPr>
    <w:sdtEndPr>
      <w:rPr>
        <w:noProof/>
      </w:rPr>
    </w:sdtEndPr>
    <w:sdtContent>
      <w:p w14:paraId="20D54BE6" w14:textId="27EB8F5F"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20347BDD" w14:textId="77777777" w:rsidR="00A15990" w:rsidRDefault="00A15990">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22CD" w14:textId="77777777" w:rsidR="00A15990" w:rsidRDefault="00A1599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697E" w14:textId="77777777" w:rsidR="00A15990" w:rsidRDefault="00A15990">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92075"/>
      <w:docPartObj>
        <w:docPartGallery w:val="Page Numbers (Bottom of Page)"/>
        <w:docPartUnique/>
      </w:docPartObj>
    </w:sdtPr>
    <w:sdtEndPr>
      <w:rPr>
        <w:noProof/>
      </w:rPr>
    </w:sdtEndPr>
    <w:sdtContent>
      <w:p w14:paraId="27D12E9D" w14:textId="1F2E7166"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6CA32D1F" w14:textId="77777777" w:rsidR="00A15990" w:rsidRDefault="00A15990">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6821" w14:textId="77777777" w:rsidR="00A15990" w:rsidRDefault="00A15990">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7E8F" w14:textId="77777777" w:rsidR="00A15990" w:rsidRDefault="00A15990">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046173"/>
      <w:docPartObj>
        <w:docPartGallery w:val="Page Numbers (Bottom of Page)"/>
        <w:docPartUnique/>
      </w:docPartObj>
    </w:sdtPr>
    <w:sdtEndPr>
      <w:rPr>
        <w:noProof/>
      </w:rPr>
    </w:sdtEndPr>
    <w:sdtContent>
      <w:p w14:paraId="7812839D" w14:textId="7C40077D"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00134FDC" w14:textId="77777777" w:rsidR="00A15990" w:rsidRDefault="00A15990">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D1FF" w14:textId="77777777" w:rsidR="00A15990" w:rsidRDefault="00A15990">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67FC" w14:textId="77777777" w:rsidR="00A15990" w:rsidRDefault="00A159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822889"/>
      <w:docPartObj>
        <w:docPartGallery w:val="Page Numbers (Bottom of Page)"/>
        <w:docPartUnique/>
      </w:docPartObj>
    </w:sdtPr>
    <w:sdtEndPr>
      <w:rPr>
        <w:noProof/>
      </w:rPr>
    </w:sdtEndPr>
    <w:sdtContent>
      <w:p w14:paraId="39AE1A89" w14:textId="4353181C" w:rsidR="005B3782" w:rsidRDefault="005B3782">
        <w:pPr>
          <w:pStyle w:val="Footer"/>
          <w:jc w:val="center"/>
        </w:pPr>
        <w:r>
          <w:fldChar w:fldCharType="begin"/>
        </w:r>
        <w:r>
          <w:instrText xml:space="preserve"> PAGE   \* MERGEFORMAT </w:instrText>
        </w:r>
        <w:r>
          <w:fldChar w:fldCharType="separate"/>
        </w:r>
        <w:r w:rsidR="00D97C3E">
          <w:rPr>
            <w:noProof/>
          </w:rPr>
          <w:t>7</w:t>
        </w:r>
        <w:r>
          <w:fldChar w:fldCharType="end"/>
        </w:r>
      </w:p>
    </w:sdtContent>
  </w:sdt>
  <w:p w14:paraId="673CDDDF" w14:textId="77777777" w:rsidR="005B3782" w:rsidRDefault="005B3782">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50081"/>
      <w:docPartObj>
        <w:docPartGallery w:val="Page Numbers (Bottom of Page)"/>
        <w:docPartUnique/>
      </w:docPartObj>
    </w:sdtPr>
    <w:sdtEndPr>
      <w:rPr>
        <w:noProof/>
      </w:rPr>
    </w:sdtEndPr>
    <w:sdtContent>
      <w:p w14:paraId="171ABC93" w14:textId="08F260A5"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75AA0CD7" w14:textId="77777777" w:rsidR="00A15990" w:rsidRDefault="00A15990">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2D4F" w14:textId="77777777" w:rsidR="00A15990" w:rsidRDefault="00A15990">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F74F" w14:textId="77777777" w:rsidR="00A15990" w:rsidRDefault="00A15990">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917768"/>
      <w:docPartObj>
        <w:docPartGallery w:val="Page Numbers (Bottom of Page)"/>
        <w:docPartUnique/>
      </w:docPartObj>
    </w:sdtPr>
    <w:sdtEndPr>
      <w:rPr>
        <w:noProof/>
      </w:rPr>
    </w:sdtEndPr>
    <w:sdtContent>
      <w:p w14:paraId="5DEDEBC3" w14:textId="2065B74D"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657ED285" w14:textId="77777777" w:rsidR="00A15990" w:rsidRDefault="00A15990">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A91C" w14:textId="77777777" w:rsidR="00A15990" w:rsidRDefault="00A15990">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FFA4" w14:textId="77777777" w:rsidR="00A15990" w:rsidRDefault="00A15990">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580077"/>
      <w:docPartObj>
        <w:docPartGallery w:val="Page Numbers (Bottom of Page)"/>
        <w:docPartUnique/>
      </w:docPartObj>
    </w:sdtPr>
    <w:sdtEndPr>
      <w:rPr>
        <w:noProof/>
      </w:rPr>
    </w:sdtEndPr>
    <w:sdtContent>
      <w:p w14:paraId="38B617B1" w14:textId="29E47AAE"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40204AFC" w14:textId="77777777" w:rsidR="00A15990" w:rsidRDefault="00A15990">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680E" w14:textId="77777777" w:rsidR="00A15990" w:rsidRDefault="00A15990">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ED65" w14:textId="77777777" w:rsidR="00A15990" w:rsidRDefault="00A15990">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825800"/>
      <w:docPartObj>
        <w:docPartGallery w:val="Page Numbers (Bottom of Page)"/>
        <w:docPartUnique/>
      </w:docPartObj>
    </w:sdtPr>
    <w:sdtEndPr>
      <w:rPr>
        <w:noProof/>
      </w:rPr>
    </w:sdtEndPr>
    <w:sdtContent>
      <w:p w14:paraId="16F8FF98" w14:textId="3E257F15" w:rsidR="00A15990" w:rsidRDefault="00686A62">
        <w:pPr>
          <w:pStyle w:val="Footer"/>
          <w:jc w:val="center"/>
        </w:pPr>
        <w:r>
          <w:fldChar w:fldCharType="begin"/>
        </w:r>
        <w:r>
          <w:instrText xml:space="preserve"> PAGE   \* MERGEFORMAT </w:instrText>
        </w:r>
        <w:r>
          <w:fldChar w:fldCharType="separate"/>
        </w:r>
        <w:r>
          <w:t>2</w:t>
        </w:r>
        <w:r>
          <w:fldChar w:fldCharType="end"/>
        </w:r>
      </w:p>
    </w:sdtContent>
  </w:sdt>
  <w:p w14:paraId="612C7217" w14:textId="77777777" w:rsidR="00A15990" w:rsidRDefault="00A15990">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6248" w14:textId="77777777" w:rsidR="005B3782" w:rsidRDefault="005B3782">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ABC1" w14:textId="77777777" w:rsidR="00A15990" w:rsidRDefault="00A15990">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C64D0" w14:textId="77777777" w:rsidR="005B3782" w:rsidRDefault="005B3782">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606941"/>
      <w:docPartObj>
        <w:docPartGallery w:val="Page Numbers (Bottom of Page)"/>
        <w:docPartUnique/>
      </w:docPartObj>
    </w:sdtPr>
    <w:sdtEndPr>
      <w:rPr>
        <w:noProof/>
      </w:rPr>
    </w:sdtEndPr>
    <w:sdtContent>
      <w:p w14:paraId="679D3A66" w14:textId="77777777" w:rsidR="005B3782" w:rsidRDefault="005B3782">
        <w:pPr>
          <w:pStyle w:val="Footer"/>
          <w:jc w:val="center"/>
        </w:pPr>
        <w:r>
          <w:fldChar w:fldCharType="begin"/>
        </w:r>
        <w:r>
          <w:instrText xml:space="preserve"> PAGE   \* MERGEFORMAT </w:instrText>
        </w:r>
        <w:r>
          <w:fldChar w:fldCharType="separate"/>
        </w:r>
        <w:r>
          <w:t>2</w:t>
        </w:r>
        <w:r>
          <w:fldChar w:fldCharType="end"/>
        </w:r>
      </w:p>
    </w:sdtContent>
  </w:sdt>
  <w:p w14:paraId="15D63E0A" w14:textId="77777777" w:rsidR="005B3782" w:rsidRDefault="005B3782">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FBFC3" w14:textId="77777777" w:rsidR="005B3782" w:rsidRDefault="005B3782">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EDC9" w14:textId="77777777" w:rsidR="005B3782" w:rsidRDefault="005B3782">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107225"/>
      <w:docPartObj>
        <w:docPartGallery w:val="Page Numbers (Bottom of Page)"/>
        <w:docPartUnique/>
      </w:docPartObj>
    </w:sdtPr>
    <w:sdtEndPr>
      <w:rPr>
        <w:noProof/>
      </w:rPr>
    </w:sdtEndPr>
    <w:sdtContent>
      <w:p w14:paraId="65EEF8B6" w14:textId="77777777" w:rsidR="005B3782" w:rsidRDefault="005B3782">
        <w:pPr>
          <w:pStyle w:val="Footer"/>
          <w:jc w:val="center"/>
        </w:pPr>
        <w:r>
          <w:fldChar w:fldCharType="begin"/>
        </w:r>
        <w:r>
          <w:instrText xml:space="preserve"> PAGE   \* MERGEFORMAT </w:instrText>
        </w:r>
        <w:r>
          <w:fldChar w:fldCharType="separate"/>
        </w:r>
        <w:r>
          <w:t>2</w:t>
        </w:r>
        <w:r>
          <w:fldChar w:fldCharType="end"/>
        </w:r>
      </w:p>
    </w:sdtContent>
  </w:sdt>
  <w:p w14:paraId="1BC85661" w14:textId="77777777" w:rsidR="005B3782" w:rsidRDefault="005B3782">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4C052" w14:textId="77777777" w:rsidR="005B3782" w:rsidRDefault="005B3782">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B56E" w14:textId="77777777" w:rsidR="005B3782" w:rsidRDefault="005B3782">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298250"/>
      <w:docPartObj>
        <w:docPartGallery w:val="Page Numbers (Bottom of Page)"/>
        <w:docPartUnique/>
      </w:docPartObj>
    </w:sdtPr>
    <w:sdtEndPr>
      <w:rPr>
        <w:noProof/>
      </w:rPr>
    </w:sdtEndPr>
    <w:sdtContent>
      <w:p w14:paraId="711B9CF0" w14:textId="77777777" w:rsidR="005B3782" w:rsidRDefault="005B3782">
        <w:pPr>
          <w:pStyle w:val="Footer"/>
          <w:jc w:val="center"/>
        </w:pPr>
        <w:r>
          <w:fldChar w:fldCharType="begin"/>
        </w:r>
        <w:r>
          <w:instrText xml:space="preserve"> PAGE   \* MERGEFORMAT </w:instrText>
        </w:r>
        <w:r>
          <w:fldChar w:fldCharType="separate"/>
        </w:r>
        <w:r>
          <w:t>2</w:t>
        </w:r>
        <w:r>
          <w:fldChar w:fldCharType="end"/>
        </w:r>
      </w:p>
    </w:sdtContent>
  </w:sdt>
  <w:p w14:paraId="4B608694" w14:textId="77777777" w:rsidR="005B3782" w:rsidRDefault="005B3782">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29918" w14:textId="77777777" w:rsidR="005B3782" w:rsidRDefault="005B3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A6CA3" w14:textId="77777777" w:rsidR="000D1E8D" w:rsidRDefault="000D1E8D">
      <w:pPr>
        <w:spacing w:after="0" w:line="240" w:lineRule="auto"/>
      </w:pPr>
      <w:r>
        <w:separator/>
      </w:r>
    </w:p>
  </w:footnote>
  <w:footnote w:type="continuationSeparator" w:id="0">
    <w:p w14:paraId="45ECA0CC" w14:textId="77777777" w:rsidR="000D1E8D" w:rsidRDefault="000D1E8D">
      <w:pPr>
        <w:spacing w:after="0" w:line="240" w:lineRule="auto"/>
      </w:pPr>
      <w:r>
        <w:continuationSeparator/>
      </w:r>
    </w:p>
  </w:footnote>
  <w:footnote w:type="continuationNotice" w:id="1">
    <w:p w14:paraId="636F8A35" w14:textId="77777777" w:rsidR="000D1E8D" w:rsidRDefault="000D1E8D">
      <w:pPr>
        <w:spacing w:after="0" w:line="240" w:lineRule="auto"/>
      </w:pPr>
    </w:p>
  </w:footnote>
  <w:footnote w:id="2">
    <w:p w14:paraId="4F724CD0" w14:textId="77777777" w:rsidR="00A15990" w:rsidRDefault="00686A62">
      <w:pPr>
        <w:pStyle w:val="FootnoteText"/>
        <w:ind w:left="709" w:hanging="709"/>
      </w:pPr>
      <w:r>
        <w:rPr>
          <w:rStyle w:val="FootnoteReference"/>
        </w:rPr>
        <w:footnoteRef/>
      </w:r>
      <w:r>
        <w:t xml:space="preserve"> </w:t>
      </w:r>
      <w:hyperlink r:id="rId1" w:history="1">
        <w:r>
          <w:rPr>
            <w:rStyle w:val="Hyperlink"/>
          </w:rPr>
          <w:t>https://www.un.org/development/desa/disabilities/convention-on-the-rights-of-persons-with-disabilities.html</w:t>
        </w:r>
      </w:hyperlink>
      <w:r>
        <w:t xml:space="preserve">.    </w:t>
      </w:r>
    </w:p>
  </w:footnote>
  <w:footnote w:id="3">
    <w:p w14:paraId="6EF9B016" w14:textId="77777777" w:rsidR="00A15990" w:rsidRDefault="00686A62">
      <w:pPr>
        <w:pStyle w:val="FootnoteText"/>
        <w:ind w:left="709" w:hanging="709"/>
      </w:pPr>
      <w:r>
        <w:rPr>
          <w:rStyle w:val="FootnoteReference"/>
        </w:rPr>
        <w:footnoteRef/>
      </w:r>
      <w:r>
        <w:t xml:space="preserve"> </w:t>
      </w:r>
      <w:hyperlink r:id="rId2" w:history="1">
        <w:r>
          <w:rPr>
            <w:rStyle w:val="Hyperlink"/>
          </w:rPr>
          <w:t>https://ec.europa.eu/social/main.jsp?catId=738&amp;langId=en&amp;pubId=8376&amp;furtherPubs=yes</w:t>
        </w:r>
      </w:hyperlink>
      <w:r>
        <w:t xml:space="preserve"> </w:t>
      </w:r>
    </w:p>
  </w:footnote>
  <w:footnote w:id="4">
    <w:p w14:paraId="7BE524BD" w14:textId="77777777" w:rsidR="00A15990" w:rsidRDefault="00686A62">
      <w:pPr>
        <w:pStyle w:val="FootnoteText"/>
        <w:ind w:left="709" w:hanging="709"/>
      </w:pPr>
      <w:r>
        <w:rPr>
          <w:rStyle w:val="FootnoteReference"/>
        </w:rPr>
        <w:footnoteRef/>
      </w:r>
      <w:r>
        <w:t xml:space="preserve"> </w:t>
      </w:r>
      <w:hyperlink r:id="rId3" w:history="1">
        <w:r>
          <w:rPr>
            <w:rStyle w:val="Hyperlink"/>
          </w:rPr>
          <w:t>https://ec.europa.eu/info/sites/default/files/1_en_act_part1_v8_0.pdf</w:t>
        </w:r>
      </w:hyperlink>
      <w:r>
        <w:t xml:space="preserve"> </w:t>
      </w:r>
    </w:p>
  </w:footnote>
  <w:footnote w:id="5">
    <w:p w14:paraId="20BF6478" w14:textId="77777777" w:rsidR="00A15990" w:rsidRDefault="00686A62">
      <w:pPr>
        <w:pStyle w:val="FootnoteText"/>
        <w:ind w:left="709" w:hanging="709"/>
      </w:pPr>
      <w:r>
        <w:rPr>
          <w:rStyle w:val="FootnoteReference"/>
        </w:rPr>
        <w:footnoteRef/>
      </w:r>
      <w:r>
        <w:t xml:space="preserve"> </w:t>
      </w:r>
      <w:hyperlink r:id="rId4" w:history="1">
        <w:r>
          <w:rPr>
            <w:rStyle w:val="Hyperlink"/>
          </w:rPr>
          <w:t>https://www.un.org/development/desa/disabilities/convention-on-the-rights-of-persons-with-disabilities.html</w:t>
        </w:r>
      </w:hyperlink>
      <w:r>
        <w:t xml:space="preserve">.    </w:t>
      </w:r>
    </w:p>
  </w:footnote>
  <w:footnote w:id="6">
    <w:p w14:paraId="697E022B" w14:textId="77777777" w:rsidR="00A15990" w:rsidRDefault="00686A62">
      <w:pPr>
        <w:pStyle w:val="FootnoteText"/>
        <w:ind w:left="709" w:hanging="709"/>
      </w:pPr>
      <w:r>
        <w:rPr>
          <w:rStyle w:val="FootnoteReference"/>
        </w:rPr>
        <w:footnoteRef/>
      </w:r>
      <w:r>
        <w:t xml:space="preserve"> </w:t>
      </w:r>
      <w:hyperlink r:id="rId5" w:history="1">
        <w:r>
          <w:rPr>
            <w:rStyle w:val="Hyperlink"/>
          </w:rPr>
          <w:t>https://ec.europa.eu/social/main.jsp?catId=738&amp;langId=en&amp;pubId=8376&amp;furtherPubs=yes</w:t>
        </w:r>
      </w:hyperlink>
      <w:r>
        <w:t xml:space="preserve"> </w:t>
      </w:r>
    </w:p>
  </w:footnote>
  <w:footnote w:id="7">
    <w:p w14:paraId="22261CC4" w14:textId="77777777" w:rsidR="00A15990" w:rsidRDefault="00686A62">
      <w:pPr>
        <w:pStyle w:val="FootnoteText"/>
        <w:ind w:left="709" w:hanging="709"/>
      </w:pPr>
      <w: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8">
    <w:p w14:paraId="2B2A4952" w14:textId="77777777" w:rsidR="00A15990" w:rsidRDefault="00686A62">
      <w:pPr>
        <w:pStyle w:val="FootnoteText"/>
        <w:ind w:left="709" w:hanging="709"/>
      </w:pPr>
      <w: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9">
    <w:p w14:paraId="104B9886" w14:textId="77777777" w:rsidR="00A15990" w:rsidRDefault="00686A62">
      <w:pPr>
        <w:pStyle w:val="FootnoteText"/>
        <w:ind w:left="709" w:hanging="709"/>
      </w:pPr>
      <w: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10">
    <w:p w14:paraId="3F26F5F7" w14:textId="77777777" w:rsidR="00A15990" w:rsidRDefault="00686A62">
      <w:pPr>
        <w:pStyle w:val="FootnoteText"/>
        <w:ind w:left="709" w:hanging="709"/>
      </w:pPr>
      <w: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11">
    <w:p w14:paraId="54B6E1CA" w14:textId="77777777" w:rsidR="00A15990" w:rsidRDefault="00686A62">
      <w:pPr>
        <w:pStyle w:val="FootnoteText"/>
        <w:ind w:left="709" w:hanging="709"/>
      </w:pPr>
      <w: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12">
    <w:p w14:paraId="0700F327" w14:textId="77777777" w:rsidR="00A15990" w:rsidRDefault="00686A62">
      <w:pPr>
        <w:pStyle w:val="FootnoteText"/>
        <w:ind w:left="709" w:hanging="709"/>
      </w:pPr>
      <w: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13">
    <w:p w14:paraId="4A7CE0CE"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14">
    <w:p w14:paraId="33C91D2C" w14:textId="77777777" w:rsidR="00A15990" w:rsidRDefault="00686A62">
      <w:pPr>
        <w:pStyle w:val="FootnoteText"/>
        <w:ind w:left="709" w:hanging="709"/>
      </w:pPr>
      <w: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15">
    <w:p w14:paraId="4570EEC3" w14:textId="77777777" w:rsidR="00A15990" w:rsidRDefault="00686A62">
      <w:pPr>
        <w:pStyle w:val="FootnoteText"/>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16">
    <w:p w14:paraId="18847726" w14:textId="77777777" w:rsidR="00A15990" w:rsidRDefault="00686A62">
      <w:pPr>
        <w:pStyle w:val="FootnoteText"/>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17">
    <w:p w14:paraId="2CDBAB26" w14:textId="77777777" w:rsidR="00A15990" w:rsidRDefault="00686A62">
      <w:pPr>
        <w:spacing w:after="0" w:line="240" w:lineRule="auto"/>
        <w:ind w:left="709" w:hanging="709"/>
        <w:jc w:val="both"/>
        <w:rPr>
          <w:rFonts w:ascii="Times New Roman" w:eastAsiaTheme="minorEastAsia"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18">
    <w:p w14:paraId="02418914"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19">
    <w:p w14:paraId="2734878E" w14:textId="77777777" w:rsidR="00A15990" w:rsidRDefault="00686A62">
      <w:pPr>
        <w:pStyle w:val="FootnoteText"/>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20">
    <w:p w14:paraId="25410A69" w14:textId="77777777" w:rsidR="00A15990" w:rsidRDefault="00686A62">
      <w:pPr>
        <w:pStyle w:val="FootnoteText"/>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21">
    <w:p w14:paraId="4B3934FC" w14:textId="77777777" w:rsidR="00A15990" w:rsidRDefault="00686A62">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22">
    <w:p w14:paraId="6CB29564"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23">
    <w:p w14:paraId="1A1A021C" w14:textId="77777777" w:rsidR="00A15990" w:rsidRDefault="00686A62">
      <w:pPr>
        <w:pStyle w:val="FootnoteText"/>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24">
    <w:p w14:paraId="72CFAB7C" w14:textId="77777777" w:rsidR="00A15990" w:rsidRDefault="00686A62">
      <w:pPr>
        <w:pStyle w:val="FootnoteText"/>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25">
    <w:p w14:paraId="23F2A08C" w14:textId="77777777" w:rsidR="00A15990" w:rsidRDefault="00686A62">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26">
    <w:p w14:paraId="2E05CEF0"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27">
    <w:p w14:paraId="2FE089E1" w14:textId="77777777" w:rsidR="00A15990" w:rsidRDefault="00686A62">
      <w:pPr>
        <w:pStyle w:val="FootnoteText"/>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28">
    <w:p w14:paraId="54165B86" w14:textId="77777777" w:rsidR="00A15990" w:rsidRDefault="00686A62">
      <w:pPr>
        <w:pStyle w:val="FootnoteText"/>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29">
    <w:p w14:paraId="78C1F4E6" w14:textId="77777777" w:rsidR="00A15990" w:rsidRDefault="00686A62">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30">
    <w:p w14:paraId="43DD17DC"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31">
    <w:p w14:paraId="27354B64" w14:textId="77777777" w:rsidR="00A15990" w:rsidRDefault="00686A62">
      <w:pPr>
        <w:pStyle w:val="FootnoteText"/>
      </w:pPr>
      <w:r>
        <w:rPr>
          <w:rStyle w:val="FootnoteReference"/>
        </w:rPr>
        <w:footnoteRef/>
      </w:r>
      <w:r>
        <w:t xml:space="preserve"> 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 </w:t>
      </w:r>
    </w:p>
  </w:footnote>
  <w:footnote w:id="32">
    <w:p w14:paraId="4299F52C" w14:textId="77777777" w:rsidR="00A15990" w:rsidRDefault="00686A62">
      <w:pPr>
        <w:pStyle w:val="FootnoteText"/>
      </w:pPr>
      <w:r>
        <w:rPr>
          <w:rStyle w:val="FootnoteReference"/>
        </w:rPr>
        <w:footnoteRef/>
      </w:r>
      <w:r>
        <w:t xml:space="preserve"> În cazul în care activitatea sprijinită generează emisii de gaze cu efect de seră preconizate care nu sunt semnificativ mai mici decât valorile de referință relevante, se furnizează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 </w:t>
      </w:r>
    </w:p>
  </w:footnote>
  <w:footnote w:id="33">
    <w:p w14:paraId="275F7B84" w14:textId="77777777" w:rsidR="00A15990" w:rsidRDefault="00686A62">
      <w:pPr>
        <w:pStyle w:val="FootnoteText"/>
      </w:pPr>
      <w:r>
        <w:rPr>
          <w:rStyle w:val="FootnoteReference"/>
        </w:rPr>
        <w:footnoteRef/>
      </w:r>
      <w:r>
        <w:t xml:space="preserve"> 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 </w:t>
      </w:r>
    </w:p>
  </w:footnote>
  <w:footnote w:id="34">
    <w:p w14:paraId="15124B53" w14:textId="77777777" w:rsidR="00A15990" w:rsidRDefault="00686A62">
      <w:pPr>
        <w:pStyle w:val="FootnoteText"/>
      </w:pPr>
      <w:r>
        <w:rPr>
          <w:rStyle w:val="FootnoteReference"/>
        </w:rPr>
        <w:footnoteRef/>
      </w:r>
      <w:r>
        <w:t xml:space="preserve">  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 </w:t>
      </w:r>
    </w:p>
  </w:footnote>
  <w:footnote w:id="35">
    <w:p w14:paraId="13E939F4" w14:textId="77777777" w:rsidR="00A15990" w:rsidRDefault="00686A62">
      <w:pPr>
        <w:pStyle w:val="FootnoteText"/>
        <w:spacing w:line="240" w:lineRule="auto"/>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36">
    <w:p w14:paraId="7560EFBF" w14:textId="77777777" w:rsidR="00A15990" w:rsidRDefault="00686A62">
      <w:pPr>
        <w:pStyle w:val="FootnoteText"/>
        <w:spacing w:line="240" w:lineRule="auto"/>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37">
    <w:p w14:paraId="22DA75BD" w14:textId="77777777" w:rsidR="00A15990" w:rsidRDefault="00686A62">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38">
    <w:p w14:paraId="31E3972C" w14:textId="77777777" w:rsidR="00A15990" w:rsidRDefault="00686A62">
      <w:pPr>
        <w:pStyle w:val="FootnoteText"/>
        <w:spacing w:line="240" w:lineRule="auto"/>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39">
    <w:p w14:paraId="032B3FB7" w14:textId="017008BD" w:rsidR="00A15990" w:rsidRDefault="00686A62">
      <w:pPr>
        <w:pStyle w:val="FootnoteText"/>
        <w:ind w:left="709" w:hanging="709"/>
      </w:pPr>
      <w:r>
        <w:rPr>
          <w:rStyle w:val="FootnoteReference"/>
        </w:rPr>
        <w:footnoteRef/>
      </w:r>
      <w:r>
        <w:t xml:space="preserve"> </w:t>
      </w:r>
      <w:r>
        <w:tab/>
        <w:t xml:space="preserve">Decreto Regulamentar n.º 9-A/2017: </w:t>
      </w:r>
      <w:hyperlink r:id="rId6" w:history="1">
        <w:r>
          <w:rPr>
            <w:rStyle w:val="Hyperlink"/>
          </w:rPr>
          <w:t>https://dre.pt/application/conteudo/114152782</w:t>
        </w:r>
      </w:hyperlink>
      <w:r>
        <w:t xml:space="preserve">  </w:t>
      </w:r>
    </w:p>
  </w:footnote>
  <w:footnote w:id="40">
    <w:p w14:paraId="0D885102" w14:textId="77777777" w:rsidR="00A15990" w:rsidRDefault="00686A62">
      <w:pPr>
        <w:pStyle w:val="FootnoteText"/>
        <w:spacing w:line="240" w:lineRule="auto"/>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41">
    <w:p w14:paraId="41986EED" w14:textId="77777777" w:rsidR="00A15990" w:rsidRDefault="00686A62">
      <w:pPr>
        <w:pStyle w:val="FootnoteText"/>
        <w:spacing w:line="240" w:lineRule="auto"/>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42">
    <w:p w14:paraId="0FE45297" w14:textId="77777777" w:rsidR="00A15990" w:rsidRDefault="00686A62">
      <w:pPr>
        <w:pStyle w:val="FootnoteText"/>
        <w:spacing w:line="240" w:lineRule="auto"/>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43">
    <w:p w14:paraId="45413230" w14:textId="77777777" w:rsidR="00A15990" w:rsidRDefault="00686A62">
      <w:pPr>
        <w:pStyle w:val="FootnoteText"/>
        <w:spacing w:line="240" w:lineRule="auto"/>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44">
    <w:p w14:paraId="2D3802F5" w14:textId="77777777" w:rsidR="00A15990" w:rsidRDefault="00686A62">
      <w:pPr>
        <w:pStyle w:val="FootnoteText"/>
        <w:spacing w:line="240" w:lineRule="auto"/>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45">
    <w:p w14:paraId="58D642AD" w14:textId="77777777" w:rsidR="00A15990" w:rsidRDefault="00686A62">
      <w:pPr>
        <w:pStyle w:val="FootnoteText"/>
        <w:spacing w:line="240" w:lineRule="auto"/>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46">
    <w:p w14:paraId="2EC8D73E" w14:textId="77777777" w:rsidR="00A15990" w:rsidRDefault="00686A62">
      <w:pPr>
        <w:spacing w:after="0" w:line="240" w:lineRule="auto"/>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47">
    <w:p w14:paraId="69F62AAE" w14:textId="77777777" w:rsidR="00A15990" w:rsidRDefault="00686A62">
      <w:pPr>
        <w:pStyle w:val="FootnoteText"/>
        <w:spacing w:line="240" w:lineRule="auto"/>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48">
    <w:p w14:paraId="23D04827" w14:textId="77777777" w:rsidR="00A15990" w:rsidRDefault="00686A62">
      <w:pPr>
        <w:pStyle w:val="FootnoteText"/>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49">
    <w:p w14:paraId="086CCC13" w14:textId="77777777" w:rsidR="00A15990" w:rsidRDefault="00686A62">
      <w:pPr>
        <w:pStyle w:val="FootnoteText"/>
        <w:spacing w:line="240" w:lineRule="auto"/>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50">
    <w:p w14:paraId="50DDA874" w14:textId="77777777" w:rsidR="00A15990" w:rsidRDefault="00686A62">
      <w:pPr>
        <w:spacing w:after="0" w:line="240" w:lineRule="auto"/>
        <w:ind w:left="709" w:hanging="709"/>
        <w:jc w:val="both"/>
        <w:rPr>
          <w:rFonts w:ascii="Times New Roman" w:hAnsi="Times New Roman" w:cs="Times New Roman"/>
        </w:rPr>
      </w:pPr>
      <w:r>
        <w:rPr>
          <w:rStyle w:val="FootnoteReference"/>
          <w:sz w:val="20"/>
        </w:rPr>
        <w:footnoteRef/>
      </w:r>
      <w:r>
        <w:rPr>
          <w:rFonts w:ascii="Times New Roman" w:hAnsi="Times New Roman"/>
          <w:sz w:val="20"/>
        </w:rPr>
        <w:t xml:space="preserve"> </w:t>
      </w:r>
      <w:r>
        <w:rPr>
          <w:rFonts w:ascii="Times New Roman" w:hAnsi="Times New Roman"/>
          <w:sz w:val="20"/>
        </w:rP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51">
    <w:p w14:paraId="629442C7" w14:textId="77777777" w:rsidR="00A15990" w:rsidRDefault="00686A62">
      <w:pPr>
        <w:pStyle w:val="FootnoteText"/>
        <w:spacing w:line="240" w:lineRule="auto"/>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52">
    <w:p w14:paraId="6CD2C7EC" w14:textId="77777777" w:rsidR="00A15990" w:rsidRDefault="00686A62">
      <w:pPr>
        <w:pStyle w:val="FootnoteText"/>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53">
    <w:p w14:paraId="6D4C9DB2" w14:textId="77777777" w:rsidR="00A15990" w:rsidRDefault="00686A62">
      <w:pPr>
        <w:pStyle w:val="FootnoteText"/>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54">
    <w:p w14:paraId="2F4AA456"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55">
    <w:p w14:paraId="5D8F35A8"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56">
    <w:p w14:paraId="5A0A53A2" w14:textId="77777777" w:rsidR="00A15990" w:rsidRDefault="00686A62">
      <w:pPr>
        <w:pStyle w:val="FootnoteText"/>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57">
    <w:p w14:paraId="59375361" w14:textId="77777777" w:rsidR="00A15990" w:rsidRDefault="00686A62">
      <w:pPr>
        <w:pStyle w:val="FootnoteText"/>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58">
    <w:p w14:paraId="3A868ECC"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59">
    <w:p w14:paraId="57210ACA"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60">
    <w:p w14:paraId="29A7C9B1" w14:textId="77777777" w:rsidR="00A15990" w:rsidRDefault="00686A62">
      <w:pPr>
        <w:pStyle w:val="FootnoteText"/>
        <w:ind w:left="709" w:hanging="709"/>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61">
    <w:p w14:paraId="24F14AC4" w14:textId="77777777" w:rsidR="00A15990" w:rsidRDefault="00686A62">
      <w:pPr>
        <w:pStyle w:val="FootnoteText"/>
        <w:ind w:left="709" w:hanging="709"/>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62">
    <w:p w14:paraId="57CE1546"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63">
    <w:p w14:paraId="1812F0A1" w14:textId="77777777" w:rsidR="00A15990" w:rsidRDefault="00686A62">
      <w:pPr>
        <w:pStyle w:val="FootnoteText"/>
        <w:ind w:left="709" w:hanging="709"/>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64">
    <w:p w14:paraId="3705F09F" w14:textId="77777777" w:rsidR="00A15990" w:rsidRDefault="00686A62">
      <w:pPr>
        <w:pStyle w:val="FootnoteText"/>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65">
    <w:p w14:paraId="79ECCF36" w14:textId="77777777" w:rsidR="00A15990" w:rsidRDefault="00686A62">
      <w:pPr>
        <w:pStyle w:val="FootnoteText"/>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66">
    <w:p w14:paraId="0CD64774" w14:textId="77777777" w:rsidR="00A15990" w:rsidRDefault="00686A62">
      <w:pPr>
        <w:pStyle w:val="FootnoteText"/>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67">
    <w:p w14:paraId="137FD1EF" w14:textId="77777777" w:rsidR="00A15990" w:rsidRDefault="00686A62">
      <w:pPr>
        <w:pStyle w:val="FootnoteText"/>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68">
    <w:p w14:paraId="405D3F43" w14:textId="77777777" w:rsidR="00A15990" w:rsidRDefault="00686A62">
      <w:pPr>
        <w:pStyle w:val="FootnoteText"/>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69">
    <w:p w14:paraId="5450CE25" w14:textId="77777777" w:rsidR="00A15990" w:rsidRDefault="00686A62">
      <w:pPr>
        <w:pStyle w:val="FootnoteText"/>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70">
    <w:p w14:paraId="3B01555B" w14:textId="77777777" w:rsidR="00A15990" w:rsidRDefault="00686A62">
      <w:pPr>
        <w:pStyle w:val="FootnoteText"/>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71">
    <w:p w14:paraId="3D345DD3" w14:textId="77777777" w:rsidR="00A15990" w:rsidRDefault="00686A62">
      <w:pPr>
        <w:pStyle w:val="FootnoteText"/>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72">
    <w:p w14:paraId="1D00325C" w14:textId="77777777" w:rsidR="00A15990" w:rsidRDefault="00686A62">
      <w:pPr>
        <w:pStyle w:val="FootnoteText"/>
      </w:pPr>
      <w:r>
        <w:rPr>
          <w:rStyle w:val="FootnoteReference"/>
        </w:rPr>
        <w:footnoteRef/>
      </w:r>
      <w:r>
        <w:t xml:space="preserve"> </w:t>
      </w:r>
      <w:r>
        <w:tab/>
        <w:t>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w:t>
      </w:r>
    </w:p>
  </w:footnote>
  <w:footnote w:id="73">
    <w:p w14:paraId="2B98AA92" w14:textId="77777777" w:rsidR="00A15990" w:rsidRDefault="00686A62">
      <w:pPr>
        <w:pStyle w:val="FootnoteText"/>
      </w:pPr>
      <w:r>
        <w:rPr>
          <w:rStyle w:val="FootnoteReference"/>
        </w:rPr>
        <w:footnoteRef/>
      </w:r>
      <w:r>
        <w:t xml:space="preserve"> </w:t>
      </w:r>
      <w:r>
        <w:tab/>
        <w:t>În cazul în care activitatea sprijinită generează emisii de gaze cu efect de seră preconizate care nu sunt substanțial mai mici decât valorile de referință relevante, ar trebui furnizată o explicație a motivelor pentru care acest lucru nu este posibil. Valorile de referință stabilite pentru alocarea cu titlu gratuit pentru activitățile care intră în sfera de aplicare a sistemului de comercializare a certificatelor de emisii, în conformitate cu regulamentul de punere în aplicare (UE) 2021/447 al Comisiei.</w:t>
      </w:r>
    </w:p>
  </w:footnote>
  <w:footnote w:id="74">
    <w:p w14:paraId="1AD470E4" w14:textId="77777777" w:rsidR="00A15990" w:rsidRDefault="00686A62">
      <w:pPr>
        <w:pStyle w:val="FootnoteText"/>
      </w:pPr>
      <w:r>
        <w:rPr>
          <w:rStyle w:val="FootnoteReference"/>
        </w:rPr>
        <w:footnoteRef/>
      </w:r>
      <w:r>
        <w:t xml:space="preserve"> </w:t>
      </w:r>
      <w:r>
        <w:tab/>
        <w:t>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w:t>
      </w:r>
    </w:p>
  </w:footnote>
  <w:footnote w:id="75">
    <w:p w14:paraId="62FBAA1A" w14:textId="77777777" w:rsidR="00A15990" w:rsidRDefault="00686A62">
      <w:pPr>
        <w:pStyle w:val="FootnoteText"/>
      </w:pPr>
      <w:r>
        <w:rPr>
          <w:rStyle w:val="FootnoteReference"/>
        </w:rPr>
        <w:footnoteRef/>
      </w:r>
      <w:r>
        <w:t xml:space="preserve"> </w:t>
      </w:r>
      <w:r>
        <w:tab/>
        <w:t>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w:t>
      </w:r>
    </w:p>
  </w:footnote>
  <w:footnote w:id="76">
    <w:p w14:paraId="7ECA6AE2" w14:textId="77777777" w:rsidR="00A15990" w:rsidRDefault="00686A62">
      <w:pPr>
        <w:pStyle w:val="FootnoteText"/>
      </w:pPr>
      <w:r>
        <w:rPr>
          <w:rStyle w:val="FootnoteReference"/>
        </w:rPr>
        <w:footnoteRef/>
      </w:r>
      <w:r>
        <w:t xml:space="preserve"> Noțiunea de avantaj fiscal este definită la articolul 2 </w:t>
      </w:r>
      <w:r>
        <w:rPr>
          <w:i/>
        </w:rPr>
        <w:t xml:space="preserve">din Estatuto dos Benefícios </w:t>
      </w:r>
      <w:r>
        <w:t>Fiscais (anexa la Decretul-lege nr. 215/1989 din 1 iulie). Cheltuielile fiscale sunt definite ca impactul bugetar rezultat din beneficiile fiscale.</w:t>
      </w:r>
    </w:p>
  </w:footnote>
  <w:footnote w:id="77">
    <w:p w14:paraId="29A60DEE" w14:textId="77777777" w:rsidR="00A15990" w:rsidRDefault="00686A62">
      <w:pPr>
        <w:pStyle w:val="FootnoteText"/>
        <w:ind w:left="709" w:hanging="709"/>
      </w:pPr>
      <w:r>
        <w:rPr>
          <w:rStyle w:val="FootnoteReference"/>
        </w:rPr>
        <w:footnoteRef/>
      </w:r>
      <w:r>
        <w:t xml:space="preserve"> </w:t>
      </w:r>
      <w:r>
        <w:tab/>
        <w:t>Încăperi amenajate pentru a afecta sistemul senzorial fie pentru a alerta, fie pentru a calma</w:t>
      </w:r>
    </w:p>
  </w:footnote>
  <w:footnote w:id="78">
    <w:p w14:paraId="4E79D273" w14:textId="77777777" w:rsidR="00A15990" w:rsidRDefault="00686A62">
      <w:pPr>
        <w:pStyle w:val="FootnoteText"/>
      </w:pPr>
      <w:r>
        <w:rPr>
          <w:rStyle w:val="FootnoteReference"/>
        </w:rPr>
        <w:footnoteRef/>
      </w:r>
      <w:r>
        <w:t xml:space="preserve"> Cu excepția proiectelor din cadrul acestei măsuri în domeniul producerii de energie electrică și/sau termică, precum și al infrastructurii aferente de transport și distribuție, care utilizează gaze naturale, care respectă condițiile stabilite în anexa III la Orientările tehnice „A nu prejudicia în mod semnificativ” (2021/C58/01). </w:t>
      </w:r>
    </w:p>
  </w:footnote>
  <w:footnote w:id="79">
    <w:p w14:paraId="328B7220" w14:textId="77777777" w:rsidR="00A15990" w:rsidRDefault="00686A62">
      <w:pPr>
        <w:pStyle w:val="FootnoteText"/>
      </w:pPr>
      <w:r>
        <w:rPr>
          <w:rStyle w:val="FootnoteReference"/>
        </w:rPr>
        <w:footnoteRef/>
      </w:r>
      <w:r>
        <w:t xml:space="preserve"> 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 </w:t>
      </w:r>
    </w:p>
  </w:footnote>
  <w:footnote w:id="80">
    <w:p w14:paraId="2AA60221" w14:textId="0051F9E1" w:rsidR="00A15990" w:rsidRDefault="00686A62">
      <w:pPr>
        <w:pStyle w:val="FootnoteText"/>
      </w:pPr>
      <w:r>
        <w:rPr>
          <w:rStyle w:val="FootnoteReference"/>
        </w:rPr>
        <w:footnoteRef/>
      </w:r>
      <w:r>
        <w:t xml:space="preserve"> 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 </w:t>
      </w:r>
    </w:p>
  </w:footnote>
  <w:footnote w:id="81">
    <w:p w14:paraId="4213660C" w14:textId="77777777" w:rsidR="00A15990" w:rsidRDefault="00686A62">
      <w:pPr>
        <w:pStyle w:val="FootnoteText"/>
      </w:pPr>
      <w:r>
        <w:rPr>
          <w:rStyle w:val="FootnoteReference"/>
        </w:rPr>
        <w:footnoteRef/>
      </w:r>
      <w:r>
        <w:t xml:space="preserve"> Această excludere nu se aplică acțiunilor întreprinse în temeiul acestei măsuri în instalațiile dedicate exclusiv tratării deșeurilor periculoase nereciclabile și nici instalațiilor existente, în cazul în care acțiunile întreprinse în temeiul acestei măsuri au ca scop creșterea eficienței energetice, captarea gazelor de eșapament pentru depozitare sau utilizare sau recuperarea materialelor din cenușa de incinerare, cu condiția ca astfel de acțiuni din cadrul acestei măsuri să nu ducă la o creștere a capacității de prelucrare a deșeurilor a instalațiilor sau la o prelungire a duratei de viață a instalațiilor; pentru care se furnizează dovezi la nivel de instalație. </w:t>
      </w:r>
    </w:p>
  </w:footnote>
  <w:footnote w:id="82">
    <w:p w14:paraId="7D3EBBC3" w14:textId="63EBD02D" w:rsidR="00A15990" w:rsidRDefault="00686A62">
      <w:pPr>
        <w:pStyle w:val="FootnoteText"/>
      </w:pPr>
      <w:r>
        <w:rPr>
          <w:rStyle w:val="FootnoteReference"/>
        </w:rPr>
        <w:footnoteRef/>
      </w:r>
      <w:r>
        <w:t xml:space="preserve"> Această excludere nu se aplică acțiunilor întreprinse în temeiul acestei măsuri în stațiile de tratare mecano-biologică existente, în cazul în care acțiunile din cadrul acestei măsuri sunt destinate creșterii eficienței energetice sau modernizării operațiunilor de reciclare a deșeurilor separate pentru a transforma deșeurile biologice în compost și digestiei anaerobe a deșeurilor biologice, cu condiția ca astfel de acțiuni din cadrul acestei măsuri să nu conducă la o creștere a capacității de prelucrare a deșeurilor a instalațiilor sau la o prelungire a duratei de viață a instalațiilor; pentru care se furnizează dovezi la nivel de instalație.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C0EE6" w14:textId="77777777" w:rsidR="00D97C3E" w:rsidRPr="00D97C3E" w:rsidRDefault="00D97C3E" w:rsidP="00D97C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E6BD" w14:textId="77777777" w:rsidR="005B3782" w:rsidRDefault="005B3782">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6A1E" w14:textId="77777777" w:rsidR="00A15990" w:rsidRDefault="00A15990">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F3E1" w14:textId="77777777" w:rsidR="00A15990" w:rsidRDefault="00A15990">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4980" w14:textId="77777777" w:rsidR="00A15990" w:rsidRDefault="00A15990">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770D" w14:textId="77777777" w:rsidR="00A15990" w:rsidRDefault="00A15990">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5FE9" w14:textId="77777777" w:rsidR="00A15990" w:rsidRDefault="00A15990">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124B8" w14:textId="77777777" w:rsidR="00A15990" w:rsidRDefault="00A15990">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13E6" w14:textId="77777777" w:rsidR="00A15990" w:rsidRDefault="00A15990">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A8AC" w14:textId="77777777" w:rsidR="00A15990" w:rsidRDefault="00A15990">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232E" w14:textId="77777777" w:rsidR="00A15990" w:rsidRDefault="00A15990">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0F5A" w14:textId="77777777" w:rsidR="00A15990" w:rsidRDefault="00A159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B4FA" w14:textId="77777777" w:rsidR="005B3782" w:rsidRDefault="005B3782">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8A13" w14:textId="77777777" w:rsidR="00A15990" w:rsidRDefault="00A15990">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C2F1" w14:textId="77777777" w:rsidR="00A15990" w:rsidRDefault="00A15990">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DF1B" w14:textId="77777777" w:rsidR="00A15990" w:rsidRDefault="00A15990">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2C45" w14:textId="77777777" w:rsidR="00A15990" w:rsidRDefault="00A15990">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2C8D" w14:textId="77777777" w:rsidR="00A15990" w:rsidRDefault="00A15990">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B982" w14:textId="77777777" w:rsidR="00A15990" w:rsidRDefault="00A15990">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9295" w14:textId="77777777" w:rsidR="00A15990" w:rsidRDefault="00A15990">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D0039" w14:textId="77777777" w:rsidR="00A15990" w:rsidRDefault="00A15990">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ED21" w14:textId="77777777" w:rsidR="00A15990" w:rsidRDefault="00A15990">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7854" w14:textId="77777777" w:rsidR="00A15990" w:rsidRDefault="00A1599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47A4" w14:textId="77777777" w:rsidR="005B3782" w:rsidRDefault="005B3782">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08FE" w14:textId="77777777" w:rsidR="00A15990" w:rsidRDefault="00A15990">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F815" w14:textId="77777777" w:rsidR="00A15990" w:rsidRDefault="00A15990">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4230" w14:textId="77777777" w:rsidR="00A15990" w:rsidRDefault="00A15990">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D6CB" w14:textId="77777777" w:rsidR="00A15990" w:rsidRDefault="00A15990">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4D6A" w14:textId="77777777" w:rsidR="00A15990" w:rsidRDefault="00A15990">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3F1B" w14:textId="77777777" w:rsidR="00A15990" w:rsidRDefault="00A15990">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9215" w14:textId="77777777" w:rsidR="00A15990" w:rsidRDefault="00A15990">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C4D0" w14:textId="77777777" w:rsidR="00A15990" w:rsidRDefault="00A15990">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DB31" w14:textId="77777777" w:rsidR="00A15990" w:rsidRDefault="00A15990">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D58F" w14:textId="77777777" w:rsidR="00A15990" w:rsidRDefault="00A1599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8DEE" w14:textId="77777777" w:rsidR="00A15990" w:rsidRDefault="00A15990">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862C" w14:textId="77777777" w:rsidR="00A15990" w:rsidRDefault="00A15990">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0E8A" w14:textId="77777777" w:rsidR="00A15990" w:rsidRDefault="00A15990">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0F1E" w14:textId="77777777" w:rsidR="00A15990" w:rsidRDefault="00A15990">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36E8" w14:textId="77777777" w:rsidR="00A15990" w:rsidRDefault="00A15990">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D6FE" w14:textId="77777777" w:rsidR="00A15990" w:rsidRDefault="00A15990">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F8BF" w14:textId="77777777" w:rsidR="00A15990" w:rsidRDefault="00A15990">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5682" w14:textId="77777777" w:rsidR="00A15990" w:rsidRDefault="00A15990">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EF45" w14:textId="77777777" w:rsidR="00A15990" w:rsidRDefault="00A15990">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2283" w14:textId="77777777" w:rsidR="00A15990" w:rsidRDefault="00A15990">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AFD4" w14:textId="77777777" w:rsidR="00A15990" w:rsidRDefault="00A1599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F86B" w14:textId="77777777" w:rsidR="00A15990" w:rsidRDefault="00A15990">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8B30" w14:textId="77777777" w:rsidR="00A15990" w:rsidRDefault="00A15990">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F833" w14:textId="77777777" w:rsidR="00A15990" w:rsidRDefault="00A15990">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421B" w14:textId="77777777" w:rsidR="00A15990" w:rsidRDefault="00A15990">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132F" w14:textId="77777777" w:rsidR="00A15990" w:rsidRDefault="00A15990">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3FC9" w14:textId="77777777" w:rsidR="00A15990" w:rsidRDefault="00A15990">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AC6D" w14:textId="77777777" w:rsidR="00A15990" w:rsidRDefault="00A15990">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58A8" w14:textId="77777777" w:rsidR="00A15990" w:rsidRDefault="00A15990">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450E" w14:textId="77777777" w:rsidR="00A15990" w:rsidRDefault="00A15990">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DBE5" w14:textId="77777777" w:rsidR="00A15990" w:rsidRDefault="00A15990">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A42D" w14:textId="77777777" w:rsidR="00A15990" w:rsidRDefault="00A1599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61AA0" w14:textId="77777777" w:rsidR="00A15990" w:rsidRDefault="00A15990">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B720" w14:textId="77777777" w:rsidR="00A15990" w:rsidRDefault="00A15990">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A31D" w14:textId="77777777" w:rsidR="00A15990" w:rsidRDefault="00A15990">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CB87" w14:textId="77777777" w:rsidR="00A15990" w:rsidRDefault="00A15990">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8866D" w14:textId="77777777" w:rsidR="00A15990" w:rsidRDefault="00A15990">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70DF" w14:textId="77777777" w:rsidR="00A15990" w:rsidRDefault="00A15990">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B748" w14:textId="77777777" w:rsidR="00A15990" w:rsidRDefault="00A15990">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44AE" w14:textId="77777777" w:rsidR="00A15990" w:rsidRDefault="00A15990">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5A93" w14:textId="77777777" w:rsidR="00A15990" w:rsidRDefault="00A15990">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66726" w14:textId="77777777" w:rsidR="00A15990" w:rsidRDefault="00A15990">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B7DF" w14:textId="77777777" w:rsidR="00A15990" w:rsidRDefault="00A1599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CA62" w14:textId="77777777" w:rsidR="00A15990" w:rsidRDefault="00A15990">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D57C" w14:textId="77777777" w:rsidR="00A15990" w:rsidRDefault="00A15990">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2D3D" w14:textId="77777777" w:rsidR="00A15990" w:rsidRDefault="00A15990">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6A90E" w14:textId="77777777" w:rsidR="00A15990" w:rsidRDefault="00A15990">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D0B8" w14:textId="77777777" w:rsidR="00A15990" w:rsidRDefault="00A15990">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D044" w14:textId="77777777" w:rsidR="00A15990" w:rsidRDefault="00A15990">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8225" w14:textId="77777777" w:rsidR="00A15990" w:rsidRDefault="00A15990">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A6BA" w14:textId="77777777" w:rsidR="00A15990" w:rsidRDefault="00A15990">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E298E" w14:textId="77777777" w:rsidR="00A15990" w:rsidRDefault="00A15990">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6781" w14:textId="77777777" w:rsidR="00A15990" w:rsidRDefault="00A15990">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5563" w14:textId="77777777" w:rsidR="00A15990" w:rsidRDefault="00A1599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D2EF" w14:textId="77777777" w:rsidR="00A15990" w:rsidRDefault="00A15990">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F637" w14:textId="77777777" w:rsidR="00A15990" w:rsidRDefault="00A15990">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250D" w14:textId="77777777" w:rsidR="00A15990" w:rsidRDefault="00A15990">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7438" w14:textId="77777777" w:rsidR="00A15990" w:rsidRDefault="00A15990">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B3CA" w14:textId="77777777" w:rsidR="00A15990" w:rsidRDefault="00A15990">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D82A" w14:textId="77777777" w:rsidR="00A15990" w:rsidRDefault="00A15990">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B922" w14:textId="77777777" w:rsidR="00A15990" w:rsidRDefault="00A15990">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1FE" w14:textId="77777777" w:rsidR="00A15990" w:rsidRDefault="00A15990">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2D1C" w14:textId="77777777" w:rsidR="00A15990" w:rsidRDefault="00A15990">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39A6" w14:textId="77777777" w:rsidR="00A15990" w:rsidRDefault="00A15990">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FEBF" w14:textId="77777777" w:rsidR="00A15990" w:rsidRDefault="00A1599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A26F" w14:textId="77777777" w:rsidR="00A15990" w:rsidRDefault="00A15990">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7B59" w14:textId="77777777" w:rsidR="00A15990" w:rsidRDefault="00A15990">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728E" w14:textId="77777777" w:rsidR="00A15990" w:rsidRDefault="00A15990">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0B2F" w14:textId="77777777" w:rsidR="00A15990" w:rsidRDefault="00A15990">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09A8" w14:textId="77777777" w:rsidR="00A15990" w:rsidRDefault="00A15990">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07A1" w14:textId="77777777" w:rsidR="00A15990" w:rsidRDefault="00A15990">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ECA3" w14:textId="77777777" w:rsidR="00A15990" w:rsidRDefault="00A15990">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DB52" w14:textId="77777777" w:rsidR="00A15990" w:rsidRDefault="00A15990">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05A9" w14:textId="77777777" w:rsidR="00A15990" w:rsidRDefault="00A15990">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F2904" w14:textId="77777777" w:rsidR="00A15990" w:rsidRDefault="00A15990">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F033E" w14:textId="77777777" w:rsidR="00A15990" w:rsidRDefault="00A1599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7FB6" w14:textId="77777777" w:rsidR="005B3782" w:rsidRDefault="005B3782">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54BC" w14:textId="77777777" w:rsidR="00A15990" w:rsidRDefault="00A15990">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19F9" w14:textId="77777777" w:rsidR="00A15990" w:rsidRDefault="00A15990">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43F7" w14:textId="77777777" w:rsidR="00A15990" w:rsidRDefault="00A15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F2DB3" w14:textId="77777777" w:rsidR="00D97C3E" w:rsidRPr="00D97C3E" w:rsidRDefault="00D97C3E" w:rsidP="00D97C3E">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629A" w14:textId="77777777" w:rsidR="005B3782" w:rsidRDefault="005B378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06FB" w14:textId="77777777" w:rsidR="005B3782" w:rsidRDefault="005B378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DDDB" w14:textId="77777777" w:rsidR="00A15990" w:rsidRDefault="00A1599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94777" w14:textId="77777777" w:rsidR="00A15990" w:rsidRDefault="00A1599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36C8" w14:textId="77777777" w:rsidR="00A15990" w:rsidRDefault="00A1599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7C6F" w14:textId="77777777" w:rsidR="00A15990" w:rsidRDefault="00A1599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3D9F" w14:textId="77777777" w:rsidR="00A15990" w:rsidRDefault="00A1599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0942" w14:textId="77777777" w:rsidR="00A15990" w:rsidRDefault="00A1599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F32A" w14:textId="77777777" w:rsidR="00A15990" w:rsidRDefault="00A1599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A12F" w14:textId="77777777" w:rsidR="00A15990" w:rsidRDefault="00A15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9F79" w14:textId="77777777" w:rsidR="00D97C3E" w:rsidRPr="00D97C3E" w:rsidRDefault="00D97C3E" w:rsidP="00D97C3E">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82F4" w14:textId="77777777" w:rsidR="00A15990" w:rsidRDefault="00A1599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224F" w14:textId="77777777" w:rsidR="00A15990" w:rsidRDefault="00A1599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77E7" w14:textId="77777777" w:rsidR="00A15990" w:rsidRDefault="00A1599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9350" w14:textId="77777777" w:rsidR="00A15990" w:rsidRDefault="00A1599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D4E8" w14:textId="77777777" w:rsidR="00A15990" w:rsidRDefault="00A1599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8F10" w14:textId="77777777" w:rsidR="00A15990" w:rsidRDefault="00A1599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DB30" w14:textId="77777777" w:rsidR="00A15990" w:rsidRDefault="00A1599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93A6" w14:textId="77777777" w:rsidR="00A15990" w:rsidRDefault="00A1599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CF74" w14:textId="77777777" w:rsidR="00A15990" w:rsidRDefault="00A1599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F793" w14:textId="77777777" w:rsidR="00A15990" w:rsidRDefault="00A15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4584" w14:textId="77777777" w:rsidR="00A15990" w:rsidRDefault="00A1599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B4EF" w14:textId="77777777" w:rsidR="00A15990" w:rsidRDefault="00A1599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D9AC" w14:textId="77777777" w:rsidR="00A15990" w:rsidRDefault="00A15990">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D491" w14:textId="77777777" w:rsidR="00A15990" w:rsidRDefault="00A1599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7821" w14:textId="77777777" w:rsidR="00A15990" w:rsidRDefault="00A1599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EAE9" w14:textId="77777777" w:rsidR="00A15990" w:rsidRDefault="00A15990">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A868" w14:textId="77777777" w:rsidR="00A15990" w:rsidRDefault="00A1599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D584" w14:textId="77777777" w:rsidR="00A15990" w:rsidRDefault="00A1599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F77A" w14:textId="77777777" w:rsidR="00A15990" w:rsidRDefault="00A15990">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AC8F" w14:textId="77777777" w:rsidR="00A15990" w:rsidRDefault="00A1599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29F0" w14:textId="77777777" w:rsidR="00A15990" w:rsidRDefault="00A159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A92B" w14:textId="77777777" w:rsidR="00A15990" w:rsidRDefault="00A15990">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42A0" w14:textId="77777777" w:rsidR="00A15990" w:rsidRDefault="00A1599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0269" w14:textId="77777777" w:rsidR="00A15990" w:rsidRDefault="00A1599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1B2" w14:textId="77777777" w:rsidR="00A15990" w:rsidRDefault="00A1599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79D1" w14:textId="77777777" w:rsidR="00A15990" w:rsidRDefault="00A15990">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858B" w14:textId="77777777" w:rsidR="00A15990" w:rsidRDefault="00A1599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A12D" w14:textId="77777777" w:rsidR="00A15990" w:rsidRDefault="00A1599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0596" w14:textId="77777777" w:rsidR="00A15990" w:rsidRDefault="00A15990">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B726" w14:textId="77777777" w:rsidR="00A15990" w:rsidRDefault="00A1599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07AE" w14:textId="77777777" w:rsidR="00A15990" w:rsidRDefault="00A1599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4CE1" w14:textId="77777777" w:rsidR="00A15990" w:rsidRDefault="00A159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6762D" w14:textId="77777777" w:rsidR="00A15990" w:rsidRDefault="00A1599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A0CB" w14:textId="77777777" w:rsidR="00A15990" w:rsidRDefault="00A1599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58FF" w14:textId="77777777" w:rsidR="00A15990" w:rsidRDefault="00A1599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A092" w14:textId="77777777" w:rsidR="00A15990" w:rsidRDefault="00A15990">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847C" w14:textId="77777777" w:rsidR="00A15990" w:rsidRDefault="00A1599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D52B" w14:textId="77777777" w:rsidR="00A15990" w:rsidRDefault="00A1599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05E5" w14:textId="77777777" w:rsidR="00A15990" w:rsidRDefault="00A15990">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32A9" w14:textId="77777777" w:rsidR="00A15990" w:rsidRDefault="00A1599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465A" w14:textId="77777777" w:rsidR="00A15990" w:rsidRDefault="00A1599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D111" w14:textId="77777777" w:rsidR="00A15990" w:rsidRDefault="00A15990">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D576" w14:textId="77777777" w:rsidR="00A15990" w:rsidRDefault="00A159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CD18" w14:textId="77777777" w:rsidR="005B3782" w:rsidRDefault="005B3782">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C6C1" w14:textId="77777777" w:rsidR="00A15990" w:rsidRDefault="00A1599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175B" w14:textId="77777777" w:rsidR="00A15990" w:rsidRDefault="00A15990">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AED7" w14:textId="77777777" w:rsidR="00A15990" w:rsidRDefault="00A15990">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63C7" w14:textId="77777777" w:rsidR="00A15990" w:rsidRDefault="00A1599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838B" w14:textId="77777777" w:rsidR="00A15990" w:rsidRDefault="00A15990">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3AB4" w14:textId="77777777" w:rsidR="00A15990" w:rsidRDefault="00A15990">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5C8A8" w14:textId="77777777" w:rsidR="00A15990" w:rsidRDefault="00A15990">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F6C0" w14:textId="77777777" w:rsidR="00A15990" w:rsidRDefault="00A15990">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2196" w14:textId="77777777" w:rsidR="00A15990" w:rsidRDefault="00A15990">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D0D7" w14:textId="77777777" w:rsidR="00A15990" w:rsidRDefault="00A159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065A" w14:textId="77777777" w:rsidR="005B3782" w:rsidRDefault="005B378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D4CB" w14:textId="77777777" w:rsidR="00A15990" w:rsidRDefault="00A15990">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DDB9" w14:textId="77777777" w:rsidR="00A15990" w:rsidRDefault="00A15990">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1991" w14:textId="77777777" w:rsidR="00A15990" w:rsidRDefault="00A15990">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4B4D" w14:textId="77777777" w:rsidR="00A15990" w:rsidRDefault="00A15990">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2570" w14:textId="77777777" w:rsidR="00A15990" w:rsidRDefault="00A15990">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3226" w14:textId="77777777" w:rsidR="00A15990" w:rsidRDefault="00A15990">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3C44" w14:textId="77777777" w:rsidR="00A15990" w:rsidRDefault="00A15990">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3BA2" w14:textId="77777777" w:rsidR="00A15990" w:rsidRDefault="00A15990">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9537" w14:textId="77777777" w:rsidR="00A15990" w:rsidRDefault="00A15990">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3420" w14:textId="77777777" w:rsidR="00A15990" w:rsidRDefault="00A159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932B" w14:textId="77777777" w:rsidR="005B3782" w:rsidRDefault="005B3782">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EA38" w14:textId="77777777" w:rsidR="00A15990" w:rsidRDefault="00A15990">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B617" w14:textId="77777777" w:rsidR="005B3782" w:rsidRDefault="005B3782">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20B1" w14:textId="77777777" w:rsidR="005B3782" w:rsidRDefault="005B378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8FF6" w14:textId="77777777" w:rsidR="005B3782" w:rsidRDefault="005B3782">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8EFA" w14:textId="77777777" w:rsidR="005B3782" w:rsidRDefault="005B3782">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DC40" w14:textId="77777777" w:rsidR="005B3782" w:rsidRDefault="005B3782">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D573" w14:textId="77777777" w:rsidR="005B3782" w:rsidRDefault="005B3782">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78E3" w14:textId="77777777" w:rsidR="005B3782" w:rsidRDefault="005B3782">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2879" w14:textId="77777777" w:rsidR="005B3782" w:rsidRDefault="005B3782">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9E16" w14:textId="77777777" w:rsidR="005B3782" w:rsidRDefault="005B3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2091B"/>
    <w:multiLevelType w:val="hybridMultilevel"/>
    <w:tmpl w:val="0BDC60C2"/>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9868A0"/>
    <w:multiLevelType w:val="hybridMultilevel"/>
    <w:tmpl w:val="32C2A90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EC3743"/>
    <w:multiLevelType w:val="hybridMultilevel"/>
    <w:tmpl w:val="1E7E21BE"/>
    <w:lvl w:ilvl="0" w:tplc="F9B098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D3768"/>
    <w:multiLevelType w:val="hybridMultilevel"/>
    <w:tmpl w:val="FFFFFFFF"/>
    <w:lvl w:ilvl="0" w:tplc="DDF0C67C">
      <w:start w:val="8"/>
      <w:numFmt w:val="decimal"/>
      <w:lvlText w:val="%1."/>
      <w:lvlJc w:val="left"/>
      <w:pPr>
        <w:ind w:left="720" w:hanging="360"/>
      </w:pPr>
      <w:rPr>
        <w:rFonts w:ascii="Calibri" w:hAnsi="Calibri" w:hint="default"/>
      </w:rPr>
    </w:lvl>
    <w:lvl w:ilvl="1" w:tplc="38E8673E">
      <w:start w:val="1"/>
      <w:numFmt w:val="lowerLetter"/>
      <w:lvlText w:val="%2."/>
      <w:lvlJc w:val="left"/>
      <w:pPr>
        <w:ind w:left="1440" w:hanging="360"/>
      </w:pPr>
    </w:lvl>
    <w:lvl w:ilvl="2" w:tplc="33E8910E">
      <w:start w:val="1"/>
      <w:numFmt w:val="lowerRoman"/>
      <w:lvlText w:val="%3."/>
      <w:lvlJc w:val="right"/>
      <w:pPr>
        <w:ind w:left="2160" w:hanging="180"/>
      </w:pPr>
    </w:lvl>
    <w:lvl w:ilvl="3" w:tplc="50B22B8C">
      <w:start w:val="1"/>
      <w:numFmt w:val="decimal"/>
      <w:lvlText w:val="%4."/>
      <w:lvlJc w:val="left"/>
      <w:pPr>
        <w:ind w:left="2880" w:hanging="360"/>
      </w:pPr>
    </w:lvl>
    <w:lvl w:ilvl="4" w:tplc="090C8E02">
      <w:start w:val="1"/>
      <w:numFmt w:val="lowerLetter"/>
      <w:lvlText w:val="%5."/>
      <w:lvlJc w:val="left"/>
      <w:pPr>
        <w:ind w:left="3600" w:hanging="360"/>
      </w:pPr>
    </w:lvl>
    <w:lvl w:ilvl="5" w:tplc="8660A99C">
      <w:start w:val="1"/>
      <w:numFmt w:val="lowerRoman"/>
      <w:lvlText w:val="%6."/>
      <w:lvlJc w:val="right"/>
      <w:pPr>
        <w:ind w:left="4320" w:hanging="180"/>
      </w:pPr>
    </w:lvl>
    <w:lvl w:ilvl="6" w:tplc="6DE691CE">
      <w:start w:val="1"/>
      <w:numFmt w:val="decimal"/>
      <w:lvlText w:val="%7."/>
      <w:lvlJc w:val="left"/>
      <w:pPr>
        <w:ind w:left="5040" w:hanging="360"/>
      </w:pPr>
    </w:lvl>
    <w:lvl w:ilvl="7" w:tplc="282EBCCE">
      <w:start w:val="1"/>
      <w:numFmt w:val="lowerLetter"/>
      <w:lvlText w:val="%8."/>
      <w:lvlJc w:val="left"/>
      <w:pPr>
        <w:ind w:left="5760" w:hanging="360"/>
      </w:pPr>
    </w:lvl>
    <w:lvl w:ilvl="8" w:tplc="CE7018EC">
      <w:start w:val="1"/>
      <w:numFmt w:val="lowerRoman"/>
      <w:lvlText w:val="%9."/>
      <w:lvlJc w:val="right"/>
      <w:pPr>
        <w:ind w:left="6480" w:hanging="180"/>
      </w:pPr>
    </w:lvl>
  </w:abstractNum>
  <w:abstractNum w:abstractNumId="8" w15:restartNumberingAfterBreak="0">
    <w:nsid w:val="0507090B"/>
    <w:multiLevelType w:val="hybridMultilevel"/>
    <w:tmpl w:val="22E61F54"/>
    <w:lvl w:ilvl="0" w:tplc="FFFFFFFF">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Yu Mincho Light" w:hAnsi="Yu Mincho Light" w:cs="Yu Mincho Light" w:hint="default"/>
      </w:rPr>
    </w:lvl>
    <w:lvl w:ilvl="2" w:tplc="18090005" w:tentative="1">
      <w:start w:val="1"/>
      <w:numFmt w:val="bullet"/>
      <w:lvlText w:val=""/>
      <w:lvlJc w:val="left"/>
      <w:pPr>
        <w:ind w:left="2220" w:hanging="360"/>
      </w:pPr>
      <w:rPr>
        <w:rFonts w:ascii="MS Mincho" w:hAnsi="MS Mincho" w:hint="default"/>
      </w:rPr>
    </w:lvl>
    <w:lvl w:ilvl="3" w:tplc="18090001" w:tentative="1">
      <w:start w:val="1"/>
      <w:numFmt w:val="bullet"/>
      <w:lvlText w:val=""/>
      <w:lvlJc w:val="left"/>
      <w:pPr>
        <w:ind w:left="2940" w:hanging="360"/>
      </w:pPr>
      <w:rPr>
        <w:rFonts w:ascii="MS Mincho" w:hAnsi="MS Mincho" w:hint="default"/>
      </w:rPr>
    </w:lvl>
    <w:lvl w:ilvl="4" w:tplc="18090003" w:tentative="1">
      <w:start w:val="1"/>
      <w:numFmt w:val="bullet"/>
      <w:lvlText w:val="o"/>
      <w:lvlJc w:val="left"/>
      <w:pPr>
        <w:ind w:left="3660" w:hanging="360"/>
      </w:pPr>
      <w:rPr>
        <w:rFonts w:ascii="Yu Mincho Light" w:hAnsi="Yu Mincho Light" w:cs="Yu Mincho Light" w:hint="default"/>
      </w:rPr>
    </w:lvl>
    <w:lvl w:ilvl="5" w:tplc="18090005" w:tentative="1">
      <w:start w:val="1"/>
      <w:numFmt w:val="bullet"/>
      <w:lvlText w:val=""/>
      <w:lvlJc w:val="left"/>
      <w:pPr>
        <w:ind w:left="4380" w:hanging="360"/>
      </w:pPr>
      <w:rPr>
        <w:rFonts w:ascii="MS Mincho" w:hAnsi="MS Mincho" w:hint="default"/>
      </w:rPr>
    </w:lvl>
    <w:lvl w:ilvl="6" w:tplc="18090001" w:tentative="1">
      <w:start w:val="1"/>
      <w:numFmt w:val="bullet"/>
      <w:lvlText w:val=""/>
      <w:lvlJc w:val="left"/>
      <w:pPr>
        <w:ind w:left="5100" w:hanging="360"/>
      </w:pPr>
      <w:rPr>
        <w:rFonts w:ascii="MS Mincho" w:hAnsi="MS Mincho" w:hint="default"/>
      </w:rPr>
    </w:lvl>
    <w:lvl w:ilvl="7" w:tplc="18090003" w:tentative="1">
      <w:start w:val="1"/>
      <w:numFmt w:val="bullet"/>
      <w:lvlText w:val="o"/>
      <w:lvlJc w:val="left"/>
      <w:pPr>
        <w:ind w:left="5820" w:hanging="360"/>
      </w:pPr>
      <w:rPr>
        <w:rFonts w:ascii="Yu Mincho Light" w:hAnsi="Yu Mincho Light" w:cs="Yu Mincho Light" w:hint="default"/>
      </w:rPr>
    </w:lvl>
    <w:lvl w:ilvl="8" w:tplc="18090005" w:tentative="1">
      <w:start w:val="1"/>
      <w:numFmt w:val="bullet"/>
      <w:lvlText w:val=""/>
      <w:lvlJc w:val="left"/>
      <w:pPr>
        <w:ind w:left="6540" w:hanging="360"/>
      </w:pPr>
      <w:rPr>
        <w:rFonts w:ascii="MS Mincho" w:hAnsi="MS Mincho" w:hint="default"/>
      </w:rPr>
    </w:lvl>
  </w:abstractNum>
  <w:abstractNum w:abstractNumId="9" w15:restartNumberingAfterBreak="0">
    <w:nsid w:val="0853DD90"/>
    <w:multiLevelType w:val="hybridMultilevel"/>
    <w:tmpl w:val="FFFFFFFF"/>
    <w:lvl w:ilvl="0" w:tplc="9B86F24C">
      <w:start w:val="1"/>
      <w:numFmt w:val="bullet"/>
      <w:lvlText w:val="-"/>
      <w:lvlJc w:val="left"/>
      <w:pPr>
        <w:ind w:left="720" w:hanging="360"/>
      </w:pPr>
      <w:rPr>
        <w:rFonts w:ascii="Arial" w:hAnsi="Arial" w:hint="default"/>
      </w:rPr>
    </w:lvl>
    <w:lvl w:ilvl="1" w:tplc="0C4E7CFA">
      <w:start w:val="1"/>
      <w:numFmt w:val="bullet"/>
      <w:lvlText w:val="o"/>
      <w:lvlJc w:val="left"/>
      <w:pPr>
        <w:ind w:left="1440" w:hanging="360"/>
      </w:pPr>
      <w:rPr>
        <w:rFonts w:ascii="Segoe UI Emoji" w:hAnsi="Segoe UI Emoji" w:hint="default"/>
      </w:rPr>
    </w:lvl>
    <w:lvl w:ilvl="2" w:tplc="21EE2022">
      <w:start w:val="1"/>
      <w:numFmt w:val="bullet"/>
      <w:lvlText w:val=""/>
      <w:lvlJc w:val="left"/>
      <w:pPr>
        <w:ind w:left="2160" w:hanging="360"/>
      </w:pPr>
      <w:rPr>
        <w:rFonts w:ascii="@MS Mincho" w:hAnsi="@MS Mincho" w:hint="default"/>
      </w:rPr>
    </w:lvl>
    <w:lvl w:ilvl="3" w:tplc="F8FA31DA">
      <w:start w:val="1"/>
      <w:numFmt w:val="bullet"/>
      <w:lvlText w:val=""/>
      <w:lvlJc w:val="left"/>
      <w:pPr>
        <w:ind w:left="2880" w:hanging="360"/>
      </w:pPr>
      <w:rPr>
        <w:rFonts w:ascii="Times New Roman félkövér" w:hAnsi="Times New Roman félkövér" w:hint="default"/>
      </w:rPr>
    </w:lvl>
    <w:lvl w:ilvl="4" w:tplc="045A305A">
      <w:start w:val="1"/>
      <w:numFmt w:val="bullet"/>
      <w:lvlText w:val="o"/>
      <w:lvlJc w:val="left"/>
      <w:pPr>
        <w:ind w:left="3600" w:hanging="360"/>
      </w:pPr>
      <w:rPr>
        <w:rFonts w:ascii="Segoe UI Emoji" w:hAnsi="Segoe UI Emoji" w:hint="default"/>
      </w:rPr>
    </w:lvl>
    <w:lvl w:ilvl="5" w:tplc="74125AAE">
      <w:start w:val="1"/>
      <w:numFmt w:val="bullet"/>
      <w:lvlText w:val=""/>
      <w:lvlJc w:val="left"/>
      <w:pPr>
        <w:ind w:left="4320" w:hanging="360"/>
      </w:pPr>
      <w:rPr>
        <w:rFonts w:ascii="@MS Mincho" w:hAnsi="@MS Mincho" w:hint="default"/>
      </w:rPr>
    </w:lvl>
    <w:lvl w:ilvl="6" w:tplc="2E8C3324">
      <w:start w:val="1"/>
      <w:numFmt w:val="bullet"/>
      <w:lvlText w:val=""/>
      <w:lvlJc w:val="left"/>
      <w:pPr>
        <w:ind w:left="5040" w:hanging="360"/>
      </w:pPr>
      <w:rPr>
        <w:rFonts w:ascii="Times New Roman félkövér" w:hAnsi="Times New Roman félkövér" w:hint="default"/>
      </w:rPr>
    </w:lvl>
    <w:lvl w:ilvl="7" w:tplc="6AD0341A">
      <w:start w:val="1"/>
      <w:numFmt w:val="bullet"/>
      <w:lvlText w:val="o"/>
      <w:lvlJc w:val="left"/>
      <w:pPr>
        <w:ind w:left="5760" w:hanging="360"/>
      </w:pPr>
      <w:rPr>
        <w:rFonts w:ascii="Segoe UI Emoji" w:hAnsi="Segoe UI Emoji" w:hint="default"/>
      </w:rPr>
    </w:lvl>
    <w:lvl w:ilvl="8" w:tplc="53ECFD58">
      <w:start w:val="1"/>
      <w:numFmt w:val="bullet"/>
      <w:lvlText w:val=""/>
      <w:lvlJc w:val="left"/>
      <w:pPr>
        <w:ind w:left="6480" w:hanging="360"/>
      </w:pPr>
      <w:rPr>
        <w:rFonts w:ascii="@MS Mincho" w:hAnsi="@MS Mincho" w:hint="default"/>
      </w:rPr>
    </w:lvl>
  </w:abstractNum>
  <w:abstractNum w:abstractNumId="10" w15:restartNumberingAfterBreak="0">
    <w:nsid w:val="0B7071AF"/>
    <w:multiLevelType w:val="hybridMultilevel"/>
    <w:tmpl w:val="338CE26C"/>
    <w:lvl w:ilvl="0" w:tplc="991C3E1E">
      <w:start w:val="1"/>
      <w:numFmt w:val="bullet"/>
      <w:lvlText w:val="-"/>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B9A3F81"/>
    <w:multiLevelType w:val="hybridMultilevel"/>
    <w:tmpl w:val="E17CE6DE"/>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C583D17"/>
    <w:multiLevelType w:val="hybridMultilevel"/>
    <w:tmpl w:val="B372B45A"/>
    <w:lvl w:ilvl="0" w:tplc="5EC66656">
      <w:start w:val="1"/>
      <w:numFmt w:val="bullet"/>
      <w:lvlText w:val=""/>
      <w:lvlJc w:val="left"/>
      <w:pPr>
        <w:ind w:left="720" w:hanging="360"/>
      </w:pPr>
      <w:rPr>
        <w:rFonts w:ascii="Symbol" w:hAnsi="Symbol"/>
      </w:rPr>
    </w:lvl>
    <w:lvl w:ilvl="1" w:tplc="6C1E4D28">
      <w:start w:val="1"/>
      <w:numFmt w:val="bullet"/>
      <w:lvlText w:val=""/>
      <w:lvlJc w:val="left"/>
      <w:pPr>
        <w:ind w:left="720" w:hanging="360"/>
      </w:pPr>
      <w:rPr>
        <w:rFonts w:ascii="Symbol" w:hAnsi="Symbol"/>
      </w:rPr>
    </w:lvl>
    <w:lvl w:ilvl="2" w:tplc="48B6CD7C">
      <w:start w:val="1"/>
      <w:numFmt w:val="bullet"/>
      <w:lvlText w:val=""/>
      <w:lvlJc w:val="left"/>
      <w:pPr>
        <w:ind w:left="720" w:hanging="360"/>
      </w:pPr>
      <w:rPr>
        <w:rFonts w:ascii="Symbol" w:hAnsi="Symbol"/>
      </w:rPr>
    </w:lvl>
    <w:lvl w:ilvl="3" w:tplc="8804AAEA">
      <w:start w:val="1"/>
      <w:numFmt w:val="bullet"/>
      <w:lvlText w:val=""/>
      <w:lvlJc w:val="left"/>
      <w:pPr>
        <w:ind w:left="720" w:hanging="360"/>
      </w:pPr>
      <w:rPr>
        <w:rFonts w:ascii="Symbol" w:hAnsi="Symbol"/>
      </w:rPr>
    </w:lvl>
    <w:lvl w:ilvl="4" w:tplc="7FBE0D5E">
      <w:start w:val="1"/>
      <w:numFmt w:val="bullet"/>
      <w:lvlText w:val=""/>
      <w:lvlJc w:val="left"/>
      <w:pPr>
        <w:ind w:left="720" w:hanging="360"/>
      </w:pPr>
      <w:rPr>
        <w:rFonts w:ascii="Symbol" w:hAnsi="Symbol"/>
      </w:rPr>
    </w:lvl>
    <w:lvl w:ilvl="5" w:tplc="55204034">
      <w:start w:val="1"/>
      <w:numFmt w:val="bullet"/>
      <w:lvlText w:val=""/>
      <w:lvlJc w:val="left"/>
      <w:pPr>
        <w:ind w:left="720" w:hanging="360"/>
      </w:pPr>
      <w:rPr>
        <w:rFonts w:ascii="Symbol" w:hAnsi="Symbol"/>
      </w:rPr>
    </w:lvl>
    <w:lvl w:ilvl="6" w:tplc="75747AF4">
      <w:start w:val="1"/>
      <w:numFmt w:val="bullet"/>
      <w:lvlText w:val=""/>
      <w:lvlJc w:val="left"/>
      <w:pPr>
        <w:ind w:left="720" w:hanging="360"/>
      </w:pPr>
      <w:rPr>
        <w:rFonts w:ascii="Symbol" w:hAnsi="Symbol"/>
      </w:rPr>
    </w:lvl>
    <w:lvl w:ilvl="7" w:tplc="5A6C7638">
      <w:start w:val="1"/>
      <w:numFmt w:val="bullet"/>
      <w:lvlText w:val=""/>
      <w:lvlJc w:val="left"/>
      <w:pPr>
        <w:ind w:left="720" w:hanging="360"/>
      </w:pPr>
      <w:rPr>
        <w:rFonts w:ascii="Symbol" w:hAnsi="Symbol"/>
      </w:rPr>
    </w:lvl>
    <w:lvl w:ilvl="8" w:tplc="DB141560">
      <w:start w:val="1"/>
      <w:numFmt w:val="bullet"/>
      <w:lvlText w:val=""/>
      <w:lvlJc w:val="left"/>
      <w:pPr>
        <w:ind w:left="720" w:hanging="360"/>
      </w:pPr>
      <w:rPr>
        <w:rFonts w:ascii="Symbol" w:hAnsi="Symbol"/>
      </w:rPr>
    </w:lvl>
  </w:abstractNum>
  <w:abstractNum w:abstractNumId="13" w15:restartNumberingAfterBreak="0">
    <w:nsid w:val="0C681D4E"/>
    <w:multiLevelType w:val="hybridMultilevel"/>
    <w:tmpl w:val="4E9642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90CBC6"/>
    <w:multiLevelType w:val="hybridMultilevel"/>
    <w:tmpl w:val="FFFFFFFF"/>
    <w:lvl w:ilvl="0" w:tplc="5762C3A6">
      <w:start w:val="1"/>
      <w:numFmt w:val="bullet"/>
      <w:lvlText w:val=""/>
      <w:lvlJc w:val="left"/>
      <w:pPr>
        <w:ind w:left="720" w:hanging="360"/>
      </w:pPr>
      <w:rPr>
        <w:rFonts w:ascii="Symbol" w:hAnsi="Symbol" w:hint="default"/>
      </w:rPr>
    </w:lvl>
    <w:lvl w:ilvl="1" w:tplc="523C60EA">
      <w:start w:val="1"/>
      <w:numFmt w:val="bullet"/>
      <w:lvlText w:val="o"/>
      <w:lvlJc w:val="left"/>
      <w:pPr>
        <w:ind w:left="1440" w:hanging="360"/>
      </w:pPr>
      <w:rPr>
        <w:rFonts w:ascii="Courier New" w:hAnsi="Courier New" w:hint="default"/>
      </w:rPr>
    </w:lvl>
    <w:lvl w:ilvl="2" w:tplc="8BFA6B86">
      <w:start w:val="1"/>
      <w:numFmt w:val="bullet"/>
      <w:lvlText w:val=""/>
      <w:lvlJc w:val="left"/>
      <w:pPr>
        <w:ind w:left="2160" w:hanging="360"/>
      </w:pPr>
      <w:rPr>
        <w:rFonts w:ascii="Wingdings" w:hAnsi="Wingdings" w:hint="default"/>
      </w:rPr>
    </w:lvl>
    <w:lvl w:ilvl="3" w:tplc="8842B4AE">
      <w:start w:val="1"/>
      <w:numFmt w:val="bullet"/>
      <w:lvlText w:val=""/>
      <w:lvlJc w:val="left"/>
      <w:pPr>
        <w:ind w:left="2880" w:hanging="360"/>
      </w:pPr>
      <w:rPr>
        <w:rFonts w:ascii="Symbol" w:hAnsi="Symbol" w:hint="default"/>
      </w:rPr>
    </w:lvl>
    <w:lvl w:ilvl="4" w:tplc="04A0D452">
      <w:start w:val="1"/>
      <w:numFmt w:val="bullet"/>
      <w:lvlText w:val="o"/>
      <w:lvlJc w:val="left"/>
      <w:pPr>
        <w:ind w:left="3600" w:hanging="360"/>
      </w:pPr>
      <w:rPr>
        <w:rFonts w:ascii="Courier New" w:hAnsi="Courier New" w:hint="default"/>
      </w:rPr>
    </w:lvl>
    <w:lvl w:ilvl="5" w:tplc="04F21308">
      <w:start w:val="1"/>
      <w:numFmt w:val="bullet"/>
      <w:lvlText w:val=""/>
      <w:lvlJc w:val="left"/>
      <w:pPr>
        <w:ind w:left="4320" w:hanging="360"/>
      </w:pPr>
      <w:rPr>
        <w:rFonts w:ascii="Wingdings" w:hAnsi="Wingdings" w:hint="default"/>
      </w:rPr>
    </w:lvl>
    <w:lvl w:ilvl="6" w:tplc="8BB88B5C">
      <w:start w:val="1"/>
      <w:numFmt w:val="bullet"/>
      <w:lvlText w:val=""/>
      <w:lvlJc w:val="left"/>
      <w:pPr>
        <w:ind w:left="5040" w:hanging="360"/>
      </w:pPr>
      <w:rPr>
        <w:rFonts w:ascii="Symbol" w:hAnsi="Symbol" w:hint="default"/>
      </w:rPr>
    </w:lvl>
    <w:lvl w:ilvl="7" w:tplc="C3DE9168">
      <w:start w:val="1"/>
      <w:numFmt w:val="bullet"/>
      <w:lvlText w:val="o"/>
      <w:lvlJc w:val="left"/>
      <w:pPr>
        <w:ind w:left="5760" w:hanging="360"/>
      </w:pPr>
      <w:rPr>
        <w:rFonts w:ascii="Courier New" w:hAnsi="Courier New" w:hint="default"/>
      </w:rPr>
    </w:lvl>
    <w:lvl w:ilvl="8" w:tplc="CEE831A4">
      <w:start w:val="1"/>
      <w:numFmt w:val="bullet"/>
      <w:lvlText w:val=""/>
      <w:lvlJc w:val="left"/>
      <w:pPr>
        <w:ind w:left="6480" w:hanging="360"/>
      </w:pPr>
      <w:rPr>
        <w:rFonts w:ascii="Wingdings" w:hAnsi="Wingdings" w:hint="default"/>
      </w:rPr>
    </w:lvl>
  </w:abstractNum>
  <w:abstractNum w:abstractNumId="15" w15:restartNumberingAfterBreak="0">
    <w:nsid w:val="0C990D6D"/>
    <w:multiLevelType w:val="hybridMultilevel"/>
    <w:tmpl w:val="9AE27DC0"/>
    <w:lvl w:ilvl="0" w:tplc="18090001">
      <w:start w:val="1"/>
      <w:numFmt w:val="bullet"/>
      <w:lvlText w:val=""/>
      <w:lvlJc w:val="left"/>
      <w:pPr>
        <w:ind w:left="720" w:hanging="360"/>
      </w:pPr>
      <w:rPr>
        <w:rFonts w:ascii="Times New Roman félkövér" w:hAnsi="Times New Roman félkövér" w:hint="default"/>
      </w:rPr>
    </w:lvl>
    <w:lvl w:ilvl="1" w:tplc="18090003" w:tentative="1">
      <w:start w:val="1"/>
      <w:numFmt w:val="bullet"/>
      <w:lvlText w:val="o"/>
      <w:lvlJc w:val="left"/>
      <w:pPr>
        <w:ind w:left="1440" w:hanging="360"/>
      </w:pPr>
      <w:rPr>
        <w:rFonts w:ascii="@MS Mincho" w:hAnsi="@MS Mincho" w:cs="@MS Mincho"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MS Mincho" w:hAnsi="@MS Mincho" w:cs="@MS Mincho"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MS Mincho" w:hAnsi="@MS Mincho" w:cs="@MS Mincho" w:hint="default"/>
      </w:rPr>
    </w:lvl>
    <w:lvl w:ilvl="8" w:tplc="18090005" w:tentative="1">
      <w:start w:val="1"/>
      <w:numFmt w:val="bullet"/>
      <w:lvlText w:val=""/>
      <w:lvlJc w:val="left"/>
      <w:pPr>
        <w:ind w:left="6480" w:hanging="360"/>
      </w:pPr>
      <w:rPr>
        <w:rFonts w:ascii="MS Mincho" w:hAnsi="MS Mincho" w:hint="default"/>
      </w:rPr>
    </w:lvl>
  </w:abstractNum>
  <w:abstractNum w:abstractNumId="16" w15:restartNumberingAfterBreak="0">
    <w:nsid w:val="0DFD6381"/>
    <w:multiLevelType w:val="hybridMultilevel"/>
    <w:tmpl w:val="5FA6E936"/>
    <w:lvl w:ilvl="0" w:tplc="B2AC25C2">
      <w:numFmt w:val="bullet"/>
      <w:lvlText w:val=""/>
      <w:lvlJc w:val="left"/>
      <w:pPr>
        <w:ind w:left="1080" w:hanging="360"/>
      </w:pPr>
      <w:rPr>
        <w:rFonts w:ascii="Symbol" w:eastAsiaTheme="minorEastAsia" w:hAnsi="Symbol" w:cs="Times New Roman" w:hint="default"/>
      </w:rPr>
    </w:lvl>
    <w:lvl w:ilvl="1" w:tplc="FFFFFFFF" w:tentative="1">
      <w:start w:val="1"/>
      <w:numFmt w:val="bullet"/>
      <w:lvlText w:val="o"/>
      <w:lvlJc w:val="left"/>
      <w:pPr>
        <w:ind w:left="1800" w:hanging="360"/>
      </w:pPr>
      <w:rPr>
        <w:rFonts w:ascii="@MS Mincho" w:hAnsi="@MS Mincho" w:cs="@MS Mincho" w:hint="default"/>
      </w:rPr>
    </w:lvl>
    <w:lvl w:ilvl="2" w:tplc="FFFFFFFF" w:tentative="1">
      <w:start w:val="1"/>
      <w:numFmt w:val="bullet"/>
      <w:lvlText w:val=""/>
      <w:lvlJc w:val="left"/>
      <w:pPr>
        <w:ind w:left="2520" w:hanging="360"/>
      </w:pPr>
      <w:rPr>
        <w:rFonts w:ascii="MS Mincho" w:hAnsi="MS Mincho" w:hint="default"/>
      </w:rPr>
    </w:lvl>
    <w:lvl w:ilvl="3" w:tplc="FFFFFFFF" w:tentative="1">
      <w:start w:val="1"/>
      <w:numFmt w:val="bullet"/>
      <w:lvlText w:val=""/>
      <w:lvlJc w:val="left"/>
      <w:pPr>
        <w:ind w:left="3240" w:hanging="360"/>
      </w:pPr>
      <w:rPr>
        <w:rFonts w:ascii="Times New Roman félkövér" w:hAnsi="Times New Roman félkövér" w:hint="default"/>
      </w:rPr>
    </w:lvl>
    <w:lvl w:ilvl="4" w:tplc="FFFFFFFF" w:tentative="1">
      <w:start w:val="1"/>
      <w:numFmt w:val="bullet"/>
      <w:lvlText w:val="o"/>
      <w:lvlJc w:val="left"/>
      <w:pPr>
        <w:ind w:left="3960" w:hanging="360"/>
      </w:pPr>
      <w:rPr>
        <w:rFonts w:ascii="@MS Mincho" w:hAnsi="@MS Mincho" w:cs="@MS Mincho" w:hint="default"/>
      </w:rPr>
    </w:lvl>
    <w:lvl w:ilvl="5" w:tplc="FFFFFFFF" w:tentative="1">
      <w:start w:val="1"/>
      <w:numFmt w:val="bullet"/>
      <w:lvlText w:val=""/>
      <w:lvlJc w:val="left"/>
      <w:pPr>
        <w:ind w:left="4680" w:hanging="360"/>
      </w:pPr>
      <w:rPr>
        <w:rFonts w:ascii="MS Mincho" w:hAnsi="MS Mincho" w:hint="default"/>
      </w:rPr>
    </w:lvl>
    <w:lvl w:ilvl="6" w:tplc="FFFFFFFF" w:tentative="1">
      <w:start w:val="1"/>
      <w:numFmt w:val="bullet"/>
      <w:lvlText w:val=""/>
      <w:lvlJc w:val="left"/>
      <w:pPr>
        <w:ind w:left="5400" w:hanging="360"/>
      </w:pPr>
      <w:rPr>
        <w:rFonts w:ascii="Times New Roman félkövér" w:hAnsi="Times New Roman félkövér" w:hint="default"/>
      </w:rPr>
    </w:lvl>
    <w:lvl w:ilvl="7" w:tplc="FFFFFFFF" w:tentative="1">
      <w:start w:val="1"/>
      <w:numFmt w:val="bullet"/>
      <w:lvlText w:val="o"/>
      <w:lvlJc w:val="left"/>
      <w:pPr>
        <w:ind w:left="6120" w:hanging="360"/>
      </w:pPr>
      <w:rPr>
        <w:rFonts w:ascii="@MS Mincho" w:hAnsi="@MS Mincho" w:cs="@MS Mincho" w:hint="default"/>
      </w:rPr>
    </w:lvl>
    <w:lvl w:ilvl="8" w:tplc="FFFFFFFF" w:tentative="1">
      <w:start w:val="1"/>
      <w:numFmt w:val="bullet"/>
      <w:lvlText w:val=""/>
      <w:lvlJc w:val="left"/>
      <w:pPr>
        <w:ind w:left="6840" w:hanging="360"/>
      </w:pPr>
      <w:rPr>
        <w:rFonts w:ascii="MS Mincho" w:hAnsi="MS Mincho" w:hint="default"/>
      </w:rPr>
    </w:lvl>
  </w:abstractNum>
  <w:abstractNum w:abstractNumId="17" w15:restartNumberingAfterBreak="0">
    <w:nsid w:val="0E686556"/>
    <w:multiLevelType w:val="hybridMultilevel"/>
    <w:tmpl w:val="C554E2BA"/>
    <w:lvl w:ilvl="0" w:tplc="FFFFFFFF">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B2AC25C2">
      <w:numFmt w:val="bullet"/>
      <w:lvlText w:val=""/>
      <w:lvlJc w:val="left"/>
      <w:pPr>
        <w:ind w:left="3600" w:hanging="720"/>
      </w:pPr>
      <w:rPr>
        <w:rFonts w:ascii="Symbol" w:eastAsiaTheme="minorEastAsia"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9FECC5"/>
    <w:multiLevelType w:val="hybridMultilevel"/>
    <w:tmpl w:val="FFFFFFFF"/>
    <w:lvl w:ilvl="0" w:tplc="2DBC04E0">
      <w:start w:val="2"/>
      <w:numFmt w:val="decimal"/>
      <w:lvlText w:val="%1."/>
      <w:lvlJc w:val="left"/>
      <w:pPr>
        <w:ind w:left="720" w:hanging="360"/>
      </w:pPr>
      <w:rPr>
        <w:rFonts w:ascii="Arial" w:hAnsi="Arial" w:hint="default"/>
      </w:rPr>
    </w:lvl>
    <w:lvl w:ilvl="1" w:tplc="66E873C6">
      <w:start w:val="1"/>
      <w:numFmt w:val="lowerLetter"/>
      <w:lvlText w:val="%2."/>
      <w:lvlJc w:val="left"/>
      <w:pPr>
        <w:ind w:left="1440" w:hanging="360"/>
      </w:pPr>
    </w:lvl>
    <w:lvl w:ilvl="2" w:tplc="E3A4A870">
      <w:start w:val="1"/>
      <w:numFmt w:val="lowerRoman"/>
      <w:lvlText w:val="%3."/>
      <w:lvlJc w:val="right"/>
      <w:pPr>
        <w:ind w:left="2160" w:hanging="180"/>
      </w:pPr>
    </w:lvl>
    <w:lvl w:ilvl="3" w:tplc="827099A4">
      <w:start w:val="1"/>
      <w:numFmt w:val="decimal"/>
      <w:lvlText w:val="%4."/>
      <w:lvlJc w:val="left"/>
      <w:pPr>
        <w:ind w:left="2880" w:hanging="360"/>
      </w:pPr>
    </w:lvl>
    <w:lvl w:ilvl="4" w:tplc="8D2EC904">
      <w:start w:val="1"/>
      <w:numFmt w:val="lowerLetter"/>
      <w:lvlText w:val="%5."/>
      <w:lvlJc w:val="left"/>
      <w:pPr>
        <w:ind w:left="3600" w:hanging="360"/>
      </w:pPr>
    </w:lvl>
    <w:lvl w:ilvl="5" w:tplc="291C5CEC">
      <w:start w:val="1"/>
      <w:numFmt w:val="lowerRoman"/>
      <w:lvlText w:val="%6."/>
      <w:lvlJc w:val="right"/>
      <w:pPr>
        <w:ind w:left="4320" w:hanging="180"/>
      </w:pPr>
    </w:lvl>
    <w:lvl w:ilvl="6" w:tplc="3E3E39AA">
      <w:start w:val="1"/>
      <w:numFmt w:val="decimal"/>
      <w:lvlText w:val="%7."/>
      <w:lvlJc w:val="left"/>
      <w:pPr>
        <w:ind w:left="5040" w:hanging="360"/>
      </w:pPr>
    </w:lvl>
    <w:lvl w:ilvl="7" w:tplc="AED002D2">
      <w:start w:val="1"/>
      <w:numFmt w:val="lowerLetter"/>
      <w:lvlText w:val="%8."/>
      <w:lvlJc w:val="left"/>
      <w:pPr>
        <w:ind w:left="5760" w:hanging="360"/>
      </w:pPr>
    </w:lvl>
    <w:lvl w:ilvl="8" w:tplc="896C89B0">
      <w:start w:val="1"/>
      <w:numFmt w:val="lowerRoman"/>
      <w:lvlText w:val="%9."/>
      <w:lvlJc w:val="right"/>
      <w:pPr>
        <w:ind w:left="6480" w:hanging="180"/>
      </w:pPr>
    </w:lvl>
  </w:abstractNum>
  <w:abstractNum w:abstractNumId="19" w15:restartNumberingAfterBreak="0">
    <w:nsid w:val="10B46BD6"/>
    <w:multiLevelType w:val="hybridMultilevel"/>
    <w:tmpl w:val="8FF4FAA2"/>
    <w:lvl w:ilvl="0" w:tplc="991C3E1E">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2242160"/>
    <w:multiLevelType w:val="hybridMultilevel"/>
    <w:tmpl w:val="D43A42EE"/>
    <w:lvl w:ilvl="0" w:tplc="37B223E2">
      <w:start w:val="1"/>
      <w:numFmt w:val="bullet"/>
      <w:lvlText w:val=""/>
      <w:lvlJc w:val="left"/>
      <w:pPr>
        <w:ind w:left="1004" w:hanging="360"/>
      </w:pPr>
      <w:rPr>
        <w:rFonts w:ascii="Times New Roman félkövér" w:hAnsi="Times New Roman félkövér"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21" w15:restartNumberingAfterBreak="0">
    <w:nsid w:val="14BC9304"/>
    <w:multiLevelType w:val="hybridMultilevel"/>
    <w:tmpl w:val="FFFFFFFF"/>
    <w:lvl w:ilvl="0" w:tplc="946A4DA8">
      <w:start w:val="9"/>
      <w:numFmt w:val="decimal"/>
      <w:lvlText w:val="%1."/>
      <w:lvlJc w:val="left"/>
      <w:pPr>
        <w:ind w:left="720" w:hanging="360"/>
      </w:pPr>
      <w:rPr>
        <w:rFonts w:ascii="Calibri" w:hAnsi="Calibri" w:hint="default"/>
      </w:rPr>
    </w:lvl>
    <w:lvl w:ilvl="1" w:tplc="BE925662">
      <w:start w:val="1"/>
      <w:numFmt w:val="lowerLetter"/>
      <w:lvlText w:val="%2."/>
      <w:lvlJc w:val="left"/>
      <w:pPr>
        <w:ind w:left="1440" w:hanging="360"/>
      </w:pPr>
    </w:lvl>
    <w:lvl w:ilvl="2" w:tplc="6972B792">
      <w:start w:val="1"/>
      <w:numFmt w:val="lowerRoman"/>
      <w:lvlText w:val="%3."/>
      <w:lvlJc w:val="right"/>
      <w:pPr>
        <w:ind w:left="2160" w:hanging="180"/>
      </w:pPr>
    </w:lvl>
    <w:lvl w:ilvl="3" w:tplc="D96C8D54">
      <w:start w:val="1"/>
      <w:numFmt w:val="decimal"/>
      <w:lvlText w:val="%4."/>
      <w:lvlJc w:val="left"/>
      <w:pPr>
        <w:ind w:left="2880" w:hanging="360"/>
      </w:pPr>
    </w:lvl>
    <w:lvl w:ilvl="4" w:tplc="7038816E">
      <w:start w:val="1"/>
      <w:numFmt w:val="lowerLetter"/>
      <w:lvlText w:val="%5."/>
      <w:lvlJc w:val="left"/>
      <w:pPr>
        <w:ind w:left="3600" w:hanging="360"/>
      </w:pPr>
    </w:lvl>
    <w:lvl w:ilvl="5" w:tplc="FBFA4DAA">
      <w:start w:val="1"/>
      <w:numFmt w:val="lowerRoman"/>
      <w:lvlText w:val="%6."/>
      <w:lvlJc w:val="right"/>
      <w:pPr>
        <w:ind w:left="4320" w:hanging="180"/>
      </w:pPr>
    </w:lvl>
    <w:lvl w:ilvl="6" w:tplc="F1FE5F90">
      <w:start w:val="1"/>
      <w:numFmt w:val="decimal"/>
      <w:lvlText w:val="%7."/>
      <w:lvlJc w:val="left"/>
      <w:pPr>
        <w:ind w:left="5040" w:hanging="360"/>
      </w:pPr>
    </w:lvl>
    <w:lvl w:ilvl="7" w:tplc="93C44108">
      <w:start w:val="1"/>
      <w:numFmt w:val="lowerLetter"/>
      <w:lvlText w:val="%8."/>
      <w:lvlJc w:val="left"/>
      <w:pPr>
        <w:ind w:left="5760" w:hanging="360"/>
      </w:pPr>
    </w:lvl>
    <w:lvl w:ilvl="8" w:tplc="2AC07D90">
      <w:start w:val="1"/>
      <w:numFmt w:val="lowerRoman"/>
      <w:lvlText w:val="%9."/>
      <w:lvlJc w:val="right"/>
      <w:pPr>
        <w:ind w:left="6480" w:hanging="180"/>
      </w:pPr>
    </w:lvl>
  </w:abstractNum>
  <w:abstractNum w:abstractNumId="22" w15:restartNumberingAfterBreak="0">
    <w:nsid w:val="157F6626"/>
    <w:multiLevelType w:val="hybridMultilevel"/>
    <w:tmpl w:val="3502E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613FA9"/>
    <w:multiLevelType w:val="hybridMultilevel"/>
    <w:tmpl w:val="D0B64B60"/>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2F08CF"/>
    <w:multiLevelType w:val="hybridMultilevel"/>
    <w:tmpl w:val="0054108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MS Mincho" w:hAnsi="MS Mincho" w:hint="default"/>
      </w:rPr>
    </w:lvl>
    <w:lvl w:ilvl="3" w:tplc="FFFFFFFF" w:tentative="1">
      <w:start w:val="1"/>
      <w:numFmt w:val="bullet"/>
      <w:lvlText w:val=""/>
      <w:lvlJc w:val="left"/>
      <w:pPr>
        <w:ind w:left="2880" w:hanging="360"/>
      </w:pPr>
      <w:rPr>
        <w:rFonts w:ascii="Times New Roman félkövér" w:hAnsi="Times New Roman félkövér"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MS Mincho" w:hAnsi="MS Mincho" w:hint="default"/>
      </w:rPr>
    </w:lvl>
    <w:lvl w:ilvl="6" w:tplc="FFFFFFFF" w:tentative="1">
      <w:start w:val="1"/>
      <w:numFmt w:val="bullet"/>
      <w:lvlText w:val=""/>
      <w:lvlJc w:val="left"/>
      <w:pPr>
        <w:ind w:left="5040" w:hanging="360"/>
      </w:pPr>
      <w:rPr>
        <w:rFonts w:ascii="Times New Roman félkövér" w:hAnsi="Times New Roman félkövér"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MS Mincho" w:hAnsi="MS Mincho" w:hint="default"/>
      </w:rPr>
    </w:lvl>
  </w:abstractNum>
  <w:abstractNum w:abstractNumId="25" w15:restartNumberingAfterBreak="0">
    <w:nsid w:val="1AB43499"/>
    <w:multiLevelType w:val="hybridMultilevel"/>
    <w:tmpl w:val="229035E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15:restartNumberingAfterBreak="0">
    <w:nsid w:val="2081216A"/>
    <w:multiLevelType w:val="hybridMultilevel"/>
    <w:tmpl w:val="4B021F8C"/>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2624070"/>
    <w:multiLevelType w:val="hybridMultilevel"/>
    <w:tmpl w:val="8E7008C4"/>
    <w:lvl w:ilvl="0" w:tplc="991C3E1E">
      <w:start w:val="1"/>
      <w:numFmt w:val="bullet"/>
      <w:lvlText w:val="-"/>
      <w:lvlJc w:val="left"/>
      <w:pPr>
        <w:ind w:left="776" w:hanging="360"/>
      </w:pPr>
      <w:rPr>
        <w:rFonts w:ascii="Calibri" w:hAnsi="Calibri"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009700"/>
    <w:multiLevelType w:val="hybridMultilevel"/>
    <w:tmpl w:val="FFFFFFFF"/>
    <w:lvl w:ilvl="0" w:tplc="99B43E64">
      <w:start w:val="1"/>
      <w:numFmt w:val="decimal"/>
      <w:lvlText w:val="%1."/>
      <w:lvlJc w:val="left"/>
      <w:pPr>
        <w:ind w:left="720" w:hanging="360"/>
      </w:pPr>
    </w:lvl>
    <w:lvl w:ilvl="1" w:tplc="CCEE7EBA">
      <w:start w:val="1"/>
      <w:numFmt w:val="lowerLetter"/>
      <w:lvlText w:val="%2."/>
      <w:lvlJc w:val="left"/>
      <w:pPr>
        <w:ind w:left="1440" w:hanging="360"/>
      </w:pPr>
    </w:lvl>
    <w:lvl w:ilvl="2" w:tplc="05B68F20">
      <w:start w:val="1"/>
      <w:numFmt w:val="lowerRoman"/>
      <w:lvlText w:val="%3."/>
      <w:lvlJc w:val="right"/>
      <w:pPr>
        <w:ind w:left="2160" w:hanging="180"/>
      </w:pPr>
    </w:lvl>
    <w:lvl w:ilvl="3" w:tplc="4ED244CE">
      <w:start w:val="1"/>
      <w:numFmt w:val="decimal"/>
      <w:lvlText w:val="%4."/>
      <w:lvlJc w:val="left"/>
      <w:pPr>
        <w:ind w:left="2880" w:hanging="360"/>
      </w:pPr>
    </w:lvl>
    <w:lvl w:ilvl="4" w:tplc="EB8266EA">
      <w:start w:val="1"/>
      <w:numFmt w:val="lowerLetter"/>
      <w:lvlText w:val="%5."/>
      <w:lvlJc w:val="left"/>
      <w:pPr>
        <w:ind w:left="3600" w:hanging="360"/>
      </w:pPr>
    </w:lvl>
    <w:lvl w:ilvl="5" w:tplc="BF6ABFE8">
      <w:start w:val="1"/>
      <w:numFmt w:val="lowerRoman"/>
      <w:lvlText w:val="%6."/>
      <w:lvlJc w:val="right"/>
      <w:pPr>
        <w:ind w:left="4320" w:hanging="180"/>
      </w:pPr>
    </w:lvl>
    <w:lvl w:ilvl="6" w:tplc="CD3E4BBE">
      <w:start w:val="1"/>
      <w:numFmt w:val="decimal"/>
      <w:lvlText w:val="%7."/>
      <w:lvlJc w:val="left"/>
      <w:pPr>
        <w:ind w:left="5040" w:hanging="360"/>
      </w:pPr>
    </w:lvl>
    <w:lvl w:ilvl="7" w:tplc="24F2CCC0">
      <w:start w:val="1"/>
      <w:numFmt w:val="lowerLetter"/>
      <w:lvlText w:val="%8."/>
      <w:lvlJc w:val="left"/>
      <w:pPr>
        <w:ind w:left="5760" w:hanging="360"/>
      </w:pPr>
    </w:lvl>
    <w:lvl w:ilvl="8" w:tplc="82AC6408">
      <w:start w:val="1"/>
      <w:numFmt w:val="lowerRoman"/>
      <w:lvlText w:val="%9."/>
      <w:lvlJc w:val="right"/>
      <w:pPr>
        <w:ind w:left="6480" w:hanging="180"/>
      </w:pPr>
    </w:lvl>
  </w:abstractNum>
  <w:abstractNum w:abstractNumId="31" w15:restartNumberingAfterBreak="0">
    <w:nsid w:val="252E0C0D"/>
    <w:multiLevelType w:val="hybridMultilevel"/>
    <w:tmpl w:val="E09411D6"/>
    <w:lvl w:ilvl="0" w:tplc="991C3E1E">
      <w:start w:val="1"/>
      <w:numFmt w:val="bullet"/>
      <w:lvlText w:val="-"/>
      <w:lvlJc w:val="left"/>
      <w:pPr>
        <w:ind w:left="1080" w:hanging="720"/>
      </w:pPr>
      <w:rPr>
        <w:rFonts w:ascii="Calibri" w:hAnsi="Calibri"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253BC87E"/>
    <w:multiLevelType w:val="hybridMultilevel"/>
    <w:tmpl w:val="FFFFFFFF"/>
    <w:lvl w:ilvl="0" w:tplc="DFC40566">
      <w:start w:val="1"/>
      <w:numFmt w:val="bullet"/>
      <w:lvlText w:val="-"/>
      <w:lvlJc w:val="left"/>
      <w:pPr>
        <w:ind w:left="720" w:hanging="360"/>
      </w:pPr>
      <w:rPr>
        <w:rFonts w:ascii="Calibri" w:hAnsi="Calibri" w:hint="default"/>
      </w:rPr>
    </w:lvl>
    <w:lvl w:ilvl="1" w:tplc="605AC882">
      <w:start w:val="1"/>
      <w:numFmt w:val="bullet"/>
      <w:lvlText w:val="o"/>
      <w:lvlJc w:val="left"/>
      <w:pPr>
        <w:ind w:left="1440" w:hanging="360"/>
      </w:pPr>
      <w:rPr>
        <w:rFonts w:ascii="Courier New" w:hAnsi="Courier New" w:hint="default"/>
      </w:rPr>
    </w:lvl>
    <w:lvl w:ilvl="2" w:tplc="B2CCB334">
      <w:start w:val="1"/>
      <w:numFmt w:val="bullet"/>
      <w:lvlText w:val=""/>
      <w:lvlJc w:val="left"/>
      <w:pPr>
        <w:ind w:left="2160" w:hanging="360"/>
      </w:pPr>
      <w:rPr>
        <w:rFonts w:ascii="Wingdings" w:hAnsi="Wingdings" w:hint="default"/>
      </w:rPr>
    </w:lvl>
    <w:lvl w:ilvl="3" w:tplc="62502F0C">
      <w:start w:val="1"/>
      <w:numFmt w:val="bullet"/>
      <w:lvlText w:val=""/>
      <w:lvlJc w:val="left"/>
      <w:pPr>
        <w:ind w:left="2880" w:hanging="360"/>
      </w:pPr>
      <w:rPr>
        <w:rFonts w:ascii="Symbol" w:hAnsi="Symbol" w:hint="default"/>
      </w:rPr>
    </w:lvl>
    <w:lvl w:ilvl="4" w:tplc="6652CB26">
      <w:start w:val="1"/>
      <w:numFmt w:val="bullet"/>
      <w:lvlText w:val="o"/>
      <w:lvlJc w:val="left"/>
      <w:pPr>
        <w:ind w:left="3600" w:hanging="360"/>
      </w:pPr>
      <w:rPr>
        <w:rFonts w:ascii="Courier New" w:hAnsi="Courier New" w:hint="default"/>
      </w:rPr>
    </w:lvl>
    <w:lvl w:ilvl="5" w:tplc="E4E83CC2">
      <w:start w:val="1"/>
      <w:numFmt w:val="bullet"/>
      <w:lvlText w:val=""/>
      <w:lvlJc w:val="left"/>
      <w:pPr>
        <w:ind w:left="4320" w:hanging="360"/>
      </w:pPr>
      <w:rPr>
        <w:rFonts w:ascii="Wingdings" w:hAnsi="Wingdings" w:hint="default"/>
      </w:rPr>
    </w:lvl>
    <w:lvl w:ilvl="6" w:tplc="61C2AD16">
      <w:start w:val="1"/>
      <w:numFmt w:val="bullet"/>
      <w:lvlText w:val=""/>
      <w:lvlJc w:val="left"/>
      <w:pPr>
        <w:ind w:left="5040" w:hanging="360"/>
      </w:pPr>
      <w:rPr>
        <w:rFonts w:ascii="Symbol" w:hAnsi="Symbol" w:hint="default"/>
      </w:rPr>
    </w:lvl>
    <w:lvl w:ilvl="7" w:tplc="D716F0BA">
      <w:start w:val="1"/>
      <w:numFmt w:val="bullet"/>
      <w:lvlText w:val="o"/>
      <w:lvlJc w:val="left"/>
      <w:pPr>
        <w:ind w:left="5760" w:hanging="360"/>
      </w:pPr>
      <w:rPr>
        <w:rFonts w:ascii="Courier New" w:hAnsi="Courier New" w:hint="default"/>
      </w:rPr>
    </w:lvl>
    <w:lvl w:ilvl="8" w:tplc="A27AAE5C">
      <w:start w:val="1"/>
      <w:numFmt w:val="bullet"/>
      <w:lvlText w:val=""/>
      <w:lvlJc w:val="left"/>
      <w:pPr>
        <w:ind w:left="6480" w:hanging="360"/>
      </w:pPr>
      <w:rPr>
        <w:rFonts w:ascii="Wingdings" w:hAnsi="Wingdings" w:hint="default"/>
      </w:rPr>
    </w:lvl>
  </w:abstractNum>
  <w:abstractNum w:abstractNumId="33" w15:restartNumberingAfterBreak="0">
    <w:nsid w:val="25F7EFAC"/>
    <w:multiLevelType w:val="hybridMultilevel"/>
    <w:tmpl w:val="FFFFFFFF"/>
    <w:lvl w:ilvl="0" w:tplc="B4944A2A">
      <w:start w:val="1"/>
      <w:numFmt w:val="bullet"/>
      <w:lvlText w:val=""/>
      <w:lvlJc w:val="left"/>
      <w:pPr>
        <w:ind w:left="720" w:hanging="360"/>
      </w:pPr>
      <w:rPr>
        <w:rFonts w:ascii="Symbol" w:hAnsi="Symbol" w:hint="default"/>
      </w:rPr>
    </w:lvl>
    <w:lvl w:ilvl="1" w:tplc="B386AABC">
      <w:start w:val="1"/>
      <w:numFmt w:val="bullet"/>
      <w:lvlText w:val="o"/>
      <w:lvlJc w:val="left"/>
      <w:pPr>
        <w:ind w:left="1440" w:hanging="360"/>
      </w:pPr>
      <w:rPr>
        <w:rFonts w:ascii="Courier New" w:hAnsi="Courier New" w:hint="default"/>
      </w:rPr>
    </w:lvl>
    <w:lvl w:ilvl="2" w:tplc="88083F64">
      <w:start w:val="1"/>
      <w:numFmt w:val="bullet"/>
      <w:lvlText w:val=""/>
      <w:lvlJc w:val="left"/>
      <w:pPr>
        <w:ind w:left="2160" w:hanging="360"/>
      </w:pPr>
      <w:rPr>
        <w:rFonts w:ascii="Wingdings" w:hAnsi="Wingdings" w:hint="default"/>
      </w:rPr>
    </w:lvl>
    <w:lvl w:ilvl="3" w:tplc="3314D7D4">
      <w:start w:val="1"/>
      <w:numFmt w:val="bullet"/>
      <w:lvlText w:val=""/>
      <w:lvlJc w:val="left"/>
      <w:pPr>
        <w:ind w:left="2880" w:hanging="360"/>
      </w:pPr>
      <w:rPr>
        <w:rFonts w:ascii="Symbol" w:hAnsi="Symbol" w:hint="default"/>
      </w:rPr>
    </w:lvl>
    <w:lvl w:ilvl="4" w:tplc="86B8C04C">
      <w:start w:val="1"/>
      <w:numFmt w:val="bullet"/>
      <w:lvlText w:val="o"/>
      <w:lvlJc w:val="left"/>
      <w:pPr>
        <w:ind w:left="3600" w:hanging="360"/>
      </w:pPr>
      <w:rPr>
        <w:rFonts w:ascii="Courier New" w:hAnsi="Courier New" w:hint="default"/>
      </w:rPr>
    </w:lvl>
    <w:lvl w:ilvl="5" w:tplc="D1F069F0">
      <w:start w:val="1"/>
      <w:numFmt w:val="bullet"/>
      <w:lvlText w:val=""/>
      <w:lvlJc w:val="left"/>
      <w:pPr>
        <w:ind w:left="4320" w:hanging="360"/>
      </w:pPr>
      <w:rPr>
        <w:rFonts w:ascii="Wingdings" w:hAnsi="Wingdings" w:hint="default"/>
      </w:rPr>
    </w:lvl>
    <w:lvl w:ilvl="6" w:tplc="80A26088">
      <w:start w:val="1"/>
      <w:numFmt w:val="bullet"/>
      <w:lvlText w:val=""/>
      <w:lvlJc w:val="left"/>
      <w:pPr>
        <w:ind w:left="5040" w:hanging="360"/>
      </w:pPr>
      <w:rPr>
        <w:rFonts w:ascii="Symbol" w:hAnsi="Symbol" w:hint="default"/>
      </w:rPr>
    </w:lvl>
    <w:lvl w:ilvl="7" w:tplc="A8E01994">
      <w:start w:val="1"/>
      <w:numFmt w:val="bullet"/>
      <w:lvlText w:val="o"/>
      <w:lvlJc w:val="left"/>
      <w:pPr>
        <w:ind w:left="5760" w:hanging="360"/>
      </w:pPr>
      <w:rPr>
        <w:rFonts w:ascii="Courier New" w:hAnsi="Courier New" w:hint="default"/>
      </w:rPr>
    </w:lvl>
    <w:lvl w:ilvl="8" w:tplc="C6124E5A">
      <w:start w:val="1"/>
      <w:numFmt w:val="bullet"/>
      <w:lvlText w:val=""/>
      <w:lvlJc w:val="left"/>
      <w:pPr>
        <w:ind w:left="6480" w:hanging="360"/>
      </w:pPr>
      <w:rPr>
        <w:rFonts w:ascii="Wingdings" w:hAnsi="Wingdings" w:hint="default"/>
      </w:rPr>
    </w:lvl>
  </w:abstractNum>
  <w:abstractNum w:abstractNumId="34" w15:restartNumberingAfterBreak="0">
    <w:nsid w:val="27174F45"/>
    <w:multiLevelType w:val="hybridMultilevel"/>
    <w:tmpl w:val="B30C8676"/>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8B227E"/>
    <w:multiLevelType w:val="hybridMultilevel"/>
    <w:tmpl w:val="ED3E031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AE5023"/>
    <w:multiLevelType w:val="hybridMultilevel"/>
    <w:tmpl w:val="44E8D442"/>
    <w:lvl w:ilvl="0" w:tplc="3F16C13A">
      <w:start w:val="1"/>
      <w:numFmt w:val="decimal"/>
      <w:lvlText w:val="%1."/>
      <w:lvlJc w:val="left"/>
      <w:pPr>
        <w:ind w:left="720" w:hanging="360"/>
      </w:pPr>
      <w:rPr>
        <w:rFonts w:ascii="Segoe UI Emoji" w:eastAsiaTheme="minorHAnsi" w:hAnsi="Segoe UI Emoji" w:cs="Segoe UI Emoj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9" w15:restartNumberingAfterBreak="0">
    <w:nsid w:val="2D27ABB0"/>
    <w:multiLevelType w:val="hybridMultilevel"/>
    <w:tmpl w:val="1348036C"/>
    <w:lvl w:ilvl="0" w:tplc="18090001">
      <w:start w:val="1"/>
      <w:numFmt w:val="bullet"/>
      <w:lvlText w:val=""/>
      <w:lvlJc w:val="left"/>
      <w:pPr>
        <w:ind w:left="720" w:hanging="360"/>
      </w:pPr>
      <w:rPr>
        <w:rFonts w:ascii="Segoe UI Emoji" w:hAnsi="Segoe UI Emoji" w:hint="default"/>
      </w:rPr>
    </w:lvl>
    <w:lvl w:ilvl="1" w:tplc="1CC29F7A">
      <w:start w:val="1"/>
      <w:numFmt w:val="bullet"/>
      <w:lvlText w:val="o"/>
      <w:lvlJc w:val="left"/>
      <w:pPr>
        <w:ind w:left="1440" w:hanging="360"/>
      </w:pPr>
      <w:rPr>
        <w:rFonts w:ascii="Segoe UI Emoji" w:hAnsi="Segoe UI Emoji" w:hint="default"/>
      </w:rPr>
    </w:lvl>
    <w:lvl w:ilvl="2" w:tplc="AF805360">
      <w:start w:val="1"/>
      <w:numFmt w:val="bullet"/>
      <w:lvlText w:val=""/>
      <w:lvlJc w:val="left"/>
      <w:pPr>
        <w:ind w:left="2160" w:hanging="360"/>
      </w:pPr>
      <w:rPr>
        <w:rFonts w:ascii="@MS Mincho" w:hAnsi="@MS Mincho" w:hint="default"/>
      </w:rPr>
    </w:lvl>
    <w:lvl w:ilvl="3" w:tplc="DE9C8254">
      <w:start w:val="1"/>
      <w:numFmt w:val="bullet"/>
      <w:lvlText w:val=""/>
      <w:lvlJc w:val="left"/>
      <w:pPr>
        <w:ind w:left="2880" w:hanging="360"/>
      </w:pPr>
      <w:rPr>
        <w:rFonts w:ascii="Times New Roman félkövér" w:hAnsi="Times New Roman félkövér" w:hint="default"/>
      </w:rPr>
    </w:lvl>
    <w:lvl w:ilvl="4" w:tplc="6A00F8A0">
      <w:start w:val="1"/>
      <w:numFmt w:val="bullet"/>
      <w:lvlText w:val="o"/>
      <w:lvlJc w:val="left"/>
      <w:pPr>
        <w:ind w:left="3600" w:hanging="360"/>
      </w:pPr>
      <w:rPr>
        <w:rFonts w:ascii="Segoe UI Emoji" w:hAnsi="Segoe UI Emoji" w:hint="default"/>
      </w:rPr>
    </w:lvl>
    <w:lvl w:ilvl="5" w:tplc="AA06549C">
      <w:start w:val="1"/>
      <w:numFmt w:val="bullet"/>
      <w:lvlText w:val=""/>
      <w:lvlJc w:val="left"/>
      <w:pPr>
        <w:ind w:left="4320" w:hanging="360"/>
      </w:pPr>
      <w:rPr>
        <w:rFonts w:ascii="@MS Mincho" w:hAnsi="@MS Mincho" w:hint="default"/>
      </w:rPr>
    </w:lvl>
    <w:lvl w:ilvl="6" w:tplc="763448EE">
      <w:start w:val="1"/>
      <w:numFmt w:val="bullet"/>
      <w:lvlText w:val=""/>
      <w:lvlJc w:val="left"/>
      <w:pPr>
        <w:ind w:left="5040" w:hanging="360"/>
      </w:pPr>
      <w:rPr>
        <w:rFonts w:ascii="Times New Roman félkövér" w:hAnsi="Times New Roman félkövér" w:hint="default"/>
      </w:rPr>
    </w:lvl>
    <w:lvl w:ilvl="7" w:tplc="6ADE6886">
      <w:start w:val="1"/>
      <w:numFmt w:val="bullet"/>
      <w:lvlText w:val="o"/>
      <w:lvlJc w:val="left"/>
      <w:pPr>
        <w:ind w:left="5760" w:hanging="360"/>
      </w:pPr>
      <w:rPr>
        <w:rFonts w:ascii="Segoe UI Emoji" w:hAnsi="Segoe UI Emoji" w:hint="default"/>
      </w:rPr>
    </w:lvl>
    <w:lvl w:ilvl="8" w:tplc="68446ED0">
      <w:start w:val="1"/>
      <w:numFmt w:val="bullet"/>
      <w:lvlText w:val=""/>
      <w:lvlJc w:val="left"/>
      <w:pPr>
        <w:ind w:left="6480" w:hanging="360"/>
      </w:pPr>
      <w:rPr>
        <w:rFonts w:ascii="@MS Mincho" w:hAnsi="@MS Mincho" w:hint="default"/>
      </w:rPr>
    </w:lvl>
  </w:abstractNum>
  <w:abstractNum w:abstractNumId="40" w15:restartNumberingAfterBreak="0">
    <w:nsid w:val="2D560457"/>
    <w:multiLevelType w:val="hybridMultilevel"/>
    <w:tmpl w:val="41DE5612"/>
    <w:lvl w:ilvl="0" w:tplc="F9B0982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AB5CF0"/>
    <w:multiLevelType w:val="hybridMultilevel"/>
    <w:tmpl w:val="4C7238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20A6796"/>
    <w:multiLevelType w:val="hybridMultilevel"/>
    <w:tmpl w:val="7C288002"/>
    <w:lvl w:ilvl="0" w:tplc="991C3E1E">
      <w:start w:val="1"/>
      <w:numFmt w:val="bullet"/>
      <w:lvlText w:val="-"/>
      <w:lvlJc w:val="left"/>
      <w:pPr>
        <w:ind w:left="1080" w:hanging="72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32E83EEB"/>
    <w:multiLevelType w:val="hybridMultilevel"/>
    <w:tmpl w:val="DBDC485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374D93"/>
    <w:multiLevelType w:val="hybridMultilevel"/>
    <w:tmpl w:val="1ADE3B4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45" w15:restartNumberingAfterBreak="0">
    <w:nsid w:val="39A060BB"/>
    <w:multiLevelType w:val="hybridMultilevel"/>
    <w:tmpl w:val="6F16191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6423A5"/>
    <w:multiLevelType w:val="hybridMultilevel"/>
    <w:tmpl w:val="604E2C64"/>
    <w:lvl w:ilvl="0" w:tplc="991C3E1E">
      <w:start w:val="1"/>
      <w:numFmt w:val="bullet"/>
      <w:lvlText w:val="-"/>
      <w:lvlJc w:val="left"/>
      <w:pPr>
        <w:ind w:left="1080" w:hanging="72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3C1FBB88"/>
    <w:multiLevelType w:val="hybridMultilevel"/>
    <w:tmpl w:val="FFFFFFFF"/>
    <w:lvl w:ilvl="0" w:tplc="D6EEFA86">
      <w:start w:val="1"/>
      <w:numFmt w:val="bullet"/>
      <w:lvlText w:val=""/>
      <w:lvlJc w:val="left"/>
      <w:pPr>
        <w:ind w:left="720" w:hanging="360"/>
      </w:pPr>
      <w:rPr>
        <w:rFonts w:ascii="Symbol" w:hAnsi="Symbol" w:hint="default"/>
      </w:rPr>
    </w:lvl>
    <w:lvl w:ilvl="1" w:tplc="9A541C76">
      <w:start w:val="1"/>
      <w:numFmt w:val="bullet"/>
      <w:lvlText w:val="o"/>
      <w:lvlJc w:val="left"/>
      <w:pPr>
        <w:ind w:left="1440" w:hanging="360"/>
      </w:pPr>
      <w:rPr>
        <w:rFonts w:ascii="Courier New" w:hAnsi="Courier New" w:hint="default"/>
      </w:rPr>
    </w:lvl>
    <w:lvl w:ilvl="2" w:tplc="4B103328">
      <w:start w:val="1"/>
      <w:numFmt w:val="bullet"/>
      <w:lvlText w:val=""/>
      <w:lvlJc w:val="left"/>
      <w:pPr>
        <w:ind w:left="2160" w:hanging="360"/>
      </w:pPr>
      <w:rPr>
        <w:rFonts w:ascii="Wingdings" w:hAnsi="Wingdings" w:hint="default"/>
      </w:rPr>
    </w:lvl>
    <w:lvl w:ilvl="3" w:tplc="CEEE1B2E">
      <w:start w:val="1"/>
      <w:numFmt w:val="bullet"/>
      <w:lvlText w:val=""/>
      <w:lvlJc w:val="left"/>
      <w:pPr>
        <w:ind w:left="2880" w:hanging="360"/>
      </w:pPr>
      <w:rPr>
        <w:rFonts w:ascii="Symbol" w:hAnsi="Symbol" w:hint="default"/>
      </w:rPr>
    </w:lvl>
    <w:lvl w:ilvl="4" w:tplc="37C0319C">
      <w:start w:val="1"/>
      <w:numFmt w:val="bullet"/>
      <w:lvlText w:val="o"/>
      <w:lvlJc w:val="left"/>
      <w:pPr>
        <w:ind w:left="3600" w:hanging="360"/>
      </w:pPr>
      <w:rPr>
        <w:rFonts w:ascii="Courier New" w:hAnsi="Courier New" w:hint="default"/>
      </w:rPr>
    </w:lvl>
    <w:lvl w:ilvl="5" w:tplc="81704DB0">
      <w:start w:val="1"/>
      <w:numFmt w:val="bullet"/>
      <w:lvlText w:val=""/>
      <w:lvlJc w:val="left"/>
      <w:pPr>
        <w:ind w:left="4320" w:hanging="360"/>
      </w:pPr>
      <w:rPr>
        <w:rFonts w:ascii="Wingdings" w:hAnsi="Wingdings" w:hint="default"/>
      </w:rPr>
    </w:lvl>
    <w:lvl w:ilvl="6" w:tplc="CE0C449A">
      <w:start w:val="1"/>
      <w:numFmt w:val="bullet"/>
      <w:lvlText w:val=""/>
      <w:lvlJc w:val="left"/>
      <w:pPr>
        <w:ind w:left="5040" w:hanging="360"/>
      </w:pPr>
      <w:rPr>
        <w:rFonts w:ascii="Symbol" w:hAnsi="Symbol" w:hint="default"/>
      </w:rPr>
    </w:lvl>
    <w:lvl w:ilvl="7" w:tplc="567E876E">
      <w:start w:val="1"/>
      <w:numFmt w:val="bullet"/>
      <w:lvlText w:val="o"/>
      <w:lvlJc w:val="left"/>
      <w:pPr>
        <w:ind w:left="5760" w:hanging="360"/>
      </w:pPr>
      <w:rPr>
        <w:rFonts w:ascii="Courier New" w:hAnsi="Courier New" w:hint="default"/>
      </w:rPr>
    </w:lvl>
    <w:lvl w:ilvl="8" w:tplc="26F00DEC">
      <w:start w:val="1"/>
      <w:numFmt w:val="bullet"/>
      <w:lvlText w:val=""/>
      <w:lvlJc w:val="left"/>
      <w:pPr>
        <w:ind w:left="6480" w:hanging="360"/>
      </w:pPr>
      <w:rPr>
        <w:rFonts w:ascii="Wingdings" w:hAnsi="Wingdings" w:hint="default"/>
      </w:rPr>
    </w:lvl>
  </w:abstractNum>
  <w:abstractNum w:abstractNumId="48" w15:restartNumberingAfterBreak="0">
    <w:nsid w:val="3CFD68E5"/>
    <w:multiLevelType w:val="hybridMultilevel"/>
    <w:tmpl w:val="B650A786"/>
    <w:lvl w:ilvl="0" w:tplc="1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Yu Mincho Light" w:hAnsi="Yu Mincho Light" w:cs="Yu Mincho Light" w:hint="default"/>
      </w:rPr>
    </w:lvl>
    <w:lvl w:ilvl="2" w:tplc="FFFFFFFF" w:tentative="1">
      <w:start w:val="1"/>
      <w:numFmt w:val="bullet"/>
      <w:lvlText w:val=""/>
      <w:lvlJc w:val="left"/>
      <w:pPr>
        <w:ind w:left="2444" w:hanging="360"/>
      </w:pPr>
      <w:rPr>
        <w:rFonts w:ascii="MS Mincho" w:hAnsi="MS Mincho" w:hint="default"/>
      </w:rPr>
    </w:lvl>
    <w:lvl w:ilvl="3" w:tplc="FFFFFFFF" w:tentative="1">
      <w:start w:val="1"/>
      <w:numFmt w:val="bullet"/>
      <w:lvlText w:val=""/>
      <w:lvlJc w:val="left"/>
      <w:pPr>
        <w:ind w:left="3164" w:hanging="360"/>
      </w:pPr>
      <w:rPr>
        <w:rFonts w:ascii="MS Mincho" w:hAnsi="MS Mincho" w:hint="default"/>
      </w:rPr>
    </w:lvl>
    <w:lvl w:ilvl="4" w:tplc="FFFFFFFF" w:tentative="1">
      <w:start w:val="1"/>
      <w:numFmt w:val="bullet"/>
      <w:lvlText w:val="o"/>
      <w:lvlJc w:val="left"/>
      <w:pPr>
        <w:ind w:left="3884" w:hanging="360"/>
      </w:pPr>
      <w:rPr>
        <w:rFonts w:ascii="Yu Mincho Light" w:hAnsi="Yu Mincho Light" w:cs="Yu Mincho Light" w:hint="default"/>
      </w:rPr>
    </w:lvl>
    <w:lvl w:ilvl="5" w:tplc="FFFFFFFF" w:tentative="1">
      <w:start w:val="1"/>
      <w:numFmt w:val="bullet"/>
      <w:lvlText w:val=""/>
      <w:lvlJc w:val="left"/>
      <w:pPr>
        <w:ind w:left="4604" w:hanging="360"/>
      </w:pPr>
      <w:rPr>
        <w:rFonts w:ascii="MS Mincho" w:hAnsi="MS Mincho" w:hint="default"/>
      </w:rPr>
    </w:lvl>
    <w:lvl w:ilvl="6" w:tplc="FFFFFFFF" w:tentative="1">
      <w:start w:val="1"/>
      <w:numFmt w:val="bullet"/>
      <w:lvlText w:val=""/>
      <w:lvlJc w:val="left"/>
      <w:pPr>
        <w:ind w:left="5324" w:hanging="360"/>
      </w:pPr>
      <w:rPr>
        <w:rFonts w:ascii="MS Mincho" w:hAnsi="MS Mincho" w:hint="default"/>
      </w:rPr>
    </w:lvl>
    <w:lvl w:ilvl="7" w:tplc="FFFFFFFF" w:tentative="1">
      <w:start w:val="1"/>
      <w:numFmt w:val="bullet"/>
      <w:lvlText w:val="o"/>
      <w:lvlJc w:val="left"/>
      <w:pPr>
        <w:ind w:left="6044" w:hanging="360"/>
      </w:pPr>
      <w:rPr>
        <w:rFonts w:ascii="Yu Mincho Light" w:hAnsi="Yu Mincho Light" w:cs="Yu Mincho Light" w:hint="default"/>
      </w:rPr>
    </w:lvl>
    <w:lvl w:ilvl="8" w:tplc="FFFFFFFF" w:tentative="1">
      <w:start w:val="1"/>
      <w:numFmt w:val="bullet"/>
      <w:lvlText w:val=""/>
      <w:lvlJc w:val="left"/>
      <w:pPr>
        <w:ind w:left="6764" w:hanging="360"/>
      </w:pPr>
      <w:rPr>
        <w:rFonts w:ascii="MS Mincho" w:hAnsi="MS Mincho" w:hint="default"/>
      </w:rPr>
    </w:lvl>
  </w:abstractNum>
  <w:abstractNum w:abstractNumId="49" w15:restartNumberingAfterBreak="0">
    <w:nsid w:val="400A7B18"/>
    <w:multiLevelType w:val="multilevel"/>
    <w:tmpl w:val="2F7AC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021A52"/>
    <w:multiLevelType w:val="hybridMultilevel"/>
    <w:tmpl w:val="D736BEA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E4070A"/>
    <w:multiLevelType w:val="hybridMultilevel"/>
    <w:tmpl w:val="59AC8B4E"/>
    <w:lvl w:ilvl="0" w:tplc="1430B2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4" w15:restartNumberingAfterBreak="0">
    <w:nsid w:val="432C32C9"/>
    <w:multiLevelType w:val="multilevel"/>
    <w:tmpl w:val="6136D4B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A30E35"/>
    <w:multiLevelType w:val="hybridMultilevel"/>
    <w:tmpl w:val="541044B2"/>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A72B3A"/>
    <w:multiLevelType w:val="hybridMultilevel"/>
    <w:tmpl w:val="AFCC963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3B1786A"/>
    <w:multiLevelType w:val="hybridMultilevel"/>
    <w:tmpl w:val="0AA84568"/>
    <w:lvl w:ilvl="0" w:tplc="18090001">
      <w:start w:val="1"/>
      <w:numFmt w:val="bullet"/>
      <w:lvlText w:val=""/>
      <w:lvlJc w:val="left"/>
      <w:pPr>
        <w:ind w:left="720" w:hanging="360"/>
      </w:pPr>
      <w:rPr>
        <w:rFonts w:ascii="Symbol" w:hAnsi="Symbol" w:hint="default"/>
        <w:sz w:val="20"/>
        <w:szCs w:val="20"/>
      </w:rPr>
    </w:lvl>
    <w:lvl w:ilvl="1" w:tplc="260E68B2">
      <w:start w:val="1"/>
      <w:numFmt w:val="bullet"/>
      <w:lvlText w:val="o"/>
      <w:lvlJc w:val="left"/>
      <w:pPr>
        <w:ind w:left="1440" w:hanging="360"/>
      </w:pPr>
      <w:rPr>
        <w:rFonts w:ascii="Segoe UI Emoji" w:hAnsi="Segoe UI Emoji" w:hint="default"/>
      </w:rPr>
    </w:lvl>
    <w:lvl w:ilvl="2" w:tplc="E0024634">
      <w:start w:val="1"/>
      <w:numFmt w:val="bullet"/>
      <w:lvlText w:val=""/>
      <w:lvlJc w:val="left"/>
      <w:pPr>
        <w:ind w:left="2160" w:hanging="360"/>
      </w:pPr>
      <w:rPr>
        <w:rFonts w:ascii="@MS Mincho" w:hAnsi="@MS Mincho" w:hint="default"/>
      </w:rPr>
    </w:lvl>
    <w:lvl w:ilvl="3" w:tplc="92FC7814">
      <w:start w:val="1"/>
      <w:numFmt w:val="bullet"/>
      <w:lvlText w:val=""/>
      <w:lvlJc w:val="left"/>
      <w:pPr>
        <w:ind w:left="2880" w:hanging="360"/>
      </w:pPr>
      <w:rPr>
        <w:rFonts w:ascii="Times New Roman félkövér" w:hAnsi="Times New Roman félkövér" w:hint="default"/>
      </w:rPr>
    </w:lvl>
    <w:lvl w:ilvl="4" w:tplc="0D4A42B8">
      <w:start w:val="1"/>
      <w:numFmt w:val="bullet"/>
      <w:lvlText w:val="o"/>
      <w:lvlJc w:val="left"/>
      <w:pPr>
        <w:ind w:left="3600" w:hanging="360"/>
      </w:pPr>
      <w:rPr>
        <w:rFonts w:ascii="Segoe UI Emoji" w:hAnsi="Segoe UI Emoji" w:hint="default"/>
      </w:rPr>
    </w:lvl>
    <w:lvl w:ilvl="5" w:tplc="E1DAE3B8">
      <w:start w:val="1"/>
      <w:numFmt w:val="bullet"/>
      <w:lvlText w:val=""/>
      <w:lvlJc w:val="left"/>
      <w:pPr>
        <w:ind w:left="4320" w:hanging="360"/>
      </w:pPr>
      <w:rPr>
        <w:rFonts w:ascii="@MS Mincho" w:hAnsi="@MS Mincho" w:hint="default"/>
      </w:rPr>
    </w:lvl>
    <w:lvl w:ilvl="6" w:tplc="8DB4CBD2">
      <w:start w:val="1"/>
      <w:numFmt w:val="bullet"/>
      <w:lvlText w:val=""/>
      <w:lvlJc w:val="left"/>
      <w:pPr>
        <w:ind w:left="5040" w:hanging="360"/>
      </w:pPr>
      <w:rPr>
        <w:rFonts w:ascii="Times New Roman félkövér" w:hAnsi="Times New Roman félkövér" w:hint="default"/>
      </w:rPr>
    </w:lvl>
    <w:lvl w:ilvl="7" w:tplc="BDBA31D6">
      <w:start w:val="1"/>
      <w:numFmt w:val="bullet"/>
      <w:lvlText w:val="o"/>
      <w:lvlJc w:val="left"/>
      <w:pPr>
        <w:ind w:left="5760" w:hanging="360"/>
      </w:pPr>
      <w:rPr>
        <w:rFonts w:ascii="Segoe UI Emoji" w:hAnsi="Segoe UI Emoji" w:hint="default"/>
      </w:rPr>
    </w:lvl>
    <w:lvl w:ilvl="8" w:tplc="270C7E80">
      <w:start w:val="1"/>
      <w:numFmt w:val="bullet"/>
      <w:lvlText w:val=""/>
      <w:lvlJc w:val="left"/>
      <w:pPr>
        <w:ind w:left="6480" w:hanging="360"/>
      </w:pPr>
      <w:rPr>
        <w:rFonts w:ascii="@MS Mincho" w:hAnsi="@MS Mincho" w:hint="default"/>
      </w:rPr>
    </w:lvl>
  </w:abstractNum>
  <w:abstractNum w:abstractNumId="58" w15:restartNumberingAfterBreak="0">
    <w:nsid w:val="44136177"/>
    <w:multiLevelType w:val="hybridMultilevel"/>
    <w:tmpl w:val="D31ECAFC"/>
    <w:lvl w:ilvl="0" w:tplc="991C3E1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0" w15:restartNumberingAfterBreak="0">
    <w:nsid w:val="456A440E"/>
    <w:multiLevelType w:val="hybridMultilevel"/>
    <w:tmpl w:val="193469B6"/>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6A236D"/>
    <w:multiLevelType w:val="hybridMultilevel"/>
    <w:tmpl w:val="DC487180"/>
    <w:lvl w:ilvl="0" w:tplc="991C3E1E">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8477D5B"/>
    <w:multiLevelType w:val="hybridMultilevel"/>
    <w:tmpl w:val="A41A242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5C3822"/>
    <w:multiLevelType w:val="hybridMultilevel"/>
    <w:tmpl w:val="4BB007BE"/>
    <w:lvl w:ilvl="0" w:tplc="08160001">
      <w:start w:val="1"/>
      <w:numFmt w:val="bullet"/>
      <w:lvlText w:val=""/>
      <w:lvlJc w:val="left"/>
      <w:pPr>
        <w:ind w:left="6881"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4" w15:restartNumberingAfterBreak="0">
    <w:nsid w:val="4A1837DC"/>
    <w:multiLevelType w:val="multilevel"/>
    <w:tmpl w:val="5ED821E4"/>
    <w:lvl w:ilvl="0">
      <w:start w:val="1"/>
      <w:numFmt w:val="bullet"/>
      <w:lvlText w:val="-"/>
      <w:lvlJc w:val="left"/>
      <w:rPr>
        <w:rFonts w:ascii="Calibri" w:hAnsi="Calibri" w:hint="default"/>
        <w:b w:val="0"/>
        <w:bCs w:val="0"/>
        <w:i w:val="0"/>
        <w:iCs w:val="0"/>
        <w:smallCaps w:val="0"/>
        <w:strike w:val="0"/>
        <w:color w:val="000000"/>
        <w:spacing w:val="0"/>
        <w:w w:val="100"/>
        <w:position w:val="0"/>
        <w:sz w:val="21"/>
        <w:szCs w:val="21"/>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ABB3D79"/>
    <w:multiLevelType w:val="hybridMultilevel"/>
    <w:tmpl w:val="C06EC8F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MS Mincho" w:hAnsi="@MS Mincho"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MS Mincho" w:hAnsi="@MS Mincho"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MS Mincho" w:hAnsi="@MS Mincho" w:hint="default"/>
      </w:rPr>
    </w:lvl>
    <w:lvl w:ilvl="8" w:tplc="FFFFFFFF">
      <w:start w:val="1"/>
      <w:numFmt w:val="bullet"/>
      <w:lvlText w:val=""/>
      <w:lvlJc w:val="left"/>
      <w:pPr>
        <w:ind w:left="6480" w:hanging="360"/>
      </w:pPr>
      <w:rPr>
        <w:rFonts w:ascii="MS Mincho" w:hAnsi="MS Mincho" w:hint="default"/>
      </w:rPr>
    </w:lvl>
  </w:abstractNum>
  <w:abstractNum w:abstractNumId="66" w15:restartNumberingAfterBreak="0">
    <w:nsid w:val="4B1B1BD9"/>
    <w:multiLevelType w:val="hybridMultilevel"/>
    <w:tmpl w:val="30E29848"/>
    <w:lvl w:ilvl="0" w:tplc="B8D40F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9818A8"/>
    <w:multiLevelType w:val="hybridMultilevel"/>
    <w:tmpl w:val="2FD8C976"/>
    <w:lvl w:ilvl="0" w:tplc="991C3E1E">
      <w:start w:val="1"/>
      <w:numFmt w:val="bullet"/>
      <w:lvlText w:val="-"/>
      <w:lvlJc w:val="left"/>
      <w:pPr>
        <w:ind w:left="720" w:hanging="360"/>
      </w:pPr>
      <w:rPr>
        <w:rFonts w:ascii="Calibri" w:hAnsi="Calibri" w:hint="default"/>
      </w:rPr>
    </w:lvl>
    <w:lvl w:ilvl="1" w:tplc="991C3E1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B12C54"/>
    <w:multiLevelType w:val="hybridMultilevel"/>
    <w:tmpl w:val="FFFFFFFF"/>
    <w:lvl w:ilvl="0" w:tplc="67BE596E">
      <w:start w:val="1"/>
      <w:numFmt w:val="bullet"/>
      <w:lvlText w:val="-"/>
      <w:lvlJc w:val="left"/>
      <w:pPr>
        <w:ind w:left="720" w:hanging="360"/>
      </w:pPr>
      <w:rPr>
        <w:rFonts w:ascii="Calibri" w:hAnsi="Calibri" w:hint="default"/>
      </w:rPr>
    </w:lvl>
    <w:lvl w:ilvl="1" w:tplc="39DCF4AA">
      <w:start w:val="1"/>
      <w:numFmt w:val="bullet"/>
      <w:lvlText w:val="o"/>
      <w:lvlJc w:val="left"/>
      <w:pPr>
        <w:ind w:left="1440" w:hanging="360"/>
      </w:pPr>
      <w:rPr>
        <w:rFonts w:ascii="Courier New" w:hAnsi="Courier New" w:hint="default"/>
      </w:rPr>
    </w:lvl>
    <w:lvl w:ilvl="2" w:tplc="E71A66AE">
      <w:start w:val="1"/>
      <w:numFmt w:val="bullet"/>
      <w:lvlText w:val=""/>
      <w:lvlJc w:val="left"/>
      <w:pPr>
        <w:ind w:left="2160" w:hanging="360"/>
      </w:pPr>
      <w:rPr>
        <w:rFonts w:ascii="Wingdings" w:hAnsi="Wingdings" w:hint="default"/>
      </w:rPr>
    </w:lvl>
    <w:lvl w:ilvl="3" w:tplc="7D04A362">
      <w:start w:val="1"/>
      <w:numFmt w:val="bullet"/>
      <w:lvlText w:val=""/>
      <w:lvlJc w:val="left"/>
      <w:pPr>
        <w:ind w:left="2880" w:hanging="360"/>
      </w:pPr>
      <w:rPr>
        <w:rFonts w:ascii="Symbol" w:hAnsi="Symbol" w:hint="default"/>
      </w:rPr>
    </w:lvl>
    <w:lvl w:ilvl="4" w:tplc="6DBC2DA6">
      <w:start w:val="1"/>
      <w:numFmt w:val="bullet"/>
      <w:lvlText w:val="o"/>
      <w:lvlJc w:val="left"/>
      <w:pPr>
        <w:ind w:left="3600" w:hanging="360"/>
      </w:pPr>
      <w:rPr>
        <w:rFonts w:ascii="Courier New" w:hAnsi="Courier New" w:hint="default"/>
      </w:rPr>
    </w:lvl>
    <w:lvl w:ilvl="5" w:tplc="A5CCEC06">
      <w:start w:val="1"/>
      <w:numFmt w:val="bullet"/>
      <w:lvlText w:val=""/>
      <w:lvlJc w:val="left"/>
      <w:pPr>
        <w:ind w:left="4320" w:hanging="360"/>
      </w:pPr>
      <w:rPr>
        <w:rFonts w:ascii="Wingdings" w:hAnsi="Wingdings" w:hint="default"/>
      </w:rPr>
    </w:lvl>
    <w:lvl w:ilvl="6" w:tplc="2BEEA494">
      <w:start w:val="1"/>
      <w:numFmt w:val="bullet"/>
      <w:lvlText w:val=""/>
      <w:lvlJc w:val="left"/>
      <w:pPr>
        <w:ind w:left="5040" w:hanging="360"/>
      </w:pPr>
      <w:rPr>
        <w:rFonts w:ascii="Symbol" w:hAnsi="Symbol" w:hint="default"/>
      </w:rPr>
    </w:lvl>
    <w:lvl w:ilvl="7" w:tplc="5B7C1BD2">
      <w:start w:val="1"/>
      <w:numFmt w:val="bullet"/>
      <w:lvlText w:val="o"/>
      <w:lvlJc w:val="left"/>
      <w:pPr>
        <w:ind w:left="5760" w:hanging="360"/>
      </w:pPr>
      <w:rPr>
        <w:rFonts w:ascii="Courier New" w:hAnsi="Courier New" w:hint="default"/>
      </w:rPr>
    </w:lvl>
    <w:lvl w:ilvl="8" w:tplc="BE265C54">
      <w:start w:val="1"/>
      <w:numFmt w:val="bullet"/>
      <w:lvlText w:val=""/>
      <w:lvlJc w:val="left"/>
      <w:pPr>
        <w:ind w:left="6480" w:hanging="360"/>
      </w:pPr>
      <w:rPr>
        <w:rFonts w:ascii="Wingdings" w:hAnsi="Wingdings" w:hint="default"/>
      </w:rPr>
    </w:lvl>
  </w:abstractNum>
  <w:abstractNum w:abstractNumId="69" w15:restartNumberingAfterBreak="0">
    <w:nsid w:val="4ED0C028"/>
    <w:multiLevelType w:val="hybridMultilevel"/>
    <w:tmpl w:val="FFFFFFFF"/>
    <w:lvl w:ilvl="0" w:tplc="70B664EC">
      <w:start w:val="1"/>
      <w:numFmt w:val="bullet"/>
      <w:lvlText w:val=""/>
      <w:lvlJc w:val="left"/>
      <w:pPr>
        <w:ind w:left="720" w:hanging="360"/>
      </w:pPr>
      <w:rPr>
        <w:rFonts w:ascii="Symbol" w:hAnsi="Symbol" w:hint="default"/>
      </w:rPr>
    </w:lvl>
    <w:lvl w:ilvl="1" w:tplc="229C186A">
      <w:start w:val="1"/>
      <w:numFmt w:val="bullet"/>
      <w:lvlText w:val="o"/>
      <w:lvlJc w:val="left"/>
      <w:pPr>
        <w:ind w:left="1440" w:hanging="360"/>
      </w:pPr>
      <w:rPr>
        <w:rFonts w:ascii="Courier New" w:hAnsi="Courier New" w:hint="default"/>
      </w:rPr>
    </w:lvl>
    <w:lvl w:ilvl="2" w:tplc="DEAAE380">
      <w:start w:val="1"/>
      <w:numFmt w:val="bullet"/>
      <w:lvlText w:val=""/>
      <w:lvlJc w:val="left"/>
      <w:pPr>
        <w:ind w:left="2160" w:hanging="360"/>
      </w:pPr>
      <w:rPr>
        <w:rFonts w:ascii="Wingdings" w:hAnsi="Wingdings" w:hint="default"/>
      </w:rPr>
    </w:lvl>
    <w:lvl w:ilvl="3" w:tplc="3A6A8586">
      <w:start w:val="1"/>
      <w:numFmt w:val="bullet"/>
      <w:lvlText w:val=""/>
      <w:lvlJc w:val="left"/>
      <w:pPr>
        <w:ind w:left="2880" w:hanging="360"/>
      </w:pPr>
      <w:rPr>
        <w:rFonts w:ascii="Symbol" w:hAnsi="Symbol" w:hint="default"/>
      </w:rPr>
    </w:lvl>
    <w:lvl w:ilvl="4" w:tplc="0652EBEC">
      <w:start w:val="1"/>
      <w:numFmt w:val="bullet"/>
      <w:lvlText w:val="o"/>
      <w:lvlJc w:val="left"/>
      <w:pPr>
        <w:ind w:left="3600" w:hanging="360"/>
      </w:pPr>
      <w:rPr>
        <w:rFonts w:ascii="Courier New" w:hAnsi="Courier New" w:hint="default"/>
      </w:rPr>
    </w:lvl>
    <w:lvl w:ilvl="5" w:tplc="61A2DDD2">
      <w:start w:val="1"/>
      <w:numFmt w:val="bullet"/>
      <w:lvlText w:val=""/>
      <w:lvlJc w:val="left"/>
      <w:pPr>
        <w:ind w:left="4320" w:hanging="360"/>
      </w:pPr>
      <w:rPr>
        <w:rFonts w:ascii="Wingdings" w:hAnsi="Wingdings" w:hint="default"/>
      </w:rPr>
    </w:lvl>
    <w:lvl w:ilvl="6" w:tplc="53E013E6">
      <w:start w:val="1"/>
      <w:numFmt w:val="bullet"/>
      <w:lvlText w:val=""/>
      <w:lvlJc w:val="left"/>
      <w:pPr>
        <w:ind w:left="5040" w:hanging="360"/>
      </w:pPr>
      <w:rPr>
        <w:rFonts w:ascii="Symbol" w:hAnsi="Symbol" w:hint="default"/>
      </w:rPr>
    </w:lvl>
    <w:lvl w:ilvl="7" w:tplc="E646C87C">
      <w:start w:val="1"/>
      <w:numFmt w:val="bullet"/>
      <w:lvlText w:val="o"/>
      <w:lvlJc w:val="left"/>
      <w:pPr>
        <w:ind w:left="5760" w:hanging="360"/>
      </w:pPr>
      <w:rPr>
        <w:rFonts w:ascii="Courier New" w:hAnsi="Courier New" w:hint="default"/>
      </w:rPr>
    </w:lvl>
    <w:lvl w:ilvl="8" w:tplc="D16C9752">
      <w:start w:val="1"/>
      <w:numFmt w:val="bullet"/>
      <w:lvlText w:val=""/>
      <w:lvlJc w:val="left"/>
      <w:pPr>
        <w:ind w:left="6480" w:hanging="360"/>
      </w:pPr>
      <w:rPr>
        <w:rFonts w:ascii="Wingdings" w:hAnsi="Wingdings" w:hint="default"/>
      </w:rPr>
    </w:lvl>
  </w:abstractNum>
  <w:abstractNum w:abstractNumId="70" w15:restartNumberingAfterBreak="0">
    <w:nsid w:val="5193D5D3"/>
    <w:multiLevelType w:val="hybridMultilevel"/>
    <w:tmpl w:val="FFFFFFFF"/>
    <w:lvl w:ilvl="0" w:tplc="D2221486">
      <w:start w:val="1"/>
      <w:numFmt w:val="bullet"/>
      <w:lvlText w:val="-"/>
      <w:lvlJc w:val="left"/>
      <w:pPr>
        <w:ind w:left="720" w:hanging="360"/>
      </w:pPr>
      <w:rPr>
        <w:rFonts w:ascii="Calibri" w:hAnsi="Calibri" w:hint="default"/>
      </w:rPr>
    </w:lvl>
    <w:lvl w:ilvl="1" w:tplc="CB146F18">
      <w:start w:val="1"/>
      <w:numFmt w:val="bullet"/>
      <w:lvlText w:val="o"/>
      <w:lvlJc w:val="left"/>
      <w:pPr>
        <w:ind w:left="1440" w:hanging="360"/>
      </w:pPr>
      <w:rPr>
        <w:rFonts w:ascii="Courier New" w:hAnsi="Courier New" w:hint="default"/>
      </w:rPr>
    </w:lvl>
    <w:lvl w:ilvl="2" w:tplc="51661310">
      <w:start w:val="1"/>
      <w:numFmt w:val="bullet"/>
      <w:lvlText w:val=""/>
      <w:lvlJc w:val="left"/>
      <w:pPr>
        <w:ind w:left="2160" w:hanging="360"/>
      </w:pPr>
      <w:rPr>
        <w:rFonts w:ascii="Wingdings" w:hAnsi="Wingdings" w:hint="default"/>
      </w:rPr>
    </w:lvl>
    <w:lvl w:ilvl="3" w:tplc="906C137C">
      <w:start w:val="1"/>
      <w:numFmt w:val="bullet"/>
      <w:lvlText w:val=""/>
      <w:lvlJc w:val="left"/>
      <w:pPr>
        <w:ind w:left="2880" w:hanging="360"/>
      </w:pPr>
      <w:rPr>
        <w:rFonts w:ascii="Symbol" w:hAnsi="Symbol" w:hint="default"/>
      </w:rPr>
    </w:lvl>
    <w:lvl w:ilvl="4" w:tplc="EB9A1A44">
      <w:start w:val="1"/>
      <w:numFmt w:val="bullet"/>
      <w:lvlText w:val="o"/>
      <w:lvlJc w:val="left"/>
      <w:pPr>
        <w:ind w:left="3600" w:hanging="360"/>
      </w:pPr>
      <w:rPr>
        <w:rFonts w:ascii="Courier New" w:hAnsi="Courier New" w:hint="default"/>
      </w:rPr>
    </w:lvl>
    <w:lvl w:ilvl="5" w:tplc="F35E1ABE">
      <w:start w:val="1"/>
      <w:numFmt w:val="bullet"/>
      <w:lvlText w:val=""/>
      <w:lvlJc w:val="left"/>
      <w:pPr>
        <w:ind w:left="4320" w:hanging="360"/>
      </w:pPr>
      <w:rPr>
        <w:rFonts w:ascii="Wingdings" w:hAnsi="Wingdings" w:hint="default"/>
      </w:rPr>
    </w:lvl>
    <w:lvl w:ilvl="6" w:tplc="2EFE484C">
      <w:start w:val="1"/>
      <w:numFmt w:val="bullet"/>
      <w:lvlText w:val=""/>
      <w:lvlJc w:val="left"/>
      <w:pPr>
        <w:ind w:left="5040" w:hanging="360"/>
      </w:pPr>
      <w:rPr>
        <w:rFonts w:ascii="Symbol" w:hAnsi="Symbol" w:hint="default"/>
      </w:rPr>
    </w:lvl>
    <w:lvl w:ilvl="7" w:tplc="FC420202">
      <w:start w:val="1"/>
      <w:numFmt w:val="bullet"/>
      <w:lvlText w:val="o"/>
      <w:lvlJc w:val="left"/>
      <w:pPr>
        <w:ind w:left="5760" w:hanging="360"/>
      </w:pPr>
      <w:rPr>
        <w:rFonts w:ascii="Courier New" w:hAnsi="Courier New" w:hint="default"/>
      </w:rPr>
    </w:lvl>
    <w:lvl w:ilvl="8" w:tplc="4B182AFA">
      <w:start w:val="1"/>
      <w:numFmt w:val="bullet"/>
      <w:lvlText w:val=""/>
      <w:lvlJc w:val="left"/>
      <w:pPr>
        <w:ind w:left="6480" w:hanging="360"/>
      </w:pPr>
      <w:rPr>
        <w:rFonts w:ascii="Wingdings" w:hAnsi="Wingdings" w:hint="default"/>
      </w:rPr>
    </w:lvl>
  </w:abstractNum>
  <w:abstractNum w:abstractNumId="71" w15:restartNumberingAfterBreak="0">
    <w:nsid w:val="546F43D9"/>
    <w:multiLevelType w:val="hybridMultilevel"/>
    <w:tmpl w:val="FFFFFFFF"/>
    <w:lvl w:ilvl="0" w:tplc="601C9C88">
      <w:start w:val="6"/>
      <w:numFmt w:val="decimal"/>
      <w:lvlText w:val="%1."/>
      <w:lvlJc w:val="left"/>
      <w:pPr>
        <w:ind w:left="720" w:hanging="360"/>
      </w:pPr>
      <w:rPr>
        <w:rFonts w:ascii="Arial" w:hAnsi="Arial" w:hint="default"/>
      </w:rPr>
    </w:lvl>
    <w:lvl w:ilvl="1" w:tplc="BC4A186E">
      <w:start w:val="1"/>
      <w:numFmt w:val="lowerLetter"/>
      <w:lvlText w:val="%2."/>
      <w:lvlJc w:val="left"/>
      <w:pPr>
        <w:ind w:left="1440" w:hanging="360"/>
      </w:pPr>
    </w:lvl>
    <w:lvl w:ilvl="2" w:tplc="98BA893C">
      <w:start w:val="1"/>
      <w:numFmt w:val="lowerRoman"/>
      <w:lvlText w:val="%3."/>
      <w:lvlJc w:val="right"/>
      <w:pPr>
        <w:ind w:left="2160" w:hanging="180"/>
      </w:pPr>
    </w:lvl>
    <w:lvl w:ilvl="3" w:tplc="6484B7FA">
      <w:start w:val="1"/>
      <w:numFmt w:val="decimal"/>
      <w:lvlText w:val="%4."/>
      <w:lvlJc w:val="left"/>
      <w:pPr>
        <w:ind w:left="2880" w:hanging="360"/>
      </w:pPr>
    </w:lvl>
    <w:lvl w:ilvl="4" w:tplc="7374820E">
      <w:start w:val="1"/>
      <w:numFmt w:val="lowerLetter"/>
      <w:lvlText w:val="%5."/>
      <w:lvlJc w:val="left"/>
      <w:pPr>
        <w:ind w:left="3600" w:hanging="360"/>
      </w:pPr>
    </w:lvl>
    <w:lvl w:ilvl="5" w:tplc="CEC29C34">
      <w:start w:val="1"/>
      <w:numFmt w:val="lowerRoman"/>
      <w:lvlText w:val="%6."/>
      <w:lvlJc w:val="right"/>
      <w:pPr>
        <w:ind w:left="4320" w:hanging="180"/>
      </w:pPr>
    </w:lvl>
    <w:lvl w:ilvl="6" w:tplc="23CA4A52">
      <w:start w:val="1"/>
      <w:numFmt w:val="decimal"/>
      <w:lvlText w:val="%7."/>
      <w:lvlJc w:val="left"/>
      <w:pPr>
        <w:ind w:left="5040" w:hanging="360"/>
      </w:pPr>
    </w:lvl>
    <w:lvl w:ilvl="7" w:tplc="B5A617FE">
      <w:start w:val="1"/>
      <w:numFmt w:val="lowerLetter"/>
      <w:lvlText w:val="%8."/>
      <w:lvlJc w:val="left"/>
      <w:pPr>
        <w:ind w:left="5760" w:hanging="360"/>
      </w:pPr>
    </w:lvl>
    <w:lvl w:ilvl="8" w:tplc="EF2CE8C4">
      <w:start w:val="1"/>
      <w:numFmt w:val="lowerRoman"/>
      <w:lvlText w:val="%9."/>
      <w:lvlJc w:val="right"/>
      <w:pPr>
        <w:ind w:left="6480" w:hanging="180"/>
      </w:pPr>
    </w:lvl>
  </w:abstractNum>
  <w:abstractNum w:abstractNumId="72" w15:restartNumberingAfterBreak="0">
    <w:nsid w:val="5562828A"/>
    <w:multiLevelType w:val="hybridMultilevel"/>
    <w:tmpl w:val="FFFFFFFF"/>
    <w:lvl w:ilvl="0" w:tplc="98AED4AE">
      <w:start w:val="1"/>
      <w:numFmt w:val="bullet"/>
      <w:lvlText w:val="-"/>
      <w:lvlJc w:val="left"/>
      <w:pPr>
        <w:ind w:left="720" w:hanging="360"/>
      </w:pPr>
      <w:rPr>
        <w:rFonts w:ascii="Calibri" w:hAnsi="Calibri" w:hint="default"/>
      </w:rPr>
    </w:lvl>
    <w:lvl w:ilvl="1" w:tplc="9184ECD6">
      <w:start w:val="1"/>
      <w:numFmt w:val="bullet"/>
      <w:lvlText w:val="o"/>
      <w:lvlJc w:val="left"/>
      <w:pPr>
        <w:ind w:left="1440" w:hanging="360"/>
      </w:pPr>
      <w:rPr>
        <w:rFonts w:ascii="Courier New" w:hAnsi="Courier New" w:hint="default"/>
      </w:rPr>
    </w:lvl>
    <w:lvl w:ilvl="2" w:tplc="5F6E988E">
      <w:start w:val="1"/>
      <w:numFmt w:val="bullet"/>
      <w:lvlText w:val=""/>
      <w:lvlJc w:val="left"/>
      <w:pPr>
        <w:ind w:left="2160" w:hanging="360"/>
      </w:pPr>
      <w:rPr>
        <w:rFonts w:ascii="Wingdings" w:hAnsi="Wingdings" w:hint="default"/>
      </w:rPr>
    </w:lvl>
    <w:lvl w:ilvl="3" w:tplc="180828B2">
      <w:start w:val="1"/>
      <w:numFmt w:val="bullet"/>
      <w:lvlText w:val=""/>
      <w:lvlJc w:val="left"/>
      <w:pPr>
        <w:ind w:left="2880" w:hanging="360"/>
      </w:pPr>
      <w:rPr>
        <w:rFonts w:ascii="Symbol" w:hAnsi="Symbol" w:hint="default"/>
      </w:rPr>
    </w:lvl>
    <w:lvl w:ilvl="4" w:tplc="90082408">
      <w:start w:val="1"/>
      <w:numFmt w:val="bullet"/>
      <w:lvlText w:val="o"/>
      <w:lvlJc w:val="left"/>
      <w:pPr>
        <w:ind w:left="3600" w:hanging="360"/>
      </w:pPr>
      <w:rPr>
        <w:rFonts w:ascii="Courier New" w:hAnsi="Courier New" w:hint="default"/>
      </w:rPr>
    </w:lvl>
    <w:lvl w:ilvl="5" w:tplc="BCE087CA">
      <w:start w:val="1"/>
      <w:numFmt w:val="bullet"/>
      <w:lvlText w:val=""/>
      <w:lvlJc w:val="left"/>
      <w:pPr>
        <w:ind w:left="4320" w:hanging="360"/>
      </w:pPr>
      <w:rPr>
        <w:rFonts w:ascii="Wingdings" w:hAnsi="Wingdings" w:hint="default"/>
      </w:rPr>
    </w:lvl>
    <w:lvl w:ilvl="6" w:tplc="EEC8FCD8">
      <w:start w:val="1"/>
      <w:numFmt w:val="bullet"/>
      <w:lvlText w:val=""/>
      <w:lvlJc w:val="left"/>
      <w:pPr>
        <w:ind w:left="5040" w:hanging="360"/>
      </w:pPr>
      <w:rPr>
        <w:rFonts w:ascii="Symbol" w:hAnsi="Symbol" w:hint="default"/>
      </w:rPr>
    </w:lvl>
    <w:lvl w:ilvl="7" w:tplc="A46C5D0E">
      <w:start w:val="1"/>
      <w:numFmt w:val="bullet"/>
      <w:lvlText w:val="o"/>
      <w:lvlJc w:val="left"/>
      <w:pPr>
        <w:ind w:left="5760" w:hanging="360"/>
      </w:pPr>
      <w:rPr>
        <w:rFonts w:ascii="Courier New" w:hAnsi="Courier New" w:hint="default"/>
      </w:rPr>
    </w:lvl>
    <w:lvl w:ilvl="8" w:tplc="3E50D7EC">
      <w:start w:val="1"/>
      <w:numFmt w:val="bullet"/>
      <w:lvlText w:val=""/>
      <w:lvlJc w:val="left"/>
      <w:pPr>
        <w:ind w:left="6480" w:hanging="360"/>
      </w:pPr>
      <w:rPr>
        <w:rFonts w:ascii="Wingdings" w:hAnsi="Wingdings" w:hint="default"/>
      </w:rPr>
    </w:lvl>
  </w:abstractNum>
  <w:abstractNum w:abstractNumId="7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4" w15:restartNumberingAfterBreak="0">
    <w:nsid w:val="55722B6B"/>
    <w:multiLevelType w:val="hybridMultilevel"/>
    <w:tmpl w:val="B8C4C9B2"/>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C806B2"/>
    <w:multiLevelType w:val="hybridMultilevel"/>
    <w:tmpl w:val="29FE3B06"/>
    <w:lvl w:ilvl="0" w:tplc="FFFFFFFF">
      <w:start w:val="1"/>
      <w:numFmt w:val="bullet"/>
      <w:lvlText w:val="-"/>
      <w:lvlJc w:val="left"/>
      <w:pPr>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7" w15:restartNumberingAfterBreak="0">
    <w:nsid w:val="5B61650C"/>
    <w:multiLevelType w:val="hybridMultilevel"/>
    <w:tmpl w:val="3BAED582"/>
    <w:lvl w:ilvl="0" w:tplc="18090001">
      <w:start w:val="1"/>
      <w:numFmt w:val="bullet"/>
      <w:lvlText w:val=""/>
      <w:lvlJc w:val="left"/>
      <w:pPr>
        <w:ind w:left="720" w:hanging="360"/>
      </w:pPr>
      <w:rPr>
        <w:rFonts w:ascii="MS Mincho" w:hAnsi="MS Mincho"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78" w15:restartNumberingAfterBreak="0">
    <w:nsid w:val="5B7B4212"/>
    <w:multiLevelType w:val="hybridMultilevel"/>
    <w:tmpl w:val="FFFFFFFF"/>
    <w:lvl w:ilvl="0" w:tplc="5584427E">
      <w:start w:val="1"/>
      <w:numFmt w:val="bullet"/>
      <w:lvlText w:val="-"/>
      <w:lvlJc w:val="left"/>
      <w:pPr>
        <w:ind w:left="720" w:hanging="360"/>
      </w:pPr>
      <w:rPr>
        <w:rFonts w:ascii="Yu Mincho Light" w:hAnsi="Yu Mincho Light" w:hint="default"/>
      </w:rPr>
    </w:lvl>
    <w:lvl w:ilvl="1" w:tplc="70109100">
      <w:start w:val="1"/>
      <w:numFmt w:val="bullet"/>
      <w:lvlText w:val="o"/>
      <w:lvlJc w:val="left"/>
      <w:pPr>
        <w:ind w:left="1440" w:hanging="360"/>
      </w:pPr>
      <w:rPr>
        <w:rFonts w:ascii="@MS Mincho" w:hAnsi="@MS Mincho" w:hint="default"/>
      </w:rPr>
    </w:lvl>
    <w:lvl w:ilvl="2" w:tplc="530A15BE">
      <w:start w:val="1"/>
      <w:numFmt w:val="bullet"/>
      <w:lvlText w:val=""/>
      <w:lvlJc w:val="left"/>
      <w:pPr>
        <w:ind w:left="2160" w:hanging="360"/>
      </w:pPr>
      <w:rPr>
        <w:rFonts w:ascii="MS Mincho" w:hAnsi="MS Mincho" w:hint="default"/>
      </w:rPr>
    </w:lvl>
    <w:lvl w:ilvl="3" w:tplc="9E56B07C">
      <w:start w:val="1"/>
      <w:numFmt w:val="bullet"/>
      <w:lvlText w:val=""/>
      <w:lvlJc w:val="left"/>
      <w:pPr>
        <w:ind w:left="2880" w:hanging="360"/>
      </w:pPr>
      <w:rPr>
        <w:rFonts w:ascii="Times New Roman félkövér" w:hAnsi="Times New Roman félkövér" w:hint="default"/>
      </w:rPr>
    </w:lvl>
    <w:lvl w:ilvl="4" w:tplc="0D1AF1FA">
      <w:start w:val="1"/>
      <w:numFmt w:val="bullet"/>
      <w:lvlText w:val="o"/>
      <w:lvlJc w:val="left"/>
      <w:pPr>
        <w:ind w:left="3600" w:hanging="360"/>
      </w:pPr>
      <w:rPr>
        <w:rFonts w:ascii="@MS Mincho" w:hAnsi="@MS Mincho" w:hint="default"/>
      </w:rPr>
    </w:lvl>
    <w:lvl w:ilvl="5" w:tplc="ADC02602">
      <w:start w:val="1"/>
      <w:numFmt w:val="bullet"/>
      <w:lvlText w:val=""/>
      <w:lvlJc w:val="left"/>
      <w:pPr>
        <w:ind w:left="4320" w:hanging="360"/>
      </w:pPr>
      <w:rPr>
        <w:rFonts w:ascii="MS Mincho" w:hAnsi="MS Mincho" w:hint="default"/>
      </w:rPr>
    </w:lvl>
    <w:lvl w:ilvl="6" w:tplc="5EB4AE94">
      <w:start w:val="1"/>
      <w:numFmt w:val="bullet"/>
      <w:lvlText w:val=""/>
      <w:lvlJc w:val="left"/>
      <w:pPr>
        <w:ind w:left="5040" w:hanging="360"/>
      </w:pPr>
      <w:rPr>
        <w:rFonts w:ascii="Times New Roman félkövér" w:hAnsi="Times New Roman félkövér" w:hint="default"/>
      </w:rPr>
    </w:lvl>
    <w:lvl w:ilvl="7" w:tplc="02AAB518">
      <w:start w:val="1"/>
      <w:numFmt w:val="bullet"/>
      <w:lvlText w:val="o"/>
      <w:lvlJc w:val="left"/>
      <w:pPr>
        <w:ind w:left="5760" w:hanging="360"/>
      </w:pPr>
      <w:rPr>
        <w:rFonts w:ascii="@MS Mincho" w:hAnsi="@MS Mincho" w:hint="default"/>
      </w:rPr>
    </w:lvl>
    <w:lvl w:ilvl="8" w:tplc="F31AB2AC">
      <w:start w:val="1"/>
      <w:numFmt w:val="bullet"/>
      <w:lvlText w:val=""/>
      <w:lvlJc w:val="left"/>
      <w:pPr>
        <w:ind w:left="6480" w:hanging="360"/>
      </w:pPr>
      <w:rPr>
        <w:rFonts w:ascii="MS Mincho" w:hAnsi="MS Mincho" w:hint="default"/>
      </w:rPr>
    </w:lvl>
  </w:abstractNum>
  <w:abstractNum w:abstractNumId="7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5670C0"/>
    <w:multiLevelType w:val="hybridMultilevel"/>
    <w:tmpl w:val="0B3074BC"/>
    <w:lvl w:ilvl="0" w:tplc="B2AC25C2">
      <w:numFmt w:val="bullet"/>
      <w:lvlText w:val=""/>
      <w:lvlJc w:val="left"/>
      <w:pPr>
        <w:ind w:left="787" w:hanging="360"/>
      </w:pPr>
      <w:rPr>
        <w:rFonts w:ascii="Symbol" w:eastAsiaTheme="minorEastAsia" w:hAnsi="Symbol" w:cs="Times New Roman" w:hint="default"/>
      </w:rPr>
    </w:lvl>
    <w:lvl w:ilvl="1" w:tplc="FFFFFFFF">
      <w:start w:val="1"/>
      <w:numFmt w:val="bullet"/>
      <w:lvlText w:val="o"/>
      <w:lvlJc w:val="left"/>
      <w:pPr>
        <w:ind w:left="1507" w:hanging="360"/>
      </w:pPr>
      <w:rPr>
        <w:rFonts w:ascii="@MS Mincho" w:eastAsia="Times New Roman" w:hAnsi="@MS Mincho" w:cs="@MS Mincho" w:hint="eastAsia"/>
      </w:rPr>
    </w:lvl>
    <w:lvl w:ilvl="2" w:tplc="FFFFFFFF">
      <w:start w:val="1"/>
      <w:numFmt w:val="bullet"/>
      <w:lvlText w:val=""/>
      <w:lvlJc w:val="left"/>
      <w:pPr>
        <w:ind w:left="2227" w:hanging="360"/>
      </w:pPr>
      <w:rPr>
        <w:rFonts w:ascii="MS Mincho" w:eastAsia="Times New Roman" w:hAnsi="MS Mincho" w:hint="eastAsia"/>
      </w:rPr>
    </w:lvl>
    <w:lvl w:ilvl="3" w:tplc="FFFFFFFF">
      <w:start w:val="1"/>
      <w:numFmt w:val="bullet"/>
      <w:lvlText w:val=""/>
      <w:lvlJc w:val="left"/>
      <w:pPr>
        <w:ind w:left="2947" w:hanging="360"/>
      </w:pPr>
      <w:rPr>
        <w:rFonts w:ascii="Times New Roman félkövér" w:hAnsi="Times New Roman félkövér" w:hint="default"/>
      </w:rPr>
    </w:lvl>
    <w:lvl w:ilvl="4" w:tplc="FFFFFFFF">
      <w:start w:val="1"/>
      <w:numFmt w:val="bullet"/>
      <w:lvlText w:val="o"/>
      <w:lvlJc w:val="left"/>
      <w:pPr>
        <w:ind w:left="3667" w:hanging="360"/>
      </w:pPr>
      <w:rPr>
        <w:rFonts w:ascii="@MS Mincho" w:eastAsia="Times New Roman" w:hAnsi="@MS Mincho" w:cs="@MS Mincho" w:hint="eastAsia"/>
      </w:rPr>
    </w:lvl>
    <w:lvl w:ilvl="5" w:tplc="FFFFFFFF">
      <w:start w:val="1"/>
      <w:numFmt w:val="bullet"/>
      <w:lvlText w:val=""/>
      <w:lvlJc w:val="left"/>
      <w:pPr>
        <w:ind w:left="4387" w:hanging="360"/>
      </w:pPr>
      <w:rPr>
        <w:rFonts w:ascii="MS Mincho" w:eastAsia="Times New Roman" w:hAnsi="MS Mincho" w:hint="eastAsia"/>
      </w:rPr>
    </w:lvl>
    <w:lvl w:ilvl="6" w:tplc="FFFFFFFF">
      <w:start w:val="1"/>
      <w:numFmt w:val="bullet"/>
      <w:lvlText w:val=""/>
      <w:lvlJc w:val="left"/>
      <w:pPr>
        <w:ind w:left="5107" w:hanging="360"/>
      </w:pPr>
      <w:rPr>
        <w:rFonts w:ascii="Times New Roman félkövér" w:hAnsi="Times New Roman félkövér" w:hint="default"/>
      </w:rPr>
    </w:lvl>
    <w:lvl w:ilvl="7" w:tplc="FFFFFFFF">
      <w:start w:val="1"/>
      <w:numFmt w:val="bullet"/>
      <w:lvlText w:val="o"/>
      <w:lvlJc w:val="left"/>
      <w:pPr>
        <w:ind w:left="5827" w:hanging="360"/>
      </w:pPr>
      <w:rPr>
        <w:rFonts w:ascii="@MS Mincho" w:eastAsia="Times New Roman" w:hAnsi="@MS Mincho" w:cs="@MS Mincho" w:hint="eastAsia"/>
      </w:rPr>
    </w:lvl>
    <w:lvl w:ilvl="8" w:tplc="FFFFFFFF">
      <w:start w:val="1"/>
      <w:numFmt w:val="bullet"/>
      <w:lvlText w:val=""/>
      <w:lvlJc w:val="left"/>
      <w:pPr>
        <w:ind w:left="6547" w:hanging="360"/>
      </w:pPr>
      <w:rPr>
        <w:rFonts w:ascii="MS Mincho" w:eastAsia="Times New Roman" w:hAnsi="MS Mincho" w:hint="eastAsia"/>
      </w:rPr>
    </w:lvl>
  </w:abstractNum>
  <w:abstractNum w:abstractNumId="82" w15:restartNumberingAfterBreak="0">
    <w:nsid w:val="5F42C4D7"/>
    <w:multiLevelType w:val="hybridMultilevel"/>
    <w:tmpl w:val="FFFFFFFF"/>
    <w:lvl w:ilvl="0" w:tplc="85908E40">
      <w:start w:val="5"/>
      <w:numFmt w:val="decimal"/>
      <w:lvlText w:val="%1."/>
      <w:lvlJc w:val="left"/>
      <w:pPr>
        <w:ind w:left="720" w:hanging="360"/>
      </w:pPr>
      <w:rPr>
        <w:rFonts w:ascii="Arial" w:hAnsi="Arial" w:hint="default"/>
      </w:rPr>
    </w:lvl>
    <w:lvl w:ilvl="1" w:tplc="9E30FE2E">
      <w:start w:val="1"/>
      <w:numFmt w:val="lowerLetter"/>
      <w:lvlText w:val="%2."/>
      <w:lvlJc w:val="left"/>
      <w:pPr>
        <w:ind w:left="1440" w:hanging="360"/>
      </w:pPr>
    </w:lvl>
    <w:lvl w:ilvl="2" w:tplc="CDF60808">
      <w:start w:val="1"/>
      <w:numFmt w:val="lowerRoman"/>
      <w:lvlText w:val="%3."/>
      <w:lvlJc w:val="right"/>
      <w:pPr>
        <w:ind w:left="2160" w:hanging="180"/>
      </w:pPr>
    </w:lvl>
    <w:lvl w:ilvl="3" w:tplc="570274F8">
      <w:start w:val="1"/>
      <w:numFmt w:val="decimal"/>
      <w:lvlText w:val="%4."/>
      <w:lvlJc w:val="left"/>
      <w:pPr>
        <w:ind w:left="2880" w:hanging="360"/>
      </w:pPr>
    </w:lvl>
    <w:lvl w:ilvl="4" w:tplc="BAE6A98E">
      <w:start w:val="1"/>
      <w:numFmt w:val="lowerLetter"/>
      <w:lvlText w:val="%5."/>
      <w:lvlJc w:val="left"/>
      <w:pPr>
        <w:ind w:left="3600" w:hanging="360"/>
      </w:pPr>
    </w:lvl>
    <w:lvl w:ilvl="5" w:tplc="3DB267C0">
      <w:start w:val="1"/>
      <w:numFmt w:val="lowerRoman"/>
      <w:lvlText w:val="%6."/>
      <w:lvlJc w:val="right"/>
      <w:pPr>
        <w:ind w:left="4320" w:hanging="180"/>
      </w:pPr>
    </w:lvl>
    <w:lvl w:ilvl="6" w:tplc="90FA4D30">
      <w:start w:val="1"/>
      <w:numFmt w:val="decimal"/>
      <w:lvlText w:val="%7."/>
      <w:lvlJc w:val="left"/>
      <w:pPr>
        <w:ind w:left="5040" w:hanging="360"/>
      </w:pPr>
    </w:lvl>
    <w:lvl w:ilvl="7" w:tplc="B61CC490">
      <w:start w:val="1"/>
      <w:numFmt w:val="lowerLetter"/>
      <w:lvlText w:val="%8."/>
      <w:lvlJc w:val="left"/>
      <w:pPr>
        <w:ind w:left="5760" w:hanging="360"/>
      </w:pPr>
    </w:lvl>
    <w:lvl w:ilvl="8" w:tplc="4BE2B3D2">
      <w:start w:val="1"/>
      <w:numFmt w:val="lowerRoman"/>
      <w:lvlText w:val="%9."/>
      <w:lvlJc w:val="right"/>
      <w:pPr>
        <w:ind w:left="6480" w:hanging="180"/>
      </w:pPr>
    </w:lvl>
  </w:abstractNum>
  <w:abstractNum w:abstractNumId="83" w15:restartNumberingAfterBreak="0">
    <w:nsid w:val="63FA6C6C"/>
    <w:multiLevelType w:val="hybridMultilevel"/>
    <w:tmpl w:val="FFFFFFFF"/>
    <w:lvl w:ilvl="0" w:tplc="BFE443FC">
      <w:start w:val="1"/>
      <w:numFmt w:val="decimal"/>
      <w:lvlText w:val="%1."/>
      <w:lvlJc w:val="left"/>
      <w:pPr>
        <w:ind w:left="720" w:hanging="360"/>
      </w:pPr>
      <w:rPr>
        <w:rFonts w:ascii="Arial" w:hAnsi="Arial" w:hint="default"/>
      </w:rPr>
    </w:lvl>
    <w:lvl w:ilvl="1" w:tplc="78AAB50E">
      <w:start w:val="1"/>
      <w:numFmt w:val="lowerLetter"/>
      <w:lvlText w:val="%2."/>
      <w:lvlJc w:val="left"/>
      <w:pPr>
        <w:ind w:left="1440" w:hanging="360"/>
      </w:pPr>
    </w:lvl>
    <w:lvl w:ilvl="2" w:tplc="4874DBE6">
      <w:start w:val="1"/>
      <w:numFmt w:val="lowerRoman"/>
      <w:lvlText w:val="%3."/>
      <w:lvlJc w:val="right"/>
      <w:pPr>
        <w:ind w:left="2160" w:hanging="180"/>
      </w:pPr>
    </w:lvl>
    <w:lvl w:ilvl="3" w:tplc="9C58804C">
      <w:start w:val="1"/>
      <w:numFmt w:val="decimal"/>
      <w:lvlText w:val="%4."/>
      <w:lvlJc w:val="left"/>
      <w:pPr>
        <w:ind w:left="2880" w:hanging="360"/>
      </w:pPr>
    </w:lvl>
    <w:lvl w:ilvl="4" w:tplc="54A484DA">
      <w:start w:val="1"/>
      <w:numFmt w:val="lowerLetter"/>
      <w:lvlText w:val="%5."/>
      <w:lvlJc w:val="left"/>
      <w:pPr>
        <w:ind w:left="3600" w:hanging="360"/>
      </w:pPr>
    </w:lvl>
    <w:lvl w:ilvl="5" w:tplc="3A1A5CD2">
      <w:start w:val="1"/>
      <w:numFmt w:val="lowerRoman"/>
      <w:lvlText w:val="%6."/>
      <w:lvlJc w:val="right"/>
      <w:pPr>
        <w:ind w:left="4320" w:hanging="180"/>
      </w:pPr>
    </w:lvl>
    <w:lvl w:ilvl="6" w:tplc="5FF49A50">
      <w:start w:val="1"/>
      <w:numFmt w:val="decimal"/>
      <w:lvlText w:val="%7."/>
      <w:lvlJc w:val="left"/>
      <w:pPr>
        <w:ind w:left="5040" w:hanging="360"/>
      </w:pPr>
    </w:lvl>
    <w:lvl w:ilvl="7" w:tplc="7E62052A">
      <w:start w:val="1"/>
      <w:numFmt w:val="lowerLetter"/>
      <w:lvlText w:val="%8."/>
      <w:lvlJc w:val="left"/>
      <w:pPr>
        <w:ind w:left="5760" w:hanging="360"/>
      </w:pPr>
    </w:lvl>
    <w:lvl w:ilvl="8" w:tplc="5AB6589C">
      <w:start w:val="1"/>
      <w:numFmt w:val="lowerRoman"/>
      <w:lvlText w:val="%9."/>
      <w:lvlJc w:val="right"/>
      <w:pPr>
        <w:ind w:left="6480" w:hanging="180"/>
      </w:pPr>
    </w:lvl>
  </w:abstractNum>
  <w:abstractNum w:abstractNumId="84" w15:restartNumberingAfterBreak="0">
    <w:nsid w:val="647B00E9"/>
    <w:multiLevelType w:val="hybridMultilevel"/>
    <w:tmpl w:val="4E965456"/>
    <w:lvl w:ilvl="0" w:tplc="1430B29A">
      <w:start w:val="1"/>
      <w:numFmt w:val="bullet"/>
      <w:lvlText w:val="-"/>
      <w:lvlJc w:val="left"/>
      <w:pPr>
        <w:ind w:left="720" w:hanging="360"/>
      </w:pPr>
      <w:rPr>
        <w:rFonts w:ascii="Times New Roman" w:eastAsiaTheme="minorEastAsia"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64A12FA4"/>
    <w:multiLevelType w:val="multilevel"/>
    <w:tmpl w:val="BC1C158C"/>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5F29AB7"/>
    <w:multiLevelType w:val="hybridMultilevel"/>
    <w:tmpl w:val="FFFFFFFF"/>
    <w:lvl w:ilvl="0" w:tplc="58201CB0">
      <w:start w:val="1"/>
      <w:numFmt w:val="bullet"/>
      <w:lvlText w:val="·"/>
      <w:lvlJc w:val="left"/>
      <w:pPr>
        <w:ind w:left="720" w:hanging="360"/>
      </w:pPr>
      <w:rPr>
        <w:rFonts w:ascii="Symbol" w:hAnsi="Symbol" w:hint="default"/>
      </w:rPr>
    </w:lvl>
    <w:lvl w:ilvl="1" w:tplc="F21CCB48">
      <w:start w:val="1"/>
      <w:numFmt w:val="bullet"/>
      <w:lvlText w:val="o"/>
      <w:lvlJc w:val="left"/>
      <w:pPr>
        <w:ind w:left="1440" w:hanging="360"/>
      </w:pPr>
      <w:rPr>
        <w:rFonts w:ascii="Courier New" w:hAnsi="Courier New" w:hint="default"/>
      </w:rPr>
    </w:lvl>
    <w:lvl w:ilvl="2" w:tplc="FFCE4578">
      <w:start w:val="1"/>
      <w:numFmt w:val="bullet"/>
      <w:lvlText w:val=""/>
      <w:lvlJc w:val="left"/>
      <w:pPr>
        <w:ind w:left="2160" w:hanging="360"/>
      </w:pPr>
      <w:rPr>
        <w:rFonts w:ascii="Wingdings" w:hAnsi="Wingdings" w:hint="default"/>
      </w:rPr>
    </w:lvl>
    <w:lvl w:ilvl="3" w:tplc="7CAA1FD6">
      <w:start w:val="1"/>
      <w:numFmt w:val="bullet"/>
      <w:lvlText w:val=""/>
      <w:lvlJc w:val="left"/>
      <w:pPr>
        <w:ind w:left="2880" w:hanging="360"/>
      </w:pPr>
      <w:rPr>
        <w:rFonts w:ascii="Symbol" w:hAnsi="Symbol" w:hint="default"/>
      </w:rPr>
    </w:lvl>
    <w:lvl w:ilvl="4" w:tplc="AF8E51E4">
      <w:start w:val="1"/>
      <w:numFmt w:val="bullet"/>
      <w:lvlText w:val="o"/>
      <w:lvlJc w:val="left"/>
      <w:pPr>
        <w:ind w:left="3600" w:hanging="360"/>
      </w:pPr>
      <w:rPr>
        <w:rFonts w:ascii="Courier New" w:hAnsi="Courier New" w:hint="default"/>
      </w:rPr>
    </w:lvl>
    <w:lvl w:ilvl="5" w:tplc="EFFE6B0C">
      <w:start w:val="1"/>
      <w:numFmt w:val="bullet"/>
      <w:lvlText w:val=""/>
      <w:lvlJc w:val="left"/>
      <w:pPr>
        <w:ind w:left="4320" w:hanging="360"/>
      </w:pPr>
      <w:rPr>
        <w:rFonts w:ascii="Wingdings" w:hAnsi="Wingdings" w:hint="default"/>
      </w:rPr>
    </w:lvl>
    <w:lvl w:ilvl="6" w:tplc="29447762">
      <w:start w:val="1"/>
      <w:numFmt w:val="bullet"/>
      <w:lvlText w:val=""/>
      <w:lvlJc w:val="left"/>
      <w:pPr>
        <w:ind w:left="5040" w:hanging="360"/>
      </w:pPr>
      <w:rPr>
        <w:rFonts w:ascii="Symbol" w:hAnsi="Symbol" w:hint="default"/>
      </w:rPr>
    </w:lvl>
    <w:lvl w:ilvl="7" w:tplc="6E262278">
      <w:start w:val="1"/>
      <w:numFmt w:val="bullet"/>
      <w:lvlText w:val="o"/>
      <w:lvlJc w:val="left"/>
      <w:pPr>
        <w:ind w:left="5760" w:hanging="360"/>
      </w:pPr>
      <w:rPr>
        <w:rFonts w:ascii="Courier New" w:hAnsi="Courier New" w:hint="default"/>
      </w:rPr>
    </w:lvl>
    <w:lvl w:ilvl="8" w:tplc="DAA0A588">
      <w:start w:val="1"/>
      <w:numFmt w:val="bullet"/>
      <w:lvlText w:val=""/>
      <w:lvlJc w:val="left"/>
      <w:pPr>
        <w:ind w:left="6480" w:hanging="360"/>
      </w:pPr>
      <w:rPr>
        <w:rFonts w:ascii="Wingdings" w:hAnsi="Wingdings" w:hint="default"/>
      </w:rPr>
    </w:lvl>
  </w:abstractNum>
  <w:abstractNum w:abstractNumId="87" w15:restartNumberingAfterBreak="0">
    <w:nsid w:val="6611570F"/>
    <w:multiLevelType w:val="hybridMultilevel"/>
    <w:tmpl w:val="3EA0F09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8" w15:restartNumberingAfterBreak="0">
    <w:nsid w:val="664D70F5"/>
    <w:multiLevelType w:val="hybridMultilevel"/>
    <w:tmpl w:val="7926427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4E5F2B"/>
    <w:multiLevelType w:val="hybridMultilevel"/>
    <w:tmpl w:val="A07C5026"/>
    <w:lvl w:ilvl="0" w:tplc="1430B29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91" w15:restartNumberingAfterBreak="0">
    <w:nsid w:val="693606FA"/>
    <w:multiLevelType w:val="hybridMultilevel"/>
    <w:tmpl w:val="8D6280A4"/>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B46E49"/>
    <w:multiLevelType w:val="hybridMultilevel"/>
    <w:tmpl w:val="71CE6D68"/>
    <w:lvl w:ilvl="0" w:tplc="991C3E1E">
      <w:start w:val="1"/>
      <w:numFmt w:val="bullet"/>
      <w:lvlText w:val="-"/>
      <w:lvlJc w:val="left"/>
      <w:pPr>
        <w:ind w:left="776" w:hanging="360"/>
      </w:pPr>
      <w:rPr>
        <w:rFonts w:ascii="Calibri" w:hAnsi="Calibr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3" w15:restartNumberingAfterBreak="0">
    <w:nsid w:val="6A9F1F71"/>
    <w:multiLevelType w:val="hybridMultilevel"/>
    <w:tmpl w:val="BBD8C89C"/>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B65415B"/>
    <w:multiLevelType w:val="hybridMultilevel"/>
    <w:tmpl w:val="E76CD6BE"/>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7957C5"/>
    <w:multiLevelType w:val="hybridMultilevel"/>
    <w:tmpl w:val="CB48133E"/>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BA97145"/>
    <w:multiLevelType w:val="hybridMultilevel"/>
    <w:tmpl w:val="4A84F69C"/>
    <w:lvl w:ilvl="0" w:tplc="B8D40F1C">
      <w:start w:val="1"/>
      <w:numFmt w:val="bullet"/>
      <w:lvlText w:val="-"/>
      <w:lvlJc w:val="left"/>
      <w:pPr>
        <w:ind w:left="1080" w:hanging="72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DCD3309"/>
    <w:multiLevelType w:val="hybridMultilevel"/>
    <w:tmpl w:val="4A983824"/>
    <w:lvl w:ilvl="0" w:tplc="991C3E1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E050C4A"/>
    <w:multiLevelType w:val="hybridMultilevel"/>
    <w:tmpl w:val="505EAFF8"/>
    <w:lvl w:ilvl="0" w:tplc="991C3E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5E64AD"/>
    <w:multiLevelType w:val="hybridMultilevel"/>
    <w:tmpl w:val="300A349C"/>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1726FF"/>
    <w:multiLevelType w:val="hybridMultilevel"/>
    <w:tmpl w:val="FFFFFFFF"/>
    <w:lvl w:ilvl="0" w:tplc="98380C30">
      <w:start w:val="3"/>
      <w:numFmt w:val="decimal"/>
      <w:lvlText w:val="%1."/>
      <w:lvlJc w:val="left"/>
      <w:pPr>
        <w:ind w:left="720" w:hanging="360"/>
      </w:pPr>
      <w:rPr>
        <w:rFonts w:ascii="Arial" w:hAnsi="Arial" w:hint="default"/>
      </w:rPr>
    </w:lvl>
    <w:lvl w:ilvl="1" w:tplc="DD021EF2">
      <w:start w:val="1"/>
      <w:numFmt w:val="lowerLetter"/>
      <w:lvlText w:val="%2."/>
      <w:lvlJc w:val="left"/>
      <w:pPr>
        <w:ind w:left="1440" w:hanging="360"/>
      </w:pPr>
    </w:lvl>
    <w:lvl w:ilvl="2" w:tplc="AC98F804">
      <w:start w:val="1"/>
      <w:numFmt w:val="lowerRoman"/>
      <w:lvlText w:val="%3."/>
      <w:lvlJc w:val="right"/>
      <w:pPr>
        <w:ind w:left="2160" w:hanging="180"/>
      </w:pPr>
    </w:lvl>
    <w:lvl w:ilvl="3" w:tplc="389E5DE2">
      <w:start w:val="1"/>
      <w:numFmt w:val="decimal"/>
      <w:lvlText w:val="%4."/>
      <w:lvlJc w:val="left"/>
      <w:pPr>
        <w:ind w:left="2880" w:hanging="360"/>
      </w:pPr>
    </w:lvl>
    <w:lvl w:ilvl="4" w:tplc="365EFD8C">
      <w:start w:val="1"/>
      <w:numFmt w:val="lowerLetter"/>
      <w:lvlText w:val="%5."/>
      <w:lvlJc w:val="left"/>
      <w:pPr>
        <w:ind w:left="3600" w:hanging="360"/>
      </w:pPr>
    </w:lvl>
    <w:lvl w:ilvl="5" w:tplc="A1AE07A0">
      <w:start w:val="1"/>
      <w:numFmt w:val="lowerRoman"/>
      <w:lvlText w:val="%6."/>
      <w:lvlJc w:val="right"/>
      <w:pPr>
        <w:ind w:left="4320" w:hanging="180"/>
      </w:pPr>
    </w:lvl>
    <w:lvl w:ilvl="6" w:tplc="D096CB8E">
      <w:start w:val="1"/>
      <w:numFmt w:val="decimal"/>
      <w:lvlText w:val="%7."/>
      <w:lvlJc w:val="left"/>
      <w:pPr>
        <w:ind w:left="5040" w:hanging="360"/>
      </w:pPr>
    </w:lvl>
    <w:lvl w:ilvl="7" w:tplc="9BDCC560">
      <w:start w:val="1"/>
      <w:numFmt w:val="lowerLetter"/>
      <w:lvlText w:val="%8."/>
      <w:lvlJc w:val="left"/>
      <w:pPr>
        <w:ind w:left="5760" w:hanging="360"/>
      </w:pPr>
    </w:lvl>
    <w:lvl w:ilvl="8" w:tplc="8C92628C">
      <w:start w:val="1"/>
      <w:numFmt w:val="lowerRoman"/>
      <w:lvlText w:val="%9."/>
      <w:lvlJc w:val="right"/>
      <w:pPr>
        <w:ind w:left="6480" w:hanging="180"/>
      </w:pPr>
    </w:lvl>
  </w:abstractNum>
  <w:abstractNum w:abstractNumId="101" w15:restartNumberingAfterBreak="0">
    <w:nsid w:val="72770BB9"/>
    <w:multiLevelType w:val="hybridMultilevel"/>
    <w:tmpl w:val="B61263DC"/>
    <w:lvl w:ilvl="0" w:tplc="CDB2D0AC">
      <w:start w:val="1"/>
      <w:numFmt w:val="lowerRoman"/>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2" w15:restartNumberingAfterBreak="0">
    <w:nsid w:val="72AE595F"/>
    <w:multiLevelType w:val="hybridMultilevel"/>
    <w:tmpl w:val="11FA201C"/>
    <w:lvl w:ilvl="0" w:tplc="3B1621C6">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73DE680C"/>
    <w:multiLevelType w:val="hybridMultilevel"/>
    <w:tmpl w:val="E2D254FE"/>
    <w:lvl w:ilvl="0" w:tplc="786419CC">
      <w:start w:val="1"/>
      <w:numFmt w:val="bullet"/>
      <w:lvlText w:val="-"/>
      <w:lvlJc w:val="left"/>
      <w:pPr>
        <w:ind w:left="720" w:hanging="360"/>
      </w:pPr>
      <w:rPr>
        <w:rFonts w:ascii="MS Mincho" w:eastAsiaTheme="minorHAnsi" w:hAnsi="MS Mincho" w:cs="MS Mincho" w:hint="default"/>
      </w:rPr>
    </w:lvl>
    <w:lvl w:ilvl="1" w:tplc="18090003">
      <w:start w:val="1"/>
      <w:numFmt w:val="bullet"/>
      <w:lvlText w:val="o"/>
      <w:lvlJc w:val="left"/>
      <w:pPr>
        <w:ind w:left="1440" w:hanging="360"/>
      </w:pPr>
      <w:rPr>
        <w:rFonts w:ascii="Segoe UI Emoji" w:hAnsi="Segoe UI Emoji" w:cs="Segoe UI Emoji" w:hint="default"/>
      </w:rPr>
    </w:lvl>
    <w:lvl w:ilvl="2" w:tplc="18090005" w:tentative="1">
      <w:start w:val="1"/>
      <w:numFmt w:val="bullet"/>
      <w:lvlText w:val=""/>
      <w:lvlJc w:val="left"/>
      <w:pPr>
        <w:ind w:left="2160" w:hanging="360"/>
      </w:pPr>
      <w:rPr>
        <w:rFonts w:ascii="@MS Mincho" w:hAnsi="@MS Mincho" w:hint="default"/>
      </w:rPr>
    </w:lvl>
    <w:lvl w:ilvl="3" w:tplc="18090001" w:tentative="1">
      <w:start w:val="1"/>
      <w:numFmt w:val="bullet"/>
      <w:lvlText w:val=""/>
      <w:lvlJc w:val="left"/>
      <w:pPr>
        <w:ind w:left="2880" w:hanging="360"/>
      </w:pPr>
      <w:rPr>
        <w:rFonts w:ascii="Times New Roman félkövér" w:hAnsi="Times New Roman félkövér" w:hint="default"/>
      </w:rPr>
    </w:lvl>
    <w:lvl w:ilvl="4" w:tplc="18090003" w:tentative="1">
      <w:start w:val="1"/>
      <w:numFmt w:val="bullet"/>
      <w:lvlText w:val="o"/>
      <w:lvlJc w:val="left"/>
      <w:pPr>
        <w:ind w:left="3600" w:hanging="360"/>
      </w:pPr>
      <w:rPr>
        <w:rFonts w:ascii="Segoe UI Emoji" w:hAnsi="Segoe UI Emoji" w:cs="Segoe UI Emoji" w:hint="default"/>
      </w:rPr>
    </w:lvl>
    <w:lvl w:ilvl="5" w:tplc="18090005" w:tentative="1">
      <w:start w:val="1"/>
      <w:numFmt w:val="bullet"/>
      <w:lvlText w:val=""/>
      <w:lvlJc w:val="left"/>
      <w:pPr>
        <w:ind w:left="4320" w:hanging="360"/>
      </w:pPr>
      <w:rPr>
        <w:rFonts w:ascii="@MS Mincho" w:hAnsi="@MS Mincho" w:hint="default"/>
      </w:rPr>
    </w:lvl>
    <w:lvl w:ilvl="6" w:tplc="18090001" w:tentative="1">
      <w:start w:val="1"/>
      <w:numFmt w:val="bullet"/>
      <w:lvlText w:val=""/>
      <w:lvlJc w:val="left"/>
      <w:pPr>
        <w:ind w:left="5040" w:hanging="360"/>
      </w:pPr>
      <w:rPr>
        <w:rFonts w:ascii="Times New Roman félkövér" w:hAnsi="Times New Roman félkövér" w:hint="default"/>
      </w:rPr>
    </w:lvl>
    <w:lvl w:ilvl="7" w:tplc="18090003" w:tentative="1">
      <w:start w:val="1"/>
      <w:numFmt w:val="bullet"/>
      <w:lvlText w:val="o"/>
      <w:lvlJc w:val="left"/>
      <w:pPr>
        <w:ind w:left="5760" w:hanging="360"/>
      </w:pPr>
      <w:rPr>
        <w:rFonts w:ascii="Segoe UI Emoji" w:hAnsi="Segoe UI Emoji" w:cs="Segoe UI Emoji" w:hint="default"/>
      </w:rPr>
    </w:lvl>
    <w:lvl w:ilvl="8" w:tplc="18090005" w:tentative="1">
      <w:start w:val="1"/>
      <w:numFmt w:val="bullet"/>
      <w:lvlText w:val=""/>
      <w:lvlJc w:val="left"/>
      <w:pPr>
        <w:ind w:left="6480" w:hanging="360"/>
      </w:pPr>
      <w:rPr>
        <w:rFonts w:ascii="@MS Mincho" w:hAnsi="@MS Mincho" w:hint="default"/>
      </w:rPr>
    </w:lvl>
  </w:abstractNum>
  <w:abstractNum w:abstractNumId="104" w15:restartNumberingAfterBreak="0">
    <w:nsid w:val="743FC4E8"/>
    <w:multiLevelType w:val="hybridMultilevel"/>
    <w:tmpl w:val="FFFFFFFF"/>
    <w:lvl w:ilvl="0" w:tplc="68E0B802">
      <w:start w:val="7"/>
      <w:numFmt w:val="decimal"/>
      <w:lvlText w:val="%1."/>
      <w:lvlJc w:val="left"/>
      <w:pPr>
        <w:ind w:left="720" w:hanging="360"/>
      </w:pPr>
      <w:rPr>
        <w:rFonts w:ascii="Arial" w:hAnsi="Arial" w:hint="default"/>
      </w:rPr>
    </w:lvl>
    <w:lvl w:ilvl="1" w:tplc="95AEC662">
      <w:start w:val="1"/>
      <w:numFmt w:val="lowerLetter"/>
      <w:lvlText w:val="%2."/>
      <w:lvlJc w:val="left"/>
      <w:pPr>
        <w:ind w:left="1440" w:hanging="360"/>
      </w:pPr>
    </w:lvl>
    <w:lvl w:ilvl="2" w:tplc="298A1246">
      <w:start w:val="1"/>
      <w:numFmt w:val="lowerRoman"/>
      <w:lvlText w:val="%3."/>
      <w:lvlJc w:val="right"/>
      <w:pPr>
        <w:ind w:left="2160" w:hanging="180"/>
      </w:pPr>
    </w:lvl>
    <w:lvl w:ilvl="3" w:tplc="73F03BEA">
      <w:start w:val="1"/>
      <w:numFmt w:val="decimal"/>
      <w:lvlText w:val="%4."/>
      <w:lvlJc w:val="left"/>
      <w:pPr>
        <w:ind w:left="2880" w:hanging="360"/>
      </w:pPr>
    </w:lvl>
    <w:lvl w:ilvl="4" w:tplc="0FE29DB2">
      <w:start w:val="1"/>
      <w:numFmt w:val="lowerLetter"/>
      <w:lvlText w:val="%5."/>
      <w:lvlJc w:val="left"/>
      <w:pPr>
        <w:ind w:left="3600" w:hanging="360"/>
      </w:pPr>
    </w:lvl>
    <w:lvl w:ilvl="5" w:tplc="5A98CA7C">
      <w:start w:val="1"/>
      <w:numFmt w:val="lowerRoman"/>
      <w:lvlText w:val="%6."/>
      <w:lvlJc w:val="right"/>
      <w:pPr>
        <w:ind w:left="4320" w:hanging="180"/>
      </w:pPr>
    </w:lvl>
    <w:lvl w:ilvl="6" w:tplc="A2B0AE06">
      <w:start w:val="1"/>
      <w:numFmt w:val="decimal"/>
      <w:lvlText w:val="%7."/>
      <w:lvlJc w:val="left"/>
      <w:pPr>
        <w:ind w:left="5040" w:hanging="360"/>
      </w:pPr>
    </w:lvl>
    <w:lvl w:ilvl="7" w:tplc="94F03984">
      <w:start w:val="1"/>
      <w:numFmt w:val="lowerLetter"/>
      <w:lvlText w:val="%8."/>
      <w:lvlJc w:val="left"/>
      <w:pPr>
        <w:ind w:left="5760" w:hanging="360"/>
      </w:pPr>
    </w:lvl>
    <w:lvl w:ilvl="8" w:tplc="F01E3496">
      <w:start w:val="1"/>
      <w:numFmt w:val="lowerRoman"/>
      <w:lvlText w:val="%9."/>
      <w:lvlJc w:val="right"/>
      <w:pPr>
        <w:ind w:left="6480" w:hanging="180"/>
      </w:pPr>
    </w:lvl>
  </w:abstractNum>
  <w:abstractNum w:abstractNumId="105" w15:restartNumberingAfterBreak="0">
    <w:nsid w:val="74C36343"/>
    <w:multiLevelType w:val="hybridMultilevel"/>
    <w:tmpl w:val="FFFFFFFF"/>
    <w:lvl w:ilvl="0" w:tplc="18FE0878">
      <w:start w:val="1"/>
      <w:numFmt w:val="decimal"/>
      <w:lvlText w:val="%1."/>
      <w:lvlJc w:val="left"/>
      <w:pPr>
        <w:ind w:left="720" w:hanging="360"/>
      </w:pPr>
    </w:lvl>
    <w:lvl w:ilvl="1" w:tplc="30F481D2">
      <w:start w:val="1"/>
      <w:numFmt w:val="lowerLetter"/>
      <w:lvlText w:val="%2."/>
      <w:lvlJc w:val="left"/>
      <w:pPr>
        <w:ind w:left="1440" w:hanging="360"/>
      </w:pPr>
    </w:lvl>
    <w:lvl w:ilvl="2" w:tplc="BC2A330E">
      <w:start w:val="1"/>
      <w:numFmt w:val="lowerRoman"/>
      <w:lvlText w:val="%3."/>
      <w:lvlJc w:val="right"/>
      <w:pPr>
        <w:ind w:left="2160" w:hanging="180"/>
      </w:pPr>
    </w:lvl>
    <w:lvl w:ilvl="3" w:tplc="0AD85EA2">
      <w:start w:val="1"/>
      <w:numFmt w:val="decimal"/>
      <w:lvlText w:val="%4."/>
      <w:lvlJc w:val="left"/>
      <w:pPr>
        <w:ind w:left="2880" w:hanging="360"/>
      </w:pPr>
    </w:lvl>
    <w:lvl w:ilvl="4" w:tplc="EFE821FA">
      <w:start w:val="1"/>
      <w:numFmt w:val="lowerLetter"/>
      <w:lvlText w:val="%5."/>
      <w:lvlJc w:val="left"/>
      <w:pPr>
        <w:ind w:left="3600" w:hanging="360"/>
      </w:pPr>
    </w:lvl>
    <w:lvl w:ilvl="5" w:tplc="EF6A7952">
      <w:start w:val="1"/>
      <w:numFmt w:val="lowerRoman"/>
      <w:lvlText w:val="%6."/>
      <w:lvlJc w:val="right"/>
      <w:pPr>
        <w:ind w:left="4320" w:hanging="180"/>
      </w:pPr>
    </w:lvl>
    <w:lvl w:ilvl="6" w:tplc="AA54EB3A">
      <w:start w:val="1"/>
      <w:numFmt w:val="decimal"/>
      <w:lvlText w:val="%7."/>
      <w:lvlJc w:val="left"/>
      <w:pPr>
        <w:ind w:left="5040" w:hanging="360"/>
      </w:pPr>
    </w:lvl>
    <w:lvl w:ilvl="7" w:tplc="A3E27F76">
      <w:start w:val="1"/>
      <w:numFmt w:val="lowerLetter"/>
      <w:lvlText w:val="%8."/>
      <w:lvlJc w:val="left"/>
      <w:pPr>
        <w:ind w:left="5760" w:hanging="360"/>
      </w:pPr>
    </w:lvl>
    <w:lvl w:ilvl="8" w:tplc="715AFDE4">
      <w:start w:val="1"/>
      <w:numFmt w:val="lowerRoman"/>
      <w:lvlText w:val="%9."/>
      <w:lvlJc w:val="right"/>
      <w:pPr>
        <w:ind w:left="6480" w:hanging="180"/>
      </w:pPr>
    </w:lvl>
  </w:abstractNum>
  <w:abstractNum w:abstractNumId="106" w15:restartNumberingAfterBreak="0">
    <w:nsid w:val="74EFE3A3"/>
    <w:multiLevelType w:val="hybridMultilevel"/>
    <w:tmpl w:val="FFFFFFFF"/>
    <w:lvl w:ilvl="0" w:tplc="D40AFDD8">
      <w:start w:val="1"/>
      <w:numFmt w:val="bullet"/>
      <w:lvlText w:val="-"/>
      <w:lvlJc w:val="left"/>
      <w:pPr>
        <w:ind w:left="720" w:hanging="360"/>
      </w:pPr>
      <w:rPr>
        <w:rFonts w:ascii="Calibri" w:hAnsi="Calibri" w:hint="default"/>
      </w:rPr>
    </w:lvl>
    <w:lvl w:ilvl="1" w:tplc="D1B00D96">
      <w:start w:val="1"/>
      <w:numFmt w:val="bullet"/>
      <w:lvlText w:val="o"/>
      <w:lvlJc w:val="left"/>
      <w:pPr>
        <w:ind w:left="1440" w:hanging="360"/>
      </w:pPr>
      <w:rPr>
        <w:rFonts w:ascii="Courier New" w:hAnsi="Courier New" w:hint="default"/>
      </w:rPr>
    </w:lvl>
    <w:lvl w:ilvl="2" w:tplc="A9468258">
      <w:start w:val="1"/>
      <w:numFmt w:val="bullet"/>
      <w:lvlText w:val=""/>
      <w:lvlJc w:val="left"/>
      <w:pPr>
        <w:ind w:left="2160" w:hanging="360"/>
      </w:pPr>
      <w:rPr>
        <w:rFonts w:ascii="Wingdings" w:hAnsi="Wingdings" w:hint="default"/>
      </w:rPr>
    </w:lvl>
    <w:lvl w:ilvl="3" w:tplc="017AF1BE">
      <w:start w:val="1"/>
      <w:numFmt w:val="bullet"/>
      <w:lvlText w:val=""/>
      <w:lvlJc w:val="left"/>
      <w:pPr>
        <w:ind w:left="2880" w:hanging="360"/>
      </w:pPr>
      <w:rPr>
        <w:rFonts w:ascii="Symbol" w:hAnsi="Symbol" w:hint="default"/>
      </w:rPr>
    </w:lvl>
    <w:lvl w:ilvl="4" w:tplc="C460106C">
      <w:start w:val="1"/>
      <w:numFmt w:val="bullet"/>
      <w:lvlText w:val="o"/>
      <w:lvlJc w:val="left"/>
      <w:pPr>
        <w:ind w:left="3600" w:hanging="360"/>
      </w:pPr>
      <w:rPr>
        <w:rFonts w:ascii="Courier New" w:hAnsi="Courier New" w:hint="default"/>
      </w:rPr>
    </w:lvl>
    <w:lvl w:ilvl="5" w:tplc="7AF2F49E">
      <w:start w:val="1"/>
      <w:numFmt w:val="bullet"/>
      <w:lvlText w:val=""/>
      <w:lvlJc w:val="left"/>
      <w:pPr>
        <w:ind w:left="4320" w:hanging="360"/>
      </w:pPr>
      <w:rPr>
        <w:rFonts w:ascii="Wingdings" w:hAnsi="Wingdings" w:hint="default"/>
      </w:rPr>
    </w:lvl>
    <w:lvl w:ilvl="6" w:tplc="0A64F4B2">
      <w:start w:val="1"/>
      <w:numFmt w:val="bullet"/>
      <w:lvlText w:val=""/>
      <w:lvlJc w:val="left"/>
      <w:pPr>
        <w:ind w:left="5040" w:hanging="360"/>
      </w:pPr>
      <w:rPr>
        <w:rFonts w:ascii="Symbol" w:hAnsi="Symbol" w:hint="default"/>
      </w:rPr>
    </w:lvl>
    <w:lvl w:ilvl="7" w:tplc="1B526E5E">
      <w:start w:val="1"/>
      <w:numFmt w:val="bullet"/>
      <w:lvlText w:val="o"/>
      <w:lvlJc w:val="left"/>
      <w:pPr>
        <w:ind w:left="5760" w:hanging="360"/>
      </w:pPr>
      <w:rPr>
        <w:rFonts w:ascii="Courier New" w:hAnsi="Courier New" w:hint="default"/>
      </w:rPr>
    </w:lvl>
    <w:lvl w:ilvl="8" w:tplc="A08E0D68">
      <w:start w:val="1"/>
      <w:numFmt w:val="bullet"/>
      <w:lvlText w:val=""/>
      <w:lvlJc w:val="left"/>
      <w:pPr>
        <w:ind w:left="6480" w:hanging="360"/>
      </w:pPr>
      <w:rPr>
        <w:rFonts w:ascii="Wingdings" w:hAnsi="Wingdings" w:hint="default"/>
      </w:rPr>
    </w:lvl>
  </w:abstractNum>
  <w:abstractNum w:abstractNumId="107" w15:restartNumberingAfterBreak="0">
    <w:nsid w:val="760233E5"/>
    <w:multiLevelType w:val="hybridMultilevel"/>
    <w:tmpl w:val="FFFFFFFF"/>
    <w:lvl w:ilvl="0" w:tplc="7C04136C">
      <w:start w:val="4"/>
      <w:numFmt w:val="decimal"/>
      <w:lvlText w:val="%1."/>
      <w:lvlJc w:val="left"/>
      <w:pPr>
        <w:ind w:left="720" w:hanging="360"/>
      </w:pPr>
      <w:rPr>
        <w:rFonts w:ascii="Arial" w:hAnsi="Arial" w:hint="default"/>
      </w:rPr>
    </w:lvl>
    <w:lvl w:ilvl="1" w:tplc="62AA8E5E">
      <w:start w:val="1"/>
      <w:numFmt w:val="lowerLetter"/>
      <w:lvlText w:val="%2."/>
      <w:lvlJc w:val="left"/>
      <w:pPr>
        <w:ind w:left="1440" w:hanging="360"/>
      </w:pPr>
    </w:lvl>
    <w:lvl w:ilvl="2" w:tplc="1632CA88">
      <w:start w:val="1"/>
      <w:numFmt w:val="lowerRoman"/>
      <w:lvlText w:val="%3."/>
      <w:lvlJc w:val="right"/>
      <w:pPr>
        <w:ind w:left="2160" w:hanging="180"/>
      </w:pPr>
    </w:lvl>
    <w:lvl w:ilvl="3" w:tplc="5394B2C6">
      <w:start w:val="1"/>
      <w:numFmt w:val="decimal"/>
      <w:lvlText w:val="%4."/>
      <w:lvlJc w:val="left"/>
      <w:pPr>
        <w:ind w:left="2880" w:hanging="360"/>
      </w:pPr>
    </w:lvl>
    <w:lvl w:ilvl="4" w:tplc="C2E20A78">
      <w:start w:val="1"/>
      <w:numFmt w:val="lowerLetter"/>
      <w:lvlText w:val="%5."/>
      <w:lvlJc w:val="left"/>
      <w:pPr>
        <w:ind w:left="3600" w:hanging="360"/>
      </w:pPr>
    </w:lvl>
    <w:lvl w:ilvl="5" w:tplc="EEDE72C8">
      <w:start w:val="1"/>
      <w:numFmt w:val="lowerRoman"/>
      <w:lvlText w:val="%6."/>
      <w:lvlJc w:val="right"/>
      <w:pPr>
        <w:ind w:left="4320" w:hanging="180"/>
      </w:pPr>
    </w:lvl>
    <w:lvl w:ilvl="6" w:tplc="F2F8A98C">
      <w:start w:val="1"/>
      <w:numFmt w:val="decimal"/>
      <w:lvlText w:val="%7."/>
      <w:lvlJc w:val="left"/>
      <w:pPr>
        <w:ind w:left="5040" w:hanging="360"/>
      </w:pPr>
    </w:lvl>
    <w:lvl w:ilvl="7" w:tplc="015C6054">
      <w:start w:val="1"/>
      <w:numFmt w:val="lowerLetter"/>
      <w:lvlText w:val="%8."/>
      <w:lvlJc w:val="left"/>
      <w:pPr>
        <w:ind w:left="5760" w:hanging="360"/>
      </w:pPr>
    </w:lvl>
    <w:lvl w:ilvl="8" w:tplc="E7A68F56">
      <w:start w:val="1"/>
      <w:numFmt w:val="lowerRoman"/>
      <w:lvlText w:val="%9."/>
      <w:lvlJc w:val="right"/>
      <w:pPr>
        <w:ind w:left="6480" w:hanging="180"/>
      </w:pPr>
    </w:lvl>
  </w:abstractNum>
  <w:abstractNum w:abstractNumId="108"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9" w15:restartNumberingAfterBreak="0">
    <w:nsid w:val="775F47F8"/>
    <w:multiLevelType w:val="hybridMultilevel"/>
    <w:tmpl w:val="6E3A0784"/>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0" w15:restartNumberingAfterBreak="0">
    <w:nsid w:val="779C80A7"/>
    <w:multiLevelType w:val="hybridMultilevel"/>
    <w:tmpl w:val="FFFFFFFF"/>
    <w:lvl w:ilvl="0" w:tplc="54163D2E">
      <w:start w:val="1"/>
      <w:numFmt w:val="bullet"/>
      <w:lvlText w:val=""/>
      <w:lvlJc w:val="left"/>
      <w:pPr>
        <w:ind w:left="720" w:hanging="360"/>
      </w:pPr>
      <w:rPr>
        <w:rFonts w:ascii="Times New Roman félkövér" w:hAnsi="Times New Roman félkövér" w:hint="default"/>
      </w:rPr>
    </w:lvl>
    <w:lvl w:ilvl="1" w:tplc="59C8D084">
      <w:start w:val="1"/>
      <w:numFmt w:val="bullet"/>
      <w:lvlText w:val="o"/>
      <w:lvlJc w:val="left"/>
      <w:pPr>
        <w:ind w:left="1440" w:hanging="360"/>
      </w:pPr>
      <w:rPr>
        <w:rFonts w:ascii="@MS Mincho" w:hAnsi="@MS Mincho" w:hint="default"/>
      </w:rPr>
    </w:lvl>
    <w:lvl w:ilvl="2" w:tplc="F878DE84">
      <w:start w:val="1"/>
      <w:numFmt w:val="bullet"/>
      <w:lvlText w:val=""/>
      <w:lvlJc w:val="left"/>
      <w:pPr>
        <w:ind w:left="2160" w:hanging="360"/>
      </w:pPr>
      <w:rPr>
        <w:rFonts w:ascii="MS Mincho" w:hAnsi="MS Mincho" w:hint="default"/>
      </w:rPr>
    </w:lvl>
    <w:lvl w:ilvl="3" w:tplc="02A253C2">
      <w:start w:val="1"/>
      <w:numFmt w:val="bullet"/>
      <w:lvlText w:val=""/>
      <w:lvlJc w:val="left"/>
      <w:pPr>
        <w:ind w:left="2880" w:hanging="360"/>
      </w:pPr>
      <w:rPr>
        <w:rFonts w:ascii="Times New Roman félkövér" w:hAnsi="Times New Roman félkövér" w:hint="default"/>
      </w:rPr>
    </w:lvl>
    <w:lvl w:ilvl="4" w:tplc="9AFC300C">
      <w:start w:val="1"/>
      <w:numFmt w:val="bullet"/>
      <w:lvlText w:val="o"/>
      <w:lvlJc w:val="left"/>
      <w:pPr>
        <w:ind w:left="3600" w:hanging="360"/>
      </w:pPr>
      <w:rPr>
        <w:rFonts w:ascii="@MS Mincho" w:hAnsi="@MS Mincho" w:hint="default"/>
      </w:rPr>
    </w:lvl>
    <w:lvl w:ilvl="5" w:tplc="C7EC5E7C">
      <w:start w:val="1"/>
      <w:numFmt w:val="bullet"/>
      <w:lvlText w:val=""/>
      <w:lvlJc w:val="left"/>
      <w:pPr>
        <w:ind w:left="4320" w:hanging="360"/>
      </w:pPr>
      <w:rPr>
        <w:rFonts w:ascii="MS Mincho" w:hAnsi="MS Mincho" w:hint="default"/>
      </w:rPr>
    </w:lvl>
    <w:lvl w:ilvl="6" w:tplc="3A4CF30A">
      <w:start w:val="1"/>
      <w:numFmt w:val="bullet"/>
      <w:lvlText w:val=""/>
      <w:lvlJc w:val="left"/>
      <w:pPr>
        <w:ind w:left="5040" w:hanging="360"/>
      </w:pPr>
      <w:rPr>
        <w:rFonts w:ascii="Times New Roman félkövér" w:hAnsi="Times New Roman félkövér" w:hint="default"/>
      </w:rPr>
    </w:lvl>
    <w:lvl w:ilvl="7" w:tplc="541E8A4E">
      <w:start w:val="1"/>
      <w:numFmt w:val="bullet"/>
      <w:lvlText w:val="o"/>
      <w:lvlJc w:val="left"/>
      <w:pPr>
        <w:ind w:left="5760" w:hanging="360"/>
      </w:pPr>
      <w:rPr>
        <w:rFonts w:ascii="@MS Mincho" w:hAnsi="@MS Mincho" w:hint="default"/>
      </w:rPr>
    </w:lvl>
    <w:lvl w:ilvl="8" w:tplc="4D926666">
      <w:start w:val="1"/>
      <w:numFmt w:val="bullet"/>
      <w:lvlText w:val=""/>
      <w:lvlJc w:val="left"/>
      <w:pPr>
        <w:ind w:left="6480" w:hanging="360"/>
      </w:pPr>
      <w:rPr>
        <w:rFonts w:ascii="MS Mincho" w:hAnsi="MS Mincho" w:hint="default"/>
      </w:rPr>
    </w:lvl>
  </w:abstractNum>
  <w:abstractNum w:abstractNumId="111" w15:restartNumberingAfterBreak="0">
    <w:nsid w:val="78262A7E"/>
    <w:multiLevelType w:val="hybridMultilevel"/>
    <w:tmpl w:val="9CA2A382"/>
    <w:lvl w:ilvl="0" w:tplc="991C3E1E">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2" w15:restartNumberingAfterBreak="0">
    <w:nsid w:val="793F767C"/>
    <w:multiLevelType w:val="hybridMultilevel"/>
    <w:tmpl w:val="FFFFFFFF"/>
    <w:lvl w:ilvl="0" w:tplc="B324EFFE">
      <w:start w:val="1"/>
      <w:numFmt w:val="bullet"/>
      <w:lvlText w:val=""/>
      <w:lvlJc w:val="left"/>
      <w:pPr>
        <w:ind w:left="720" w:hanging="360"/>
      </w:pPr>
      <w:rPr>
        <w:rFonts w:ascii="Symbol" w:hAnsi="Symbol" w:hint="default"/>
      </w:rPr>
    </w:lvl>
    <w:lvl w:ilvl="1" w:tplc="756C3CEE">
      <w:start w:val="1"/>
      <w:numFmt w:val="bullet"/>
      <w:lvlText w:val="o"/>
      <w:lvlJc w:val="left"/>
      <w:pPr>
        <w:ind w:left="1440" w:hanging="360"/>
      </w:pPr>
      <w:rPr>
        <w:rFonts w:ascii="Courier New" w:hAnsi="Courier New" w:hint="default"/>
      </w:rPr>
    </w:lvl>
    <w:lvl w:ilvl="2" w:tplc="01FEDD98">
      <w:start w:val="1"/>
      <w:numFmt w:val="bullet"/>
      <w:lvlText w:val=""/>
      <w:lvlJc w:val="left"/>
      <w:pPr>
        <w:ind w:left="2160" w:hanging="360"/>
      </w:pPr>
      <w:rPr>
        <w:rFonts w:ascii="Wingdings" w:hAnsi="Wingdings" w:hint="default"/>
      </w:rPr>
    </w:lvl>
    <w:lvl w:ilvl="3" w:tplc="A0069A78">
      <w:start w:val="1"/>
      <w:numFmt w:val="bullet"/>
      <w:lvlText w:val=""/>
      <w:lvlJc w:val="left"/>
      <w:pPr>
        <w:ind w:left="2880" w:hanging="360"/>
      </w:pPr>
      <w:rPr>
        <w:rFonts w:ascii="Symbol" w:hAnsi="Symbol" w:hint="default"/>
      </w:rPr>
    </w:lvl>
    <w:lvl w:ilvl="4" w:tplc="732A6CD8">
      <w:start w:val="1"/>
      <w:numFmt w:val="bullet"/>
      <w:lvlText w:val="o"/>
      <w:lvlJc w:val="left"/>
      <w:pPr>
        <w:ind w:left="3600" w:hanging="360"/>
      </w:pPr>
      <w:rPr>
        <w:rFonts w:ascii="Courier New" w:hAnsi="Courier New" w:hint="default"/>
      </w:rPr>
    </w:lvl>
    <w:lvl w:ilvl="5" w:tplc="113801C8">
      <w:start w:val="1"/>
      <w:numFmt w:val="bullet"/>
      <w:lvlText w:val=""/>
      <w:lvlJc w:val="left"/>
      <w:pPr>
        <w:ind w:left="4320" w:hanging="360"/>
      </w:pPr>
      <w:rPr>
        <w:rFonts w:ascii="Wingdings" w:hAnsi="Wingdings" w:hint="default"/>
      </w:rPr>
    </w:lvl>
    <w:lvl w:ilvl="6" w:tplc="A3DEF026">
      <w:start w:val="1"/>
      <w:numFmt w:val="bullet"/>
      <w:lvlText w:val=""/>
      <w:lvlJc w:val="left"/>
      <w:pPr>
        <w:ind w:left="5040" w:hanging="360"/>
      </w:pPr>
      <w:rPr>
        <w:rFonts w:ascii="Symbol" w:hAnsi="Symbol" w:hint="default"/>
      </w:rPr>
    </w:lvl>
    <w:lvl w:ilvl="7" w:tplc="71180BE6">
      <w:start w:val="1"/>
      <w:numFmt w:val="bullet"/>
      <w:lvlText w:val="o"/>
      <w:lvlJc w:val="left"/>
      <w:pPr>
        <w:ind w:left="5760" w:hanging="360"/>
      </w:pPr>
      <w:rPr>
        <w:rFonts w:ascii="Courier New" w:hAnsi="Courier New" w:hint="default"/>
      </w:rPr>
    </w:lvl>
    <w:lvl w:ilvl="8" w:tplc="D84EC670">
      <w:start w:val="1"/>
      <w:numFmt w:val="bullet"/>
      <w:lvlText w:val=""/>
      <w:lvlJc w:val="left"/>
      <w:pPr>
        <w:ind w:left="6480" w:hanging="360"/>
      </w:pPr>
      <w:rPr>
        <w:rFonts w:ascii="Wingdings" w:hAnsi="Wingdings" w:hint="default"/>
      </w:rPr>
    </w:lvl>
  </w:abstractNum>
  <w:abstractNum w:abstractNumId="113" w15:restartNumberingAfterBreak="0">
    <w:nsid w:val="7AE7528F"/>
    <w:multiLevelType w:val="hybridMultilevel"/>
    <w:tmpl w:val="DE7489B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egoe UI Emoji" w:hAnsi="Segoe UI Emoji" w:hint="default"/>
      </w:rPr>
    </w:lvl>
    <w:lvl w:ilvl="2" w:tplc="FFFFFFFF">
      <w:start w:val="1"/>
      <w:numFmt w:val="bullet"/>
      <w:lvlText w:val=""/>
      <w:lvlJc w:val="left"/>
      <w:pPr>
        <w:ind w:left="2160" w:hanging="360"/>
      </w:pPr>
      <w:rPr>
        <w:rFonts w:ascii="@MS Mincho" w:hAnsi="@MS Mincho" w:hint="default"/>
      </w:rPr>
    </w:lvl>
    <w:lvl w:ilvl="3" w:tplc="FFFFFFFF">
      <w:start w:val="1"/>
      <w:numFmt w:val="bullet"/>
      <w:lvlText w:val=""/>
      <w:lvlJc w:val="left"/>
      <w:pPr>
        <w:ind w:left="2880" w:hanging="360"/>
      </w:pPr>
      <w:rPr>
        <w:rFonts w:ascii="Times New Roman félkövér" w:hAnsi="Times New Roman félkövér" w:hint="default"/>
      </w:rPr>
    </w:lvl>
    <w:lvl w:ilvl="4" w:tplc="FFFFFFFF">
      <w:start w:val="1"/>
      <w:numFmt w:val="bullet"/>
      <w:lvlText w:val="o"/>
      <w:lvlJc w:val="left"/>
      <w:pPr>
        <w:ind w:left="3600" w:hanging="360"/>
      </w:pPr>
      <w:rPr>
        <w:rFonts w:ascii="Segoe UI Emoji" w:hAnsi="Segoe UI Emoji" w:hint="default"/>
      </w:rPr>
    </w:lvl>
    <w:lvl w:ilvl="5" w:tplc="FFFFFFFF">
      <w:start w:val="1"/>
      <w:numFmt w:val="bullet"/>
      <w:lvlText w:val=""/>
      <w:lvlJc w:val="left"/>
      <w:pPr>
        <w:ind w:left="4320" w:hanging="360"/>
      </w:pPr>
      <w:rPr>
        <w:rFonts w:ascii="@MS Mincho" w:hAnsi="@MS Mincho" w:hint="default"/>
      </w:rPr>
    </w:lvl>
    <w:lvl w:ilvl="6" w:tplc="FFFFFFFF">
      <w:start w:val="1"/>
      <w:numFmt w:val="bullet"/>
      <w:lvlText w:val=""/>
      <w:lvlJc w:val="left"/>
      <w:pPr>
        <w:ind w:left="5040" w:hanging="360"/>
      </w:pPr>
      <w:rPr>
        <w:rFonts w:ascii="Times New Roman félkövér" w:hAnsi="Times New Roman félkövér" w:hint="default"/>
      </w:rPr>
    </w:lvl>
    <w:lvl w:ilvl="7" w:tplc="FFFFFFFF">
      <w:start w:val="1"/>
      <w:numFmt w:val="bullet"/>
      <w:lvlText w:val="o"/>
      <w:lvlJc w:val="left"/>
      <w:pPr>
        <w:ind w:left="5760" w:hanging="360"/>
      </w:pPr>
      <w:rPr>
        <w:rFonts w:ascii="Segoe UI Emoji" w:hAnsi="Segoe UI Emoji" w:hint="default"/>
      </w:rPr>
    </w:lvl>
    <w:lvl w:ilvl="8" w:tplc="FFFFFFFF">
      <w:start w:val="1"/>
      <w:numFmt w:val="bullet"/>
      <w:lvlText w:val=""/>
      <w:lvlJc w:val="left"/>
      <w:pPr>
        <w:ind w:left="6480" w:hanging="360"/>
      </w:pPr>
      <w:rPr>
        <w:rFonts w:ascii="@MS Mincho" w:hAnsi="@MS Mincho" w:hint="default"/>
      </w:rPr>
    </w:lvl>
  </w:abstractNum>
  <w:abstractNum w:abstractNumId="11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15" w15:restartNumberingAfterBreak="0">
    <w:nsid w:val="7E3501D0"/>
    <w:multiLevelType w:val="hybridMultilevel"/>
    <w:tmpl w:val="6ADE2398"/>
    <w:lvl w:ilvl="0" w:tplc="991C3E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5E2960"/>
    <w:multiLevelType w:val="hybridMultilevel"/>
    <w:tmpl w:val="071658B8"/>
    <w:lvl w:ilvl="0" w:tplc="18090001">
      <w:start w:val="1"/>
      <w:numFmt w:val="bullet"/>
      <w:lvlText w:val=""/>
      <w:lvlJc w:val="left"/>
      <w:pPr>
        <w:ind w:left="1004" w:hanging="360"/>
      </w:pPr>
      <w:rPr>
        <w:rFonts w:ascii="Symbol" w:hAnsi="Symbol" w:hint="default"/>
      </w:rPr>
    </w:lvl>
    <w:lvl w:ilvl="1" w:tplc="18090003">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17" w15:restartNumberingAfterBreak="0">
    <w:nsid w:val="7EC4DE57"/>
    <w:multiLevelType w:val="hybridMultilevel"/>
    <w:tmpl w:val="FFFFFFFF"/>
    <w:lvl w:ilvl="0" w:tplc="D4F209E8">
      <w:start w:val="1"/>
      <w:numFmt w:val="decimal"/>
      <w:lvlText w:val="%1."/>
      <w:lvlJc w:val="left"/>
      <w:pPr>
        <w:ind w:left="720" w:hanging="360"/>
      </w:pPr>
    </w:lvl>
    <w:lvl w:ilvl="1" w:tplc="62467640">
      <w:start w:val="1"/>
      <w:numFmt w:val="lowerLetter"/>
      <w:lvlText w:val="%2."/>
      <w:lvlJc w:val="left"/>
      <w:pPr>
        <w:ind w:left="1440" w:hanging="360"/>
      </w:pPr>
    </w:lvl>
    <w:lvl w:ilvl="2" w:tplc="F086DE0E">
      <w:start w:val="1"/>
      <w:numFmt w:val="lowerRoman"/>
      <w:lvlText w:val="%3."/>
      <w:lvlJc w:val="right"/>
      <w:pPr>
        <w:ind w:left="2160" w:hanging="180"/>
      </w:pPr>
    </w:lvl>
    <w:lvl w:ilvl="3" w:tplc="7512D428">
      <w:start w:val="1"/>
      <w:numFmt w:val="decimal"/>
      <w:lvlText w:val="%4."/>
      <w:lvlJc w:val="left"/>
      <w:pPr>
        <w:ind w:left="2880" w:hanging="360"/>
      </w:pPr>
    </w:lvl>
    <w:lvl w:ilvl="4" w:tplc="A4003B70">
      <w:start w:val="1"/>
      <w:numFmt w:val="lowerLetter"/>
      <w:lvlText w:val="%5."/>
      <w:lvlJc w:val="left"/>
      <w:pPr>
        <w:ind w:left="3600" w:hanging="360"/>
      </w:pPr>
    </w:lvl>
    <w:lvl w:ilvl="5" w:tplc="ADD0A6B6">
      <w:start w:val="1"/>
      <w:numFmt w:val="lowerRoman"/>
      <w:lvlText w:val="%6."/>
      <w:lvlJc w:val="right"/>
      <w:pPr>
        <w:ind w:left="4320" w:hanging="180"/>
      </w:pPr>
    </w:lvl>
    <w:lvl w:ilvl="6" w:tplc="3F4220BC">
      <w:start w:val="1"/>
      <w:numFmt w:val="decimal"/>
      <w:lvlText w:val="%7."/>
      <w:lvlJc w:val="left"/>
      <w:pPr>
        <w:ind w:left="5040" w:hanging="360"/>
      </w:pPr>
    </w:lvl>
    <w:lvl w:ilvl="7" w:tplc="1968FFC4">
      <w:start w:val="1"/>
      <w:numFmt w:val="lowerLetter"/>
      <w:lvlText w:val="%8."/>
      <w:lvlJc w:val="left"/>
      <w:pPr>
        <w:ind w:left="5760" w:hanging="360"/>
      </w:pPr>
    </w:lvl>
    <w:lvl w:ilvl="8" w:tplc="9730985E">
      <w:start w:val="1"/>
      <w:numFmt w:val="lowerRoman"/>
      <w:lvlText w:val="%9."/>
      <w:lvlJc w:val="right"/>
      <w:pPr>
        <w:ind w:left="6480" w:hanging="180"/>
      </w:pPr>
    </w:lvl>
  </w:abstractNum>
  <w:num w:numId="1">
    <w:abstractNumId w:val="80"/>
  </w:num>
  <w:num w:numId="2">
    <w:abstractNumId w:val="52"/>
  </w:num>
  <w:num w:numId="3">
    <w:abstractNumId w:val="90"/>
  </w:num>
  <w:num w:numId="4">
    <w:abstractNumId w:val="38"/>
  </w:num>
  <w:num w:numId="5">
    <w:abstractNumId w:val="53"/>
  </w:num>
  <w:num w:numId="6">
    <w:abstractNumId w:val="29"/>
  </w:num>
  <w:num w:numId="7">
    <w:abstractNumId w:val="85"/>
  </w:num>
  <w:num w:numId="8">
    <w:abstractNumId w:val="26"/>
  </w:num>
  <w:num w:numId="9">
    <w:abstractNumId w:val="59"/>
  </w:num>
  <w:num w:numId="10">
    <w:abstractNumId w:val="76"/>
  </w:num>
  <w:num w:numId="11">
    <w:abstractNumId w:val="79"/>
  </w:num>
  <w:num w:numId="12">
    <w:abstractNumId w:val="37"/>
  </w:num>
  <w:num w:numId="13">
    <w:abstractNumId w:val="73"/>
  </w:num>
  <w:num w:numId="14">
    <w:abstractNumId w:val="114"/>
  </w:num>
  <w:num w:numId="15">
    <w:abstractNumId w:val="3"/>
  </w:num>
  <w:num w:numId="16">
    <w:abstractNumId w:val="2"/>
  </w:num>
  <w:num w:numId="17">
    <w:abstractNumId w:val="1"/>
  </w:num>
  <w:num w:numId="18">
    <w:abstractNumId w:val="0"/>
  </w:num>
  <w:num w:numId="19">
    <w:abstractNumId w:val="49"/>
  </w:num>
  <w:num w:numId="20">
    <w:abstractNumId w:val="13"/>
  </w:num>
  <w:num w:numId="21">
    <w:abstractNumId w:val="51"/>
  </w:num>
  <w:num w:numId="22">
    <w:abstractNumId w:val="11"/>
  </w:num>
  <w:num w:numId="23">
    <w:abstractNumId w:val="27"/>
  </w:num>
  <w:num w:numId="24">
    <w:abstractNumId w:val="84"/>
  </w:num>
  <w:num w:numId="25">
    <w:abstractNumId w:val="89"/>
  </w:num>
  <w:num w:numId="26">
    <w:abstractNumId w:val="45"/>
  </w:num>
  <w:num w:numId="27">
    <w:abstractNumId w:val="28"/>
  </w:num>
  <w:num w:numId="28">
    <w:abstractNumId w:val="115"/>
  </w:num>
  <w:num w:numId="29">
    <w:abstractNumId w:val="25"/>
  </w:num>
  <w:num w:numId="30">
    <w:abstractNumId w:val="64"/>
  </w:num>
  <w:num w:numId="31">
    <w:abstractNumId w:val="99"/>
  </w:num>
  <w:num w:numId="32">
    <w:abstractNumId w:val="5"/>
  </w:num>
  <w:num w:numId="33">
    <w:abstractNumId w:val="95"/>
  </w:num>
  <w:num w:numId="34">
    <w:abstractNumId w:val="92"/>
  </w:num>
  <w:num w:numId="35">
    <w:abstractNumId w:val="91"/>
  </w:num>
  <w:num w:numId="36">
    <w:abstractNumId w:val="88"/>
  </w:num>
  <w:num w:numId="37">
    <w:abstractNumId w:val="43"/>
  </w:num>
  <w:num w:numId="38">
    <w:abstractNumId w:val="34"/>
  </w:num>
  <w:num w:numId="39">
    <w:abstractNumId w:val="93"/>
  </w:num>
  <w:num w:numId="40">
    <w:abstractNumId w:val="62"/>
  </w:num>
  <w:num w:numId="41">
    <w:abstractNumId w:val="111"/>
  </w:num>
  <w:num w:numId="42">
    <w:abstractNumId w:val="101"/>
  </w:num>
  <w:num w:numId="43">
    <w:abstractNumId w:val="19"/>
  </w:num>
  <w:num w:numId="44">
    <w:abstractNumId w:val="109"/>
  </w:num>
  <w:num w:numId="45">
    <w:abstractNumId w:val="10"/>
  </w:num>
  <w:num w:numId="46">
    <w:abstractNumId w:val="108"/>
  </w:num>
  <w:num w:numId="47">
    <w:abstractNumId w:val="46"/>
  </w:num>
  <w:num w:numId="48">
    <w:abstractNumId w:val="50"/>
  </w:num>
  <w:num w:numId="49">
    <w:abstractNumId w:val="54"/>
  </w:num>
  <w:num w:numId="50">
    <w:abstractNumId w:val="60"/>
  </w:num>
  <w:num w:numId="51">
    <w:abstractNumId w:val="75"/>
  </w:num>
  <w:num w:numId="52">
    <w:abstractNumId w:val="6"/>
  </w:num>
  <w:num w:numId="53">
    <w:abstractNumId w:val="4"/>
  </w:num>
  <w:num w:numId="54">
    <w:abstractNumId w:val="22"/>
  </w:num>
  <w:num w:numId="55">
    <w:abstractNumId w:val="98"/>
  </w:num>
  <w:num w:numId="56">
    <w:abstractNumId w:val="97"/>
  </w:num>
  <w:num w:numId="57">
    <w:abstractNumId w:val="55"/>
  </w:num>
  <w:num w:numId="58">
    <w:abstractNumId w:val="58"/>
  </w:num>
  <w:num w:numId="59">
    <w:abstractNumId w:val="35"/>
  </w:num>
  <w:num w:numId="60">
    <w:abstractNumId w:val="41"/>
  </w:num>
  <w:num w:numId="61">
    <w:abstractNumId w:val="74"/>
  </w:num>
  <w:num w:numId="62">
    <w:abstractNumId w:val="96"/>
  </w:num>
  <w:num w:numId="63">
    <w:abstractNumId w:val="66"/>
  </w:num>
  <w:num w:numId="64">
    <w:abstractNumId w:val="67"/>
  </w:num>
  <w:num w:numId="65">
    <w:abstractNumId w:val="56"/>
  </w:num>
  <w:num w:numId="66">
    <w:abstractNumId w:val="42"/>
  </w:num>
  <w:num w:numId="67">
    <w:abstractNumId w:val="40"/>
  </w:num>
  <w:num w:numId="68">
    <w:abstractNumId w:val="23"/>
  </w:num>
  <w:num w:numId="69">
    <w:abstractNumId w:val="94"/>
  </w:num>
  <w:num w:numId="70">
    <w:abstractNumId w:val="17"/>
  </w:num>
  <w:num w:numId="71">
    <w:abstractNumId w:val="33"/>
  </w:num>
  <w:num w:numId="72">
    <w:abstractNumId w:val="87"/>
  </w:num>
  <w:num w:numId="73">
    <w:abstractNumId w:val="16"/>
  </w:num>
  <w:num w:numId="74">
    <w:abstractNumId w:val="103"/>
  </w:num>
  <w:num w:numId="75">
    <w:abstractNumId w:val="81"/>
  </w:num>
  <w:num w:numId="76">
    <w:abstractNumId w:val="12"/>
  </w:num>
  <w:num w:numId="77">
    <w:abstractNumId w:val="36"/>
  </w:num>
  <w:num w:numId="78">
    <w:abstractNumId w:val="15"/>
  </w:num>
  <w:num w:numId="79">
    <w:abstractNumId w:val="24"/>
  </w:num>
  <w:num w:numId="80">
    <w:abstractNumId w:val="20"/>
  </w:num>
  <w:num w:numId="81">
    <w:abstractNumId w:val="48"/>
  </w:num>
  <w:num w:numId="82">
    <w:abstractNumId w:val="8"/>
  </w:num>
  <w:num w:numId="83">
    <w:abstractNumId w:val="39"/>
  </w:num>
  <w:num w:numId="84">
    <w:abstractNumId w:val="116"/>
  </w:num>
  <w:num w:numId="85">
    <w:abstractNumId w:val="77"/>
  </w:num>
  <w:num w:numId="86">
    <w:abstractNumId w:val="44"/>
  </w:num>
  <w:num w:numId="87">
    <w:abstractNumId w:val="113"/>
  </w:num>
  <w:num w:numId="88">
    <w:abstractNumId w:val="9"/>
  </w:num>
  <w:num w:numId="89">
    <w:abstractNumId w:val="57"/>
  </w:num>
  <w:num w:numId="90">
    <w:abstractNumId w:val="110"/>
  </w:num>
  <w:num w:numId="91">
    <w:abstractNumId w:val="78"/>
  </w:num>
  <w:num w:numId="92">
    <w:abstractNumId w:val="65"/>
  </w:num>
  <w:num w:numId="93">
    <w:abstractNumId w:val="31"/>
  </w:num>
  <w:num w:numId="94">
    <w:abstractNumId w:val="63"/>
  </w:num>
  <w:num w:numId="95">
    <w:abstractNumId w:val="102"/>
  </w:num>
  <w:num w:numId="96">
    <w:abstractNumId w:val="30"/>
  </w:num>
  <w:num w:numId="97">
    <w:abstractNumId w:val="117"/>
  </w:num>
  <w:num w:numId="98">
    <w:abstractNumId w:val="86"/>
  </w:num>
  <w:num w:numId="99">
    <w:abstractNumId w:val="21"/>
  </w:num>
  <w:num w:numId="100">
    <w:abstractNumId w:val="7"/>
  </w:num>
  <w:num w:numId="101">
    <w:abstractNumId w:val="104"/>
  </w:num>
  <w:num w:numId="102">
    <w:abstractNumId w:val="71"/>
  </w:num>
  <w:num w:numId="103">
    <w:abstractNumId w:val="82"/>
  </w:num>
  <w:num w:numId="104">
    <w:abstractNumId w:val="107"/>
  </w:num>
  <w:num w:numId="105">
    <w:abstractNumId w:val="100"/>
  </w:num>
  <w:num w:numId="106">
    <w:abstractNumId w:val="18"/>
  </w:num>
  <w:num w:numId="107">
    <w:abstractNumId w:val="83"/>
  </w:num>
  <w:num w:numId="108">
    <w:abstractNumId w:val="70"/>
  </w:num>
  <w:num w:numId="109">
    <w:abstractNumId w:val="106"/>
  </w:num>
  <w:num w:numId="110">
    <w:abstractNumId w:val="32"/>
  </w:num>
  <w:num w:numId="111">
    <w:abstractNumId w:val="68"/>
  </w:num>
  <w:num w:numId="112">
    <w:abstractNumId w:val="72"/>
  </w:num>
  <w:num w:numId="113">
    <w:abstractNumId w:val="112"/>
  </w:num>
  <w:num w:numId="114">
    <w:abstractNumId w:val="47"/>
  </w:num>
  <w:num w:numId="115">
    <w:abstractNumId w:val="14"/>
  </w:num>
  <w:num w:numId="116">
    <w:abstractNumId w:val="69"/>
  </w:num>
  <w:num w:numId="117">
    <w:abstractNumId w:val="105"/>
  </w:num>
  <w:num w:numId="118">
    <w:abstractNumId w:val="6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NotTrackFormatting/>
  <w:documentProtection w:edit="trackedChanges"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true"/>
    <w:docVar w:name="DocStatus" w:val="Green"/>
    <w:docVar w:name="DocuWriteMetaData" w:val="&lt;metadataset docuwriteversion=&quot;4.5.2&quot; technicalblockguid=&quot;465543694134879200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7-07&lt;/text&gt;_x000d__x000a_  &lt;/metadata&gt;_x000d__x000a_  &lt;metadata key=&quot;md_Prefix&quot;&gt;_x000d__x000a_    &lt;text&gt;&lt;/text&gt;_x000d__x000a_  &lt;/metadata&gt;_x000d__x000a_  &lt;metadata key=&quot;md_DocumentNumber&quot;&gt;_x000d__x000a_    &lt;text&gt;10149&lt;/text&gt;_x000d__x000a_  &lt;/metadata&gt;_x000d__x000a_  &lt;metadata key=&quot;md_YearDocumentNumber&quot;&gt;_x000d__x000a_    &lt;text&gt;2021&lt;/text&gt;_x000d__x000a_  &lt;/metadata&gt;_x000d__x000a_  &lt;metadata key=&quot;md_Suffixes&quot;&gt;_x000d__x000a_    &lt;text&gt;ADD 1 REV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636&lt;/text&gt;_x000d__x000a_      &lt;text&gt;CADREFIN 331&lt;/text&gt;_x000d__x000a_      &lt;text&gt;UEM 171&lt;/text&gt;_x000d__x000a_      &lt;text&gt;FIN 512&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154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VISED ANNEX to the Council Implementing Decision on the approval of the assessment of the recovery and resilience plan for Portugal&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fr-be&quot; xml:space=&quot;preserve&quot;&amp;gt;REVISED &amp;lt;/Run&amp;gt;ANNEX to the Council Implementing Decision on the approval of the assessment of the recovery and resilience plan for &amp;lt;Run xml:lang=&quot;fr-be&quot;&amp;gt;Portugal&amp;lt;/Run&amp;gt;&amp;lt;/Paragraph&amp;gt;&amp;lt;/FlowDocument&amp;gt;&lt;/xaml&gt;_x000d__x000a_  &lt;/metadata&gt;_x000d__x000a_  &lt;metadata key=&quot;md_SubjectFootnote&quot; /&gt;_x000d__x000a_  &lt;metadata key=&quot;md_DG&quot;&gt;_x000d__x000a_    &lt;text&gt;ECOMP 1A&lt;/text&gt;_x000d__x000a_  &lt;/metadata&gt;_x000d__x000a_  &lt;metadata key=&quot;md_Initials&quot;&gt;_x000d__x000a_    &lt;text&gt;FDC/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LW_ACCOMPAGNANT.CP" w:val="la"/>
    <w:docVar w:name="LW_ANNEX_NBR_FIRST" w:val="1"/>
    <w:docVar w:name="LW_ANNEX_NBR_LAST" w:val="1"/>
    <w:docVar w:name="LW_ANNEX_UNIQUE" w:val="1"/>
    <w:docVar w:name="LW_CORRIGENDUM" w:val="&lt;UNUSED&gt;"/>
    <w:docVar w:name="LW_COVERPAGE_EXISTS" w:val="True"/>
    <w:docVar w:name="LW_COVERPAGE_GUID" w:val="55B2F925-8DB2-4441-A9AE-1202A96DDFAA"/>
    <w:docVar w:name="LW_COVERPAGE_TYPE" w:val="1"/>
    <w:docVar w:name="LW_CROSSREFERENCE" w:val="{SWD(2023) 318 final}"/>
    <w:docVar w:name="LW_DocType" w:val="NORMAL"/>
    <w:docVar w:name="LW_EMISSION" w:val="22.9.2023"/>
    <w:docVar w:name="LW_EMISSION_ISODATE" w:val="2023-09-22"/>
    <w:docVar w:name="LW_EMISSION_LOCATION" w:val="BRX"/>
    <w:docVar w:name="LW_EMISSION_PREFIX" w:val="Bruxelles, "/>
    <w:docVar w:name="LW_EMISSION_SUFFIX" w:val=" "/>
    <w:docVar w:name="LW_ID_DOCTYPE_NONLW" w:val="CP-036"/>
    <w:docVar w:name="LW_LANGUE" w:val="RO"/>
    <w:docVar w:name="LW_LEVEL_OF_SENSITIVITY" w:val="Standard treatment"/>
    <w:docVar w:name="LW_NOM.INST" w:val="COMISIA EUROPEAN\u258?"/>
    <w:docVar w:name="LW_NOM.INST_JOINTDOC" w:val="&lt;EMPTY&gt;"/>
    <w:docVar w:name="LW_OBJETACTEPRINCIPAL.CP" w:val="de modificare a Deciziei de punere în aplicare (UE) _x000b_(ST 10149/2021; ST 10149/2021 ADD 1) din 6 iulie 2021 de aprobare a evaluării planului de redresare și reziliență al Portugaliei"/>
    <w:docVar w:name="LW_PART_NBR" w:val="1"/>
    <w:docVar w:name="LW_PART_NBR_TOTAL" w:val="1"/>
    <w:docVar w:name="LW_REF.INST.NEW" w:val="COM"/>
    <w:docVar w:name="LW_REF.INST.NEW_ADOPTED" w:val="final"/>
    <w:docVar w:name="LW_REF.INST.NEW_TEXT" w:val="(2023) 5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E_x000b_"/>
    <w:docVar w:name="LW_TYPEACTEPRINCIPAL.CP" w:val="Propunerea de DECIZIE DE PUNERE ÎN APLICARE A CONSILIULUI"/>
    <w:docVar w:name="LwApiVersions" w:val="LW4CoDe 1.23.2.0; LW 8.0, Build 20211117"/>
  </w:docVars>
  <w:rsids>
    <w:rsidRoot w:val="007C40E9"/>
    <w:rsid w:val="0000008D"/>
    <w:rsid w:val="000000F3"/>
    <w:rsid w:val="00000323"/>
    <w:rsid w:val="00000529"/>
    <w:rsid w:val="00000576"/>
    <w:rsid w:val="000005FF"/>
    <w:rsid w:val="0000064E"/>
    <w:rsid w:val="0000080C"/>
    <w:rsid w:val="00000B7F"/>
    <w:rsid w:val="00000CCC"/>
    <w:rsid w:val="00000F6D"/>
    <w:rsid w:val="00001142"/>
    <w:rsid w:val="0000116B"/>
    <w:rsid w:val="00001258"/>
    <w:rsid w:val="000012F4"/>
    <w:rsid w:val="000013F2"/>
    <w:rsid w:val="000017E6"/>
    <w:rsid w:val="000018CD"/>
    <w:rsid w:val="00001A21"/>
    <w:rsid w:val="00001A89"/>
    <w:rsid w:val="00001CE9"/>
    <w:rsid w:val="00001FC9"/>
    <w:rsid w:val="000022F5"/>
    <w:rsid w:val="00002316"/>
    <w:rsid w:val="00002337"/>
    <w:rsid w:val="00002741"/>
    <w:rsid w:val="000028A2"/>
    <w:rsid w:val="000028FF"/>
    <w:rsid w:val="00002959"/>
    <w:rsid w:val="00002AB9"/>
    <w:rsid w:val="00002C7B"/>
    <w:rsid w:val="00002C97"/>
    <w:rsid w:val="00002E5B"/>
    <w:rsid w:val="00002F2C"/>
    <w:rsid w:val="00002F5B"/>
    <w:rsid w:val="000032C5"/>
    <w:rsid w:val="00003796"/>
    <w:rsid w:val="00003874"/>
    <w:rsid w:val="00003B17"/>
    <w:rsid w:val="00003B4B"/>
    <w:rsid w:val="00003C25"/>
    <w:rsid w:val="00003F3B"/>
    <w:rsid w:val="00003FE2"/>
    <w:rsid w:val="00003FFC"/>
    <w:rsid w:val="000042A7"/>
    <w:rsid w:val="0000438B"/>
    <w:rsid w:val="00004412"/>
    <w:rsid w:val="000044DE"/>
    <w:rsid w:val="0000482A"/>
    <w:rsid w:val="00004B18"/>
    <w:rsid w:val="00004FD8"/>
    <w:rsid w:val="000050B9"/>
    <w:rsid w:val="000052CD"/>
    <w:rsid w:val="000053ED"/>
    <w:rsid w:val="000054BD"/>
    <w:rsid w:val="0000568D"/>
    <w:rsid w:val="00005986"/>
    <w:rsid w:val="00005999"/>
    <w:rsid w:val="00005A0C"/>
    <w:rsid w:val="00005D5F"/>
    <w:rsid w:val="00005F39"/>
    <w:rsid w:val="00005FB6"/>
    <w:rsid w:val="00006158"/>
    <w:rsid w:val="000062DE"/>
    <w:rsid w:val="000062DF"/>
    <w:rsid w:val="000065B4"/>
    <w:rsid w:val="0000698A"/>
    <w:rsid w:val="00006C1A"/>
    <w:rsid w:val="00006E3C"/>
    <w:rsid w:val="00006F8A"/>
    <w:rsid w:val="00007332"/>
    <w:rsid w:val="00007373"/>
    <w:rsid w:val="000073D5"/>
    <w:rsid w:val="0000755D"/>
    <w:rsid w:val="00007596"/>
    <w:rsid w:val="0000780B"/>
    <w:rsid w:val="00007C47"/>
    <w:rsid w:val="00007C62"/>
    <w:rsid w:val="00007F4E"/>
    <w:rsid w:val="00007FCE"/>
    <w:rsid w:val="00010248"/>
    <w:rsid w:val="000102FE"/>
    <w:rsid w:val="000103B1"/>
    <w:rsid w:val="000104AF"/>
    <w:rsid w:val="00010611"/>
    <w:rsid w:val="00010933"/>
    <w:rsid w:val="00010A55"/>
    <w:rsid w:val="00010F64"/>
    <w:rsid w:val="00010F99"/>
    <w:rsid w:val="00011021"/>
    <w:rsid w:val="00011253"/>
    <w:rsid w:val="0001160D"/>
    <w:rsid w:val="000116CA"/>
    <w:rsid w:val="00011BDB"/>
    <w:rsid w:val="00011F18"/>
    <w:rsid w:val="00011F94"/>
    <w:rsid w:val="000120CC"/>
    <w:rsid w:val="000126BC"/>
    <w:rsid w:val="0001273B"/>
    <w:rsid w:val="0001279B"/>
    <w:rsid w:val="000129ED"/>
    <w:rsid w:val="00012A6B"/>
    <w:rsid w:val="00012A7E"/>
    <w:rsid w:val="00012BF1"/>
    <w:rsid w:val="00012D15"/>
    <w:rsid w:val="00012DAD"/>
    <w:rsid w:val="00012DBA"/>
    <w:rsid w:val="00012E77"/>
    <w:rsid w:val="000139A8"/>
    <w:rsid w:val="00013BEA"/>
    <w:rsid w:val="00013DDC"/>
    <w:rsid w:val="00013FC3"/>
    <w:rsid w:val="000141A4"/>
    <w:rsid w:val="000142FD"/>
    <w:rsid w:val="0001434E"/>
    <w:rsid w:val="000143B3"/>
    <w:rsid w:val="000143D8"/>
    <w:rsid w:val="00014454"/>
    <w:rsid w:val="00014B22"/>
    <w:rsid w:val="00014E11"/>
    <w:rsid w:val="000150DC"/>
    <w:rsid w:val="000151C2"/>
    <w:rsid w:val="0001520F"/>
    <w:rsid w:val="00015504"/>
    <w:rsid w:val="000155EB"/>
    <w:rsid w:val="000156C2"/>
    <w:rsid w:val="00015848"/>
    <w:rsid w:val="000159B2"/>
    <w:rsid w:val="00015B23"/>
    <w:rsid w:val="00015F0B"/>
    <w:rsid w:val="00015F77"/>
    <w:rsid w:val="0001602C"/>
    <w:rsid w:val="00016058"/>
    <w:rsid w:val="000161D9"/>
    <w:rsid w:val="00016237"/>
    <w:rsid w:val="000162B9"/>
    <w:rsid w:val="000162BA"/>
    <w:rsid w:val="000163A1"/>
    <w:rsid w:val="000165A4"/>
    <w:rsid w:val="000166C7"/>
    <w:rsid w:val="0001684A"/>
    <w:rsid w:val="00016A1C"/>
    <w:rsid w:val="00016BD5"/>
    <w:rsid w:val="00016E25"/>
    <w:rsid w:val="00016E8B"/>
    <w:rsid w:val="00017178"/>
    <w:rsid w:val="00017186"/>
    <w:rsid w:val="000174C2"/>
    <w:rsid w:val="00017531"/>
    <w:rsid w:val="000175AB"/>
    <w:rsid w:val="000176AD"/>
    <w:rsid w:val="000177CB"/>
    <w:rsid w:val="0001782F"/>
    <w:rsid w:val="00017831"/>
    <w:rsid w:val="00017A10"/>
    <w:rsid w:val="00017E46"/>
    <w:rsid w:val="00020052"/>
    <w:rsid w:val="0002037E"/>
    <w:rsid w:val="00020594"/>
    <w:rsid w:val="000206B9"/>
    <w:rsid w:val="0002082E"/>
    <w:rsid w:val="000209A5"/>
    <w:rsid w:val="000209B0"/>
    <w:rsid w:val="00020A61"/>
    <w:rsid w:val="00020A8F"/>
    <w:rsid w:val="00020B0F"/>
    <w:rsid w:val="00020EBA"/>
    <w:rsid w:val="00021016"/>
    <w:rsid w:val="0002101C"/>
    <w:rsid w:val="0002134D"/>
    <w:rsid w:val="00021A62"/>
    <w:rsid w:val="00021BE8"/>
    <w:rsid w:val="00021F53"/>
    <w:rsid w:val="0002235D"/>
    <w:rsid w:val="00022425"/>
    <w:rsid w:val="0002274E"/>
    <w:rsid w:val="0002276F"/>
    <w:rsid w:val="0002294E"/>
    <w:rsid w:val="0002296D"/>
    <w:rsid w:val="000229DA"/>
    <w:rsid w:val="00022B95"/>
    <w:rsid w:val="00022CED"/>
    <w:rsid w:val="00022EAA"/>
    <w:rsid w:val="00023183"/>
    <w:rsid w:val="000239E6"/>
    <w:rsid w:val="00023DE2"/>
    <w:rsid w:val="00024228"/>
    <w:rsid w:val="000244AC"/>
    <w:rsid w:val="000245BC"/>
    <w:rsid w:val="000245D1"/>
    <w:rsid w:val="000247EC"/>
    <w:rsid w:val="000248C2"/>
    <w:rsid w:val="00024AC2"/>
    <w:rsid w:val="00024C45"/>
    <w:rsid w:val="00024CFC"/>
    <w:rsid w:val="0002515F"/>
    <w:rsid w:val="000252D5"/>
    <w:rsid w:val="0002561B"/>
    <w:rsid w:val="00025657"/>
    <w:rsid w:val="0002590D"/>
    <w:rsid w:val="0002592B"/>
    <w:rsid w:val="00025A76"/>
    <w:rsid w:val="00025BD0"/>
    <w:rsid w:val="00025F02"/>
    <w:rsid w:val="00025F3C"/>
    <w:rsid w:val="0002636A"/>
    <w:rsid w:val="00026389"/>
    <w:rsid w:val="000263C6"/>
    <w:rsid w:val="000265CF"/>
    <w:rsid w:val="00026A33"/>
    <w:rsid w:val="00026C22"/>
    <w:rsid w:val="00026C64"/>
    <w:rsid w:val="00026C9A"/>
    <w:rsid w:val="0002712C"/>
    <w:rsid w:val="00027334"/>
    <w:rsid w:val="000273F4"/>
    <w:rsid w:val="00027476"/>
    <w:rsid w:val="0002754A"/>
    <w:rsid w:val="0002783C"/>
    <w:rsid w:val="000278F2"/>
    <w:rsid w:val="00027A5D"/>
    <w:rsid w:val="00027CAF"/>
    <w:rsid w:val="00027E1A"/>
    <w:rsid w:val="00027F14"/>
    <w:rsid w:val="000300AA"/>
    <w:rsid w:val="00030797"/>
    <w:rsid w:val="00030830"/>
    <w:rsid w:val="00030993"/>
    <w:rsid w:val="000309C1"/>
    <w:rsid w:val="00030A32"/>
    <w:rsid w:val="00030DA3"/>
    <w:rsid w:val="00031175"/>
    <w:rsid w:val="0003127E"/>
    <w:rsid w:val="000312CA"/>
    <w:rsid w:val="00031472"/>
    <w:rsid w:val="0003164A"/>
    <w:rsid w:val="0003191A"/>
    <w:rsid w:val="00031962"/>
    <w:rsid w:val="00031B5A"/>
    <w:rsid w:val="00031C47"/>
    <w:rsid w:val="00031D07"/>
    <w:rsid w:val="00032124"/>
    <w:rsid w:val="0003225D"/>
    <w:rsid w:val="00032335"/>
    <w:rsid w:val="00032B36"/>
    <w:rsid w:val="00032CA7"/>
    <w:rsid w:val="00032DB5"/>
    <w:rsid w:val="00032E9D"/>
    <w:rsid w:val="00032EE4"/>
    <w:rsid w:val="0003306E"/>
    <w:rsid w:val="00033234"/>
    <w:rsid w:val="0003335C"/>
    <w:rsid w:val="00033373"/>
    <w:rsid w:val="000335CA"/>
    <w:rsid w:val="000336B3"/>
    <w:rsid w:val="00033A00"/>
    <w:rsid w:val="00033A0D"/>
    <w:rsid w:val="00033DB2"/>
    <w:rsid w:val="00033EE3"/>
    <w:rsid w:val="0003449C"/>
    <w:rsid w:val="000344B0"/>
    <w:rsid w:val="000345DC"/>
    <w:rsid w:val="00034AE0"/>
    <w:rsid w:val="00034C14"/>
    <w:rsid w:val="00035116"/>
    <w:rsid w:val="00035230"/>
    <w:rsid w:val="00035587"/>
    <w:rsid w:val="00035940"/>
    <w:rsid w:val="00035B66"/>
    <w:rsid w:val="00035C66"/>
    <w:rsid w:val="00035FA6"/>
    <w:rsid w:val="0003601E"/>
    <w:rsid w:val="000365E2"/>
    <w:rsid w:val="00036893"/>
    <w:rsid w:val="00036C14"/>
    <w:rsid w:val="00037239"/>
    <w:rsid w:val="00037286"/>
    <w:rsid w:val="00037322"/>
    <w:rsid w:val="0003775E"/>
    <w:rsid w:val="000378E7"/>
    <w:rsid w:val="00037D94"/>
    <w:rsid w:val="00037E65"/>
    <w:rsid w:val="000401F5"/>
    <w:rsid w:val="0004034C"/>
    <w:rsid w:val="000404C8"/>
    <w:rsid w:val="000404E1"/>
    <w:rsid w:val="00040500"/>
    <w:rsid w:val="000405A6"/>
    <w:rsid w:val="000409CB"/>
    <w:rsid w:val="00040A25"/>
    <w:rsid w:val="00041384"/>
    <w:rsid w:val="000419FF"/>
    <w:rsid w:val="00041D91"/>
    <w:rsid w:val="00041DE6"/>
    <w:rsid w:val="000421E6"/>
    <w:rsid w:val="0004235E"/>
    <w:rsid w:val="000423D9"/>
    <w:rsid w:val="00042D28"/>
    <w:rsid w:val="00043129"/>
    <w:rsid w:val="000432C2"/>
    <w:rsid w:val="00043783"/>
    <w:rsid w:val="00043BF1"/>
    <w:rsid w:val="00043E76"/>
    <w:rsid w:val="00043EE0"/>
    <w:rsid w:val="00043F66"/>
    <w:rsid w:val="0004409A"/>
    <w:rsid w:val="0004425F"/>
    <w:rsid w:val="00044841"/>
    <w:rsid w:val="0004486D"/>
    <w:rsid w:val="00044AAF"/>
    <w:rsid w:val="00044ABA"/>
    <w:rsid w:val="00044C45"/>
    <w:rsid w:val="00044CF5"/>
    <w:rsid w:val="00044F87"/>
    <w:rsid w:val="0004511C"/>
    <w:rsid w:val="00045136"/>
    <w:rsid w:val="00045359"/>
    <w:rsid w:val="0004552F"/>
    <w:rsid w:val="000455CD"/>
    <w:rsid w:val="000459BC"/>
    <w:rsid w:val="00045E5C"/>
    <w:rsid w:val="000462AC"/>
    <w:rsid w:val="000466F4"/>
    <w:rsid w:val="00046806"/>
    <w:rsid w:val="00046929"/>
    <w:rsid w:val="000469FA"/>
    <w:rsid w:val="00046AAC"/>
    <w:rsid w:val="00046B3F"/>
    <w:rsid w:val="00046BBE"/>
    <w:rsid w:val="00046CF0"/>
    <w:rsid w:val="00046DB4"/>
    <w:rsid w:val="00046E7B"/>
    <w:rsid w:val="000476E1"/>
    <w:rsid w:val="00047C3A"/>
    <w:rsid w:val="00047CF7"/>
    <w:rsid w:val="0005027F"/>
    <w:rsid w:val="00050287"/>
    <w:rsid w:val="00050546"/>
    <w:rsid w:val="000506CE"/>
    <w:rsid w:val="00050705"/>
    <w:rsid w:val="00050712"/>
    <w:rsid w:val="00050935"/>
    <w:rsid w:val="00050B2A"/>
    <w:rsid w:val="00050B5C"/>
    <w:rsid w:val="00050CAD"/>
    <w:rsid w:val="00050E8B"/>
    <w:rsid w:val="000512F2"/>
    <w:rsid w:val="00051544"/>
    <w:rsid w:val="0005160B"/>
    <w:rsid w:val="00051A70"/>
    <w:rsid w:val="00051B2F"/>
    <w:rsid w:val="00051B5A"/>
    <w:rsid w:val="00051C0A"/>
    <w:rsid w:val="00051D8D"/>
    <w:rsid w:val="00051E2D"/>
    <w:rsid w:val="00051F8A"/>
    <w:rsid w:val="00051FE3"/>
    <w:rsid w:val="00052752"/>
    <w:rsid w:val="00052867"/>
    <w:rsid w:val="00052898"/>
    <w:rsid w:val="00052CBF"/>
    <w:rsid w:val="00052F48"/>
    <w:rsid w:val="000531BD"/>
    <w:rsid w:val="000531DB"/>
    <w:rsid w:val="0005329F"/>
    <w:rsid w:val="00053646"/>
    <w:rsid w:val="00053725"/>
    <w:rsid w:val="000538CE"/>
    <w:rsid w:val="00053A55"/>
    <w:rsid w:val="00053AB3"/>
    <w:rsid w:val="00053AC9"/>
    <w:rsid w:val="00053C04"/>
    <w:rsid w:val="00053F51"/>
    <w:rsid w:val="00054067"/>
    <w:rsid w:val="00054186"/>
    <w:rsid w:val="00054320"/>
    <w:rsid w:val="000543D1"/>
    <w:rsid w:val="000543EE"/>
    <w:rsid w:val="000545ED"/>
    <w:rsid w:val="00054682"/>
    <w:rsid w:val="0005476B"/>
    <w:rsid w:val="00054AD7"/>
    <w:rsid w:val="00054BC9"/>
    <w:rsid w:val="00054D49"/>
    <w:rsid w:val="00054D5F"/>
    <w:rsid w:val="00054EBF"/>
    <w:rsid w:val="00054FDB"/>
    <w:rsid w:val="0005503B"/>
    <w:rsid w:val="00055834"/>
    <w:rsid w:val="00055E73"/>
    <w:rsid w:val="000564B1"/>
    <w:rsid w:val="000565BB"/>
    <w:rsid w:val="00056771"/>
    <w:rsid w:val="000568E5"/>
    <w:rsid w:val="00056CFC"/>
    <w:rsid w:val="00056DB8"/>
    <w:rsid w:val="00056E01"/>
    <w:rsid w:val="00056E8F"/>
    <w:rsid w:val="00056FA2"/>
    <w:rsid w:val="00057027"/>
    <w:rsid w:val="00057069"/>
    <w:rsid w:val="000570D7"/>
    <w:rsid w:val="00057161"/>
    <w:rsid w:val="000575C1"/>
    <w:rsid w:val="00057683"/>
    <w:rsid w:val="000578EA"/>
    <w:rsid w:val="000578EF"/>
    <w:rsid w:val="00057D64"/>
    <w:rsid w:val="00057DF4"/>
    <w:rsid w:val="000600AC"/>
    <w:rsid w:val="000600BE"/>
    <w:rsid w:val="0006027B"/>
    <w:rsid w:val="000603A3"/>
    <w:rsid w:val="000605EC"/>
    <w:rsid w:val="000605FB"/>
    <w:rsid w:val="00060610"/>
    <w:rsid w:val="00060682"/>
    <w:rsid w:val="000606D8"/>
    <w:rsid w:val="00060AB3"/>
    <w:rsid w:val="00060ADF"/>
    <w:rsid w:val="00060DD8"/>
    <w:rsid w:val="00060DDD"/>
    <w:rsid w:val="000614A6"/>
    <w:rsid w:val="00061621"/>
    <w:rsid w:val="0006171B"/>
    <w:rsid w:val="00061922"/>
    <w:rsid w:val="00061AF4"/>
    <w:rsid w:val="00061C49"/>
    <w:rsid w:val="00061CA2"/>
    <w:rsid w:val="0006201A"/>
    <w:rsid w:val="000620D0"/>
    <w:rsid w:val="000623C6"/>
    <w:rsid w:val="000624DF"/>
    <w:rsid w:val="00062845"/>
    <w:rsid w:val="00062A35"/>
    <w:rsid w:val="00062B47"/>
    <w:rsid w:val="00062DF0"/>
    <w:rsid w:val="00062F37"/>
    <w:rsid w:val="00062F89"/>
    <w:rsid w:val="00062F9C"/>
    <w:rsid w:val="0006301D"/>
    <w:rsid w:val="000631FE"/>
    <w:rsid w:val="00063572"/>
    <w:rsid w:val="0006361B"/>
    <w:rsid w:val="000637D1"/>
    <w:rsid w:val="00063ECB"/>
    <w:rsid w:val="00064078"/>
    <w:rsid w:val="00064098"/>
    <w:rsid w:val="00064269"/>
    <w:rsid w:val="0006443D"/>
    <w:rsid w:val="00064557"/>
    <w:rsid w:val="0006461E"/>
    <w:rsid w:val="00064829"/>
    <w:rsid w:val="000648FB"/>
    <w:rsid w:val="00064BBA"/>
    <w:rsid w:val="00064E24"/>
    <w:rsid w:val="00064F9F"/>
    <w:rsid w:val="000651B6"/>
    <w:rsid w:val="000653CE"/>
    <w:rsid w:val="000654C9"/>
    <w:rsid w:val="00065710"/>
    <w:rsid w:val="00065C38"/>
    <w:rsid w:val="000661A4"/>
    <w:rsid w:val="00066501"/>
    <w:rsid w:val="00066574"/>
    <w:rsid w:val="00066998"/>
    <w:rsid w:val="00066B30"/>
    <w:rsid w:val="00066BBC"/>
    <w:rsid w:val="00066C0E"/>
    <w:rsid w:val="00066ECD"/>
    <w:rsid w:val="00066ED3"/>
    <w:rsid w:val="00067180"/>
    <w:rsid w:val="000673B3"/>
    <w:rsid w:val="0006750F"/>
    <w:rsid w:val="00067597"/>
    <w:rsid w:val="00067EA8"/>
    <w:rsid w:val="00067F71"/>
    <w:rsid w:val="00070447"/>
    <w:rsid w:val="00070C41"/>
    <w:rsid w:val="00070C75"/>
    <w:rsid w:val="00070C76"/>
    <w:rsid w:val="000710EB"/>
    <w:rsid w:val="0007125B"/>
    <w:rsid w:val="00071539"/>
    <w:rsid w:val="000715B5"/>
    <w:rsid w:val="00071806"/>
    <w:rsid w:val="0007191E"/>
    <w:rsid w:val="0007198C"/>
    <w:rsid w:val="000719B3"/>
    <w:rsid w:val="000719BC"/>
    <w:rsid w:val="000719DD"/>
    <w:rsid w:val="00071B8E"/>
    <w:rsid w:val="00071BBF"/>
    <w:rsid w:val="00071C48"/>
    <w:rsid w:val="00072405"/>
    <w:rsid w:val="000724C1"/>
    <w:rsid w:val="0007259E"/>
    <w:rsid w:val="000727CC"/>
    <w:rsid w:val="0007293A"/>
    <w:rsid w:val="00072AAD"/>
    <w:rsid w:val="00072B01"/>
    <w:rsid w:val="00072D67"/>
    <w:rsid w:val="00072DEE"/>
    <w:rsid w:val="00072E4A"/>
    <w:rsid w:val="0007330F"/>
    <w:rsid w:val="00073C88"/>
    <w:rsid w:val="00073D1E"/>
    <w:rsid w:val="00073E34"/>
    <w:rsid w:val="00073F5A"/>
    <w:rsid w:val="00073F62"/>
    <w:rsid w:val="00073FA7"/>
    <w:rsid w:val="0007437F"/>
    <w:rsid w:val="00074444"/>
    <w:rsid w:val="000747D7"/>
    <w:rsid w:val="00074E9A"/>
    <w:rsid w:val="00074F29"/>
    <w:rsid w:val="00074F6A"/>
    <w:rsid w:val="00074F8E"/>
    <w:rsid w:val="00075040"/>
    <w:rsid w:val="0007535B"/>
    <w:rsid w:val="0007591D"/>
    <w:rsid w:val="00075D71"/>
    <w:rsid w:val="00076018"/>
    <w:rsid w:val="000760F3"/>
    <w:rsid w:val="00076316"/>
    <w:rsid w:val="00076378"/>
    <w:rsid w:val="00076409"/>
    <w:rsid w:val="00076486"/>
    <w:rsid w:val="00076728"/>
    <w:rsid w:val="00076B57"/>
    <w:rsid w:val="00076C54"/>
    <w:rsid w:val="00076F37"/>
    <w:rsid w:val="00077411"/>
    <w:rsid w:val="000776D0"/>
    <w:rsid w:val="00077A66"/>
    <w:rsid w:val="00077B54"/>
    <w:rsid w:val="00077C0F"/>
    <w:rsid w:val="00077D82"/>
    <w:rsid w:val="00077DCB"/>
    <w:rsid w:val="00077FBC"/>
    <w:rsid w:val="000801DF"/>
    <w:rsid w:val="00080639"/>
    <w:rsid w:val="0008063A"/>
    <w:rsid w:val="00080959"/>
    <w:rsid w:val="00080C21"/>
    <w:rsid w:val="00080EF9"/>
    <w:rsid w:val="00081170"/>
    <w:rsid w:val="00081398"/>
    <w:rsid w:val="00081695"/>
    <w:rsid w:val="000818F7"/>
    <w:rsid w:val="00081C38"/>
    <w:rsid w:val="00081D8E"/>
    <w:rsid w:val="000820B9"/>
    <w:rsid w:val="0008241F"/>
    <w:rsid w:val="00082469"/>
    <w:rsid w:val="00082679"/>
    <w:rsid w:val="0008277E"/>
    <w:rsid w:val="00082816"/>
    <w:rsid w:val="00082A44"/>
    <w:rsid w:val="00082B45"/>
    <w:rsid w:val="00082B4A"/>
    <w:rsid w:val="00082C33"/>
    <w:rsid w:val="000832C9"/>
    <w:rsid w:val="000832FD"/>
    <w:rsid w:val="000833E3"/>
    <w:rsid w:val="00083486"/>
    <w:rsid w:val="000834C3"/>
    <w:rsid w:val="00083602"/>
    <w:rsid w:val="0008361A"/>
    <w:rsid w:val="0008392A"/>
    <w:rsid w:val="00083A9A"/>
    <w:rsid w:val="00083E05"/>
    <w:rsid w:val="00084028"/>
    <w:rsid w:val="00084115"/>
    <w:rsid w:val="00084459"/>
    <w:rsid w:val="000844DF"/>
    <w:rsid w:val="000844F1"/>
    <w:rsid w:val="00084551"/>
    <w:rsid w:val="0008469D"/>
    <w:rsid w:val="0008471E"/>
    <w:rsid w:val="00084962"/>
    <w:rsid w:val="00084C26"/>
    <w:rsid w:val="00084C9F"/>
    <w:rsid w:val="00084FFA"/>
    <w:rsid w:val="00085053"/>
    <w:rsid w:val="0008509A"/>
    <w:rsid w:val="0008534D"/>
    <w:rsid w:val="000853B1"/>
    <w:rsid w:val="00085495"/>
    <w:rsid w:val="00085844"/>
    <w:rsid w:val="0008590A"/>
    <w:rsid w:val="000860AE"/>
    <w:rsid w:val="000864BE"/>
    <w:rsid w:val="00086630"/>
    <w:rsid w:val="000866A8"/>
    <w:rsid w:val="0008691F"/>
    <w:rsid w:val="00086D26"/>
    <w:rsid w:val="00086E2D"/>
    <w:rsid w:val="00086EED"/>
    <w:rsid w:val="00086FFD"/>
    <w:rsid w:val="000874F1"/>
    <w:rsid w:val="000876A8"/>
    <w:rsid w:val="00087B08"/>
    <w:rsid w:val="00087B54"/>
    <w:rsid w:val="00087FF2"/>
    <w:rsid w:val="000903E5"/>
    <w:rsid w:val="0009053D"/>
    <w:rsid w:val="000905CA"/>
    <w:rsid w:val="00090906"/>
    <w:rsid w:val="00090ED6"/>
    <w:rsid w:val="00091024"/>
    <w:rsid w:val="00091456"/>
    <w:rsid w:val="00091503"/>
    <w:rsid w:val="00091AC8"/>
    <w:rsid w:val="00091B62"/>
    <w:rsid w:val="00091B84"/>
    <w:rsid w:val="00091C05"/>
    <w:rsid w:val="00091F1C"/>
    <w:rsid w:val="00091FEE"/>
    <w:rsid w:val="000925E6"/>
    <w:rsid w:val="000928CE"/>
    <w:rsid w:val="00092ADF"/>
    <w:rsid w:val="00092BF5"/>
    <w:rsid w:val="00092C29"/>
    <w:rsid w:val="0009305B"/>
    <w:rsid w:val="00093130"/>
    <w:rsid w:val="00093219"/>
    <w:rsid w:val="0009322E"/>
    <w:rsid w:val="0009355C"/>
    <w:rsid w:val="000935D7"/>
    <w:rsid w:val="000936EC"/>
    <w:rsid w:val="000937C2"/>
    <w:rsid w:val="000938FC"/>
    <w:rsid w:val="0009395E"/>
    <w:rsid w:val="00093B66"/>
    <w:rsid w:val="00093BC0"/>
    <w:rsid w:val="00093C08"/>
    <w:rsid w:val="00093D01"/>
    <w:rsid w:val="000940D1"/>
    <w:rsid w:val="0009444F"/>
    <w:rsid w:val="00094616"/>
    <w:rsid w:val="00094C75"/>
    <w:rsid w:val="00094F14"/>
    <w:rsid w:val="00094FAD"/>
    <w:rsid w:val="00094FD9"/>
    <w:rsid w:val="00095003"/>
    <w:rsid w:val="000952E9"/>
    <w:rsid w:val="00095304"/>
    <w:rsid w:val="00095536"/>
    <w:rsid w:val="000959BF"/>
    <w:rsid w:val="00095A22"/>
    <w:rsid w:val="00095B44"/>
    <w:rsid w:val="00095BF7"/>
    <w:rsid w:val="00095D00"/>
    <w:rsid w:val="00096105"/>
    <w:rsid w:val="0009678E"/>
    <w:rsid w:val="0009681E"/>
    <w:rsid w:val="00096A6F"/>
    <w:rsid w:val="00096CA7"/>
    <w:rsid w:val="00096E63"/>
    <w:rsid w:val="00096F5E"/>
    <w:rsid w:val="00096F60"/>
    <w:rsid w:val="0009799D"/>
    <w:rsid w:val="00097A12"/>
    <w:rsid w:val="00097C91"/>
    <w:rsid w:val="00097DD2"/>
    <w:rsid w:val="00097FDA"/>
    <w:rsid w:val="000A0565"/>
    <w:rsid w:val="000A0810"/>
    <w:rsid w:val="000A092D"/>
    <w:rsid w:val="000A0ECE"/>
    <w:rsid w:val="000A0F8A"/>
    <w:rsid w:val="000A114E"/>
    <w:rsid w:val="000A1278"/>
    <w:rsid w:val="000A1841"/>
    <w:rsid w:val="000A19CA"/>
    <w:rsid w:val="000A1A2D"/>
    <w:rsid w:val="000A1B9A"/>
    <w:rsid w:val="000A1D84"/>
    <w:rsid w:val="000A1E0A"/>
    <w:rsid w:val="000A1E79"/>
    <w:rsid w:val="000A1ED0"/>
    <w:rsid w:val="000A201A"/>
    <w:rsid w:val="000A2200"/>
    <w:rsid w:val="000A2379"/>
    <w:rsid w:val="000A23A2"/>
    <w:rsid w:val="000A2751"/>
    <w:rsid w:val="000A2A07"/>
    <w:rsid w:val="000A2B7E"/>
    <w:rsid w:val="000A2BB7"/>
    <w:rsid w:val="000A2BF5"/>
    <w:rsid w:val="000A2C41"/>
    <w:rsid w:val="000A2CB3"/>
    <w:rsid w:val="000A2CBB"/>
    <w:rsid w:val="000A2DB2"/>
    <w:rsid w:val="000A3285"/>
    <w:rsid w:val="000A358B"/>
    <w:rsid w:val="000A37EB"/>
    <w:rsid w:val="000A3DD0"/>
    <w:rsid w:val="000A3F07"/>
    <w:rsid w:val="000A4094"/>
    <w:rsid w:val="000A40E2"/>
    <w:rsid w:val="000A4137"/>
    <w:rsid w:val="000A4182"/>
    <w:rsid w:val="000A42B8"/>
    <w:rsid w:val="000A445C"/>
    <w:rsid w:val="000A45B1"/>
    <w:rsid w:val="000A45EB"/>
    <w:rsid w:val="000A4654"/>
    <w:rsid w:val="000A4690"/>
    <w:rsid w:val="000A493B"/>
    <w:rsid w:val="000A4E90"/>
    <w:rsid w:val="000A50E5"/>
    <w:rsid w:val="000A5130"/>
    <w:rsid w:val="000A5500"/>
    <w:rsid w:val="000A5586"/>
    <w:rsid w:val="000A5745"/>
    <w:rsid w:val="000A5861"/>
    <w:rsid w:val="000A5DF4"/>
    <w:rsid w:val="000A5E45"/>
    <w:rsid w:val="000A5E57"/>
    <w:rsid w:val="000A6110"/>
    <w:rsid w:val="000A63C8"/>
    <w:rsid w:val="000A6513"/>
    <w:rsid w:val="000A66D2"/>
    <w:rsid w:val="000A692E"/>
    <w:rsid w:val="000A6C57"/>
    <w:rsid w:val="000A6CCF"/>
    <w:rsid w:val="000A6D10"/>
    <w:rsid w:val="000A6D92"/>
    <w:rsid w:val="000A6FFE"/>
    <w:rsid w:val="000A707B"/>
    <w:rsid w:val="000A7165"/>
    <w:rsid w:val="000A734B"/>
    <w:rsid w:val="000A7757"/>
    <w:rsid w:val="000A77B4"/>
    <w:rsid w:val="000A77F5"/>
    <w:rsid w:val="000A7BD6"/>
    <w:rsid w:val="000A7E75"/>
    <w:rsid w:val="000A7E84"/>
    <w:rsid w:val="000A7EC7"/>
    <w:rsid w:val="000B0089"/>
    <w:rsid w:val="000B0254"/>
    <w:rsid w:val="000B0328"/>
    <w:rsid w:val="000B0516"/>
    <w:rsid w:val="000B06AC"/>
    <w:rsid w:val="000B06AF"/>
    <w:rsid w:val="000B09CE"/>
    <w:rsid w:val="000B0A73"/>
    <w:rsid w:val="000B0BDD"/>
    <w:rsid w:val="000B0CAD"/>
    <w:rsid w:val="000B1030"/>
    <w:rsid w:val="000B123B"/>
    <w:rsid w:val="000B13A3"/>
    <w:rsid w:val="000B13CA"/>
    <w:rsid w:val="000B14BA"/>
    <w:rsid w:val="000B179A"/>
    <w:rsid w:val="000B1988"/>
    <w:rsid w:val="000B1B59"/>
    <w:rsid w:val="000B1D80"/>
    <w:rsid w:val="000B1EBB"/>
    <w:rsid w:val="000B204C"/>
    <w:rsid w:val="000B2266"/>
    <w:rsid w:val="000B242D"/>
    <w:rsid w:val="000B26E2"/>
    <w:rsid w:val="000B2828"/>
    <w:rsid w:val="000B28DA"/>
    <w:rsid w:val="000B2A7D"/>
    <w:rsid w:val="000B30F9"/>
    <w:rsid w:val="000B314B"/>
    <w:rsid w:val="000B3279"/>
    <w:rsid w:val="000B34AC"/>
    <w:rsid w:val="000B379B"/>
    <w:rsid w:val="000B37A3"/>
    <w:rsid w:val="000B37EB"/>
    <w:rsid w:val="000B38D1"/>
    <w:rsid w:val="000B3B7D"/>
    <w:rsid w:val="000B3C5D"/>
    <w:rsid w:val="000B3EC7"/>
    <w:rsid w:val="000B3FE8"/>
    <w:rsid w:val="000B4077"/>
    <w:rsid w:val="000B43FB"/>
    <w:rsid w:val="000B454F"/>
    <w:rsid w:val="000B45A4"/>
    <w:rsid w:val="000B45C2"/>
    <w:rsid w:val="000B4707"/>
    <w:rsid w:val="000B4875"/>
    <w:rsid w:val="000B48C8"/>
    <w:rsid w:val="000B4937"/>
    <w:rsid w:val="000B4ACF"/>
    <w:rsid w:val="000B4D66"/>
    <w:rsid w:val="000B5093"/>
    <w:rsid w:val="000B514A"/>
    <w:rsid w:val="000B5189"/>
    <w:rsid w:val="000B51D6"/>
    <w:rsid w:val="000B52D9"/>
    <w:rsid w:val="000B5488"/>
    <w:rsid w:val="000B54B0"/>
    <w:rsid w:val="000B54C0"/>
    <w:rsid w:val="000B56CE"/>
    <w:rsid w:val="000B5719"/>
    <w:rsid w:val="000B5B13"/>
    <w:rsid w:val="000B5E37"/>
    <w:rsid w:val="000B5E5B"/>
    <w:rsid w:val="000B5EEC"/>
    <w:rsid w:val="000B636D"/>
    <w:rsid w:val="000B643D"/>
    <w:rsid w:val="000B653E"/>
    <w:rsid w:val="000B657D"/>
    <w:rsid w:val="000B65F3"/>
    <w:rsid w:val="000B68AC"/>
    <w:rsid w:val="000B6A9D"/>
    <w:rsid w:val="000B7258"/>
    <w:rsid w:val="000B73EF"/>
    <w:rsid w:val="000B7485"/>
    <w:rsid w:val="000B79C4"/>
    <w:rsid w:val="000B7BDF"/>
    <w:rsid w:val="000C02A1"/>
    <w:rsid w:val="000C0558"/>
    <w:rsid w:val="000C0786"/>
    <w:rsid w:val="000C0A6F"/>
    <w:rsid w:val="000C0BD4"/>
    <w:rsid w:val="000C10F3"/>
    <w:rsid w:val="000C1117"/>
    <w:rsid w:val="000C1211"/>
    <w:rsid w:val="000C1261"/>
    <w:rsid w:val="000C1285"/>
    <w:rsid w:val="000C1F5D"/>
    <w:rsid w:val="000C211E"/>
    <w:rsid w:val="000C232A"/>
    <w:rsid w:val="000C239B"/>
    <w:rsid w:val="000C2626"/>
    <w:rsid w:val="000C26FA"/>
    <w:rsid w:val="000C2A2D"/>
    <w:rsid w:val="000C2D8B"/>
    <w:rsid w:val="000C2DCB"/>
    <w:rsid w:val="000C2E33"/>
    <w:rsid w:val="000C2E88"/>
    <w:rsid w:val="000C2EB7"/>
    <w:rsid w:val="000C300C"/>
    <w:rsid w:val="000C300E"/>
    <w:rsid w:val="000C30BE"/>
    <w:rsid w:val="000C326A"/>
    <w:rsid w:val="000C34A5"/>
    <w:rsid w:val="000C3794"/>
    <w:rsid w:val="000C3A19"/>
    <w:rsid w:val="000C3CE5"/>
    <w:rsid w:val="000C3D21"/>
    <w:rsid w:val="000C3D5B"/>
    <w:rsid w:val="000C4089"/>
    <w:rsid w:val="000C4095"/>
    <w:rsid w:val="000C449E"/>
    <w:rsid w:val="000C457B"/>
    <w:rsid w:val="000C46D4"/>
    <w:rsid w:val="000C4831"/>
    <w:rsid w:val="000C496E"/>
    <w:rsid w:val="000C49B7"/>
    <w:rsid w:val="000C4A41"/>
    <w:rsid w:val="000C4A6E"/>
    <w:rsid w:val="000C4BF5"/>
    <w:rsid w:val="000C50F4"/>
    <w:rsid w:val="000C5245"/>
    <w:rsid w:val="000C52D4"/>
    <w:rsid w:val="000C531D"/>
    <w:rsid w:val="000C5350"/>
    <w:rsid w:val="000C54D5"/>
    <w:rsid w:val="000C54DC"/>
    <w:rsid w:val="000C5504"/>
    <w:rsid w:val="000C55C5"/>
    <w:rsid w:val="000C56A4"/>
    <w:rsid w:val="000C585E"/>
    <w:rsid w:val="000C5A45"/>
    <w:rsid w:val="000C5A79"/>
    <w:rsid w:val="000C5ADA"/>
    <w:rsid w:val="000C5B23"/>
    <w:rsid w:val="000C5DBB"/>
    <w:rsid w:val="000C61AC"/>
    <w:rsid w:val="000C6203"/>
    <w:rsid w:val="000C6220"/>
    <w:rsid w:val="000C63A6"/>
    <w:rsid w:val="000C6C86"/>
    <w:rsid w:val="000C735F"/>
    <w:rsid w:val="000C73EA"/>
    <w:rsid w:val="000C7420"/>
    <w:rsid w:val="000C74D4"/>
    <w:rsid w:val="000C76E0"/>
    <w:rsid w:val="000C7B7B"/>
    <w:rsid w:val="000C7BDB"/>
    <w:rsid w:val="000D024B"/>
    <w:rsid w:val="000D054F"/>
    <w:rsid w:val="000D05C9"/>
    <w:rsid w:val="000D0BC0"/>
    <w:rsid w:val="000D117B"/>
    <w:rsid w:val="000D15AA"/>
    <w:rsid w:val="000D16CA"/>
    <w:rsid w:val="000D176C"/>
    <w:rsid w:val="000D1BC5"/>
    <w:rsid w:val="000D1C28"/>
    <w:rsid w:val="000D1E5E"/>
    <w:rsid w:val="000D1E8D"/>
    <w:rsid w:val="000D2040"/>
    <w:rsid w:val="000D2063"/>
    <w:rsid w:val="000D20F8"/>
    <w:rsid w:val="000D228B"/>
    <w:rsid w:val="000D290A"/>
    <w:rsid w:val="000D2AC8"/>
    <w:rsid w:val="000D2B3B"/>
    <w:rsid w:val="000D2D81"/>
    <w:rsid w:val="000D2D9E"/>
    <w:rsid w:val="000D2E69"/>
    <w:rsid w:val="000D2FCA"/>
    <w:rsid w:val="000D30C9"/>
    <w:rsid w:val="000D32A8"/>
    <w:rsid w:val="000D3EC8"/>
    <w:rsid w:val="000D400B"/>
    <w:rsid w:val="000D44A1"/>
    <w:rsid w:val="000D46B1"/>
    <w:rsid w:val="000D477C"/>
    <w:rsid w:val="000D49A0"/>
    <w:rsid w:val="000D4A6B"/>
    <w:rsid w:val="000D4B6F"/>
    <w:rsid w:val="000D4B95"/>
    <w:rsid w:val="000D4DE9"/>
    <w:rsid w:val="000D4F77"/>
    <w:rsid w:val="000D5129"/>
    <w:rsid w:val="000D5214"/>
    <w:rsid w:val="000D5353"/>
    <w:rsid w:val="000D53CF"/>
    <w:rsid w:val="000D54AD"/>
    <w:rsid w:val="000D55D6"/>
    <w:rsid w:val="000D5602"/>
    <w:rsid w:val="000D5A01"/>
    <w:rsid w:val="000D5AA2"/>
    <w:rsid w:val="000D5C65"/>
    <w:rsid w:val="000D5C9D"/>
    <w:rsid w:val="000D5F96"/>
    <w:rsid w:val="000D66AB"/>
    <w:rsid w:val="000D697B"/>
    <w:rsid w:val="000D69C7"/>
    <w:rsid w:val="000D6F90"/>
    <w:rsid w:val="000D71F1"/>
    <w:rsid w:val="000D7321"/>
    <w:rsid w:val="000D7518"/>
    <w:rsid w:val="000D7595"/>
    <w:rsid w:val="000D77B0"/>
    <w:rsid w:val="000D77EF"/>
    <w:rsid w:val="000D780B"/>
    <w:rsid w:val="000D785C"/>
    <w:rsid w:val="000D7929"/>
    <w:rsid w:val="000D79C5"/>
    <w:rsid w:val="000D7ACC"/>
    <w:rsid w:val="000D7CEB"/>
    <w:rsid w:val="000D7FE9"/>
    <w:rsid w:val="000E01D5"/>
    <w:rsid w:val="000E026F"/>
    <w:rsid w:val="000E0674"/>
    <w:rsid w:val="000E0945"/>
    <w:rsid w:val="000E0A40"/>
    <w:rsid w:val="000E0BA9"/>
    <w:rsid w:val="000E0EE0"/>
    <w:rsid w:val="000E0F7A"/>
    <w:rsid w:val="000E1233"/>
    <w:rsid w:val="000E1329"/>
    <w:rsid w:val="000E13B8"/>
    <w:rsid w:val="000E15BA"/>
    <w:rsid w:val="000E1863"/>
    <w:rsid w:val="000E195B"/>
    <w:rsid w:val="000E1A10"/>
    <w:rsid w:val="000E1E9D"/>
    <w:rsid w:val="000E226F"/>
    <w:rsid w:val="000E233C"/>
    <w:rsid w:val="000E2400"/>
    <w:rsid w:val="000E2F42"/>
    <w:rsid w:val="000E3267"/>
    <w:rsid w:val="000E32F8"/>
    <w:rsid w:val="000E331A"/>
    <w:rsid w:val="000E35AE"/>
    <w:rsid w:val="000E3FAA"/>
    <w:rsid w:val="000E41C8"/>
    <w:rsid w:val="000E43B6"/>
    <w:rsid w:val="000E43BF"/>
    <w:rsid w:val="000E43C1"/>
    <w:rsid w:val="000E448A"/>
    <w:rsid w:val="000E45E5"/>
    <w:rsid w:val="000E46C0"/>
    <w:rsid w:val="000E47BA"/>
    <w:rsid w:val="000E4802"/>
    <w:rsid w:val="000E4817"/>
    <w:rsid w:val="000E4B3C"/>
    <w:rsid w:val="000E4BEA"/>
    <w:rsid w:val="000E4EB6"/>
    <w:rsid w:val="000E5120"/>
    <w:rsid w:val="000E52E2"/>
    <w:rsid w:val="000E5345"/>
    <w:rsid w:val="000E5412"/>
    <w:rsid w:val="000E541D"/>
    <w:rsid w:val="000E5476"/>
    <w:rsid w:val="000E5644"/>
    <w:rsid w:val="000E5907"/>
    <w:rsid w:val="000E5C1B"/>
    <w:rsid w:val="000E5CBE"/>
    <w:rsid w:val="000E6006"/>
    <w:rsid w:val="000E62EE"/>
    <w:rsid w:val="000E678D"/>
    <w:rsid w:val="000E6844"/>
    <w:rsid w:val="000E695F"/>
    <w:rsid w:val="000E69F2"/>
    <w:rsid w:val="000E6BC5"/>
    <w:rsid w:val="000E6F44"/>
    <w:rsid w:val="000E6F5C"/>
    <w:rsid w:val="000E7025"/>
    <w:rsid w:val="000E7066"/>
    <w:rsid w:val="000E7387"/>
    <w:rsid w:val="000E7445"/>
    <w:rsid w:val="000E749E"/>
    <w:rsid w:val="000E7868"/>
    <w:rsid w:val="000E7970"/>
    <w:rsid w:val="000E7CCA"/>
    <w:rsid w:val="000E7F59"/>
    <w:rsid w:val="000E7F7F"/>
    <w:rsid w:val="000E7FCB"/>
    <w:rsid w:val="000F0466"/>
    <w:rsid w:val="000F0681"/>
    <w:rsid w:val="000F09AF"/>
    <w:rsid w:val="000F0C95"/>
    <w:rsid w:val="000F0DAB"/>
    <w:rsid w:val="000F0DC7"/>
    <w:rsid w:val="000F11DF"/>
    <w:rsid w:val="000F1409"/>
    <w:rsid w:val="000F174E"/>
    <w:rsid w:val="000F1821"/>
    <w:rsid w:val="000F1BA0"/>
    <w:rsid w:val="000F1D84"/>
    <w:rsid w:val="000F1E9E"/>
    <w:rsid w:val="000F2069"/>
    <w:rsid w:val="000F2210"/>
    <w:rsid w:val="000F228C"/>
    <w:rsid w:val="000F24B0"/>
    <w:rsid w:val="000F2B2C"/>
    <w:rsid w:val="000F2B78"/>
    <w:rsid w:val="000F2C34"/>
    <w:rsid w:val="000F2ECB"/>
    <w:rsid w:val="000F33CE"/>
    <w:rsid w:val="000F349A"/>
    <w:rsid w:val="000F3515"/>
    <w:rsid w:val="000F35BA"/>
    <w:rsid w:val="000F3613"/>
    <w:rsid w:val="000F387B"/>
    <w:rsid w:val="000F3C48"/>
    <w:rsid w:val="000F3CC8"/>
    <w:rsid w:val="000F3DA8"/>
    <w:rsid w:val="000F3F93"/>
    <w:rsid w:val="000F4055"/>
    <w:rsid w:val="000F4312"/>
    <w:rsid w:val="000F45AD"/>
    <w:rsid w:val="000F464F"/>
    <w:rsid w:val="000F49A6"/>
    <w:rsid w:val="000F513C"/>
    <w:rsid w:val="000F530A"/>
    <w:rsid w:val="000F56A7"/>
    <w:rsid w:val="000F5A19"/>
    <w:rsid w:val="000F5C0B"/>
    <w:rsid w:val="000F60A6"/>
    <w:rsid w:val="000F61BB"/>
    <w:rsid w:val="000F64D6"/>
    <w:rsid w:val="000F65EE"/>
    <w:rsid w:val="000F66B1"/>
    <w:rsid w:val="000F676F"/>
    <w:rsid w:val="000F6951"/>
    <w:rsid w:val="000F6D23"/>
    <w:rsid w:val="000F6F5B"/>
    <w:rsid w:val="000F708C"/>
    <w:rsid w:val="000F717B"/>
    <w:rsid w:val="000F74CC"/>
    <w:rsid w:val="000F7743"/>
    <w:rsid w:val="000F788C"/>
    <w:rsid w:val="000F78CC"/>
    <w:rsid w:val="000F79D5"/>
    <w:rsid w:val="000F7FC8"/>
    <w:rsid w:val="0010014F"/>
    <w:rsid w:val="0010016F"/>
    <w:rsid w:val="00100303"/>
    <w:rsid w:val="001003EE"/>
    <w:rsid w:val="001003F7"/>
    <w:rsid w:val="00100592"/>
    <w:rsid w:val="00100630"/>
    <w:rsid w:val="001006E4"/>
    <w:rsid w:val="001008A2"/>
    <w:rsid w:val="00100BFD"/>
    <w:rsid w:val="00100C79"/>
    <w:rsid w:val="00100DBB"/>
    <w:rsid w:val="00100F6B"/>
    <w:rsid w:val="00101142"/>
    <w:rsid w:val="001012D5"/>
    <w:rsid w:val="00101324"/>
    <w:rsid w:val="0010147F"/>
    <w:rsid w:val="0010194F"/>
    <w:rsid w:val="001019F4"/>
    <w:rsid w:val="00101A7B"/>
    <w:rsid w:val="00101D60"/>
    <w:rsid w:val="00101FFA"/>
    <w:rsid w:val="00102163"/>
    <w:rsid w:val="001021B7"/>
    <w:rsid w:val="0010224E"/>
    <w:rsid w:val="001023C1"/>
    <w:rsid w:val="001025FE"/>
    <w:rsid w:val="001028A4"/>
    <w:rsid w:val="00102A3E"/>
    <w:rsid w:val="00102AF1"/>
    <w:rsid w:val="00102B7D"/>
    <w:rsid w:val="00102BCC"/>
    <w:rsid w:val="00102D3C"/>
    <w:rsid w:val="00102F62"/>
    <w:rsid w:val="001033C9"/>
    <w:rsid w:val="00103481"/>
    <w:rsid w:val="001034C4"/>
    <w:rsid w:val="00103510"/>
    <w:rsid w:val="00103567"/>
    <w:rsid w:val="00103583"/>
    <w:rsid w:val="00103609"/>
    <w:rsid w:val="00103614"/>
    <w:rsid w:val="001036C0"/>
    <w:rsid w:val="0010398C"/>
    <w:rsid w:val="00103A74"/>
    <w:rsid w:val="00103C10"/>
    <w:rsid w:val="00103D36"/>
    <w:rsid w:val="00103ED5"/>
    <w:rsid w:val="00104372"/>
    <w:rsid w:val="001044DD"/>
    <w:rsid w:val="001045F3"/>
    <w:rsid w:val="0010469B"/>
    <w:rsid w:val="001048AA"/>
    <w:rsid w:val="00104B39"/>
    <w:rsid w:val="00104BC2"/>
    <w:rsid w:val="00104D8D"/>
    <w:rsid w:val="00104DAB"/>
    <w:rsid w:val="0010500C"/>
    <w:rsid w:val="001051A5"/>
    <w:rsid w:val="001053D4"/>
    <w:rsid w:val="0010543D"/>
    <w:rsid w:val="0010569D"/>
    <w:rsid w:val="001057D0"/>
    <w:rsid w:val="00105948"/>
    <w:rsid w:val="00105B33"/>
    <w:rsid w:val="00105F4D"/>
    <w:rsid w:val="00105F5F"/>
    <w:rsid w:val="00105FB9"/>
    <w:rsid w:val="00106113"/>
    <w:rsid w:val="00106164"/>
    <w:rsid w:val="00106176"/>
    <w:rsid w:val="001061BD"/>
    <w:rsid w:val="001064DF"/>
    <w:rsid w:val="001068CB"/>
    <w:rsid w:val="00106AAA"/>
    <w:rsid w:val="00106B22"/>
    <w:rsid w:val="00106D68"/>
    <w:rsid w:val="00107916"/>
    <w:rsid w:val="00107D39"/>
    <w:rsid w:val="00107EA0"/>
    <w:rsid w:val="00110096"/>
    <w:rsid w:val="001100FA"/>
    <w:rsid w:val="001101EB"/>
    <w:rsid w:val="0011034E"/>
    <w:rsid w:val="001109FF"/>
    <w:rsid w:val="00110C5C"/>
    <w:rsid w:val="00110C77"/>
    <w:rsid w:val="00110D17"/>
    <w:rsid w:val="00110F39"/>
    <w:rsid w:val="0011104A"/>
    <w:rsid w:val="0011119F"/>
    <w:rsid w:val="00111285"/>
    <w:rsid w:val="001113EE"/>
    <w:rsid w:val="001114D1"/>
    <w:rsid w:val="001117EC"/>
    <w:rsid w:val="00111A73"/>
    <w:rsid w:val="00112130"/>
    <w:rsid w:val="00112285"/>
    <w:rsid w:val="001124E5"/>
    <w:rsid w:val="00112625"/>
    <w:rsid w:val="0011266D"/>
    <w:rsid w:val="001126D7"/>
    <w:rsid w:val="001128FA"/>
    <w:rsid w:val="00112A3C"/>
    <w:rsid w:val="00112A46"/>
    <w:rsid w:val="00112AD2"/>
    <w:rsid w:val="00112D72"/>
    <w:rsid w:val="00112DCA"/>
    <w:rsid w:val="00112E6E"/>
    <w:rsid w:val="001131A9"/>
    <w:rsid w:val="001132CB"/>
    <w:rsid w:val="00113618"/>
    <w:rsid w:val="00113636"/>
    <w:rsid w:val="0011381B"/>
    <w:rsid w:val="00113ABB"/>
    <w:rsid w:val="00113B08"/>
    <w:rsid w:val="00113E72"/>
    <w:rsid w:val="00113F64"/>
    <w:rsid w:val="00114403"/>
    <w:rsid w:val="00114410"/>
    <w:rsid w:val="001149A3"/>
    <w:rsid w:val="00114E15"/>
    <w:rsid w:val="00115104"/>
    <w:rsid w:val="001151AB"/>
    <w:rsid w:val="00115491"/>
    <w:rsid w:val="00115676"/>
    <w:rsid w:val="001156BE"/>
    <w:rsid w:val="001156F0"/>
    <w:rsid w:val="00115839"/>
    <w:rsid w:val="001158A5"/>
    <w:rsid w:val="0011592B"/>
    <w:rsid w:val="001159AB"/>
    <w:rsid w:val="00115A9B"/>
    <w:rsid w:val="00115DE6"/>
    <w:rsid w:val="00115DF6"/>
    <w:rsid w:val="001163F5"/>
    <w:rsid w:val="001164ED"/>
    <w:rsid w:val="001166AE"/>
    <w:rsid w:val="00116CA0"/>
    <w:rsid w:val="00116E2B"/>
    <w:rsid w:val="00116FAF"/>
    <w:rsid w:val="0011725E"/>
    <w:rsid w:val="0011769F"/>
    <w:rsid w:val="001176D9"/>
    <w:rsid w:val="001178FD"/>
    <w:rsid w:val="00117B32"/>
    <w:rsid w:val="00117C75"/>
    <w:rsid w:val="00117FB9"/>
    <w:rsid w:val="00117FD2"/>
    <w:rsid w:val="001201DC"/>
    <w:rsid w:val="00120200"/>
    <w:rsid w:val="001203E4"/>
    <w:rsid w:val="00120496"/>
    <w:rsid w:val="00120924"/>
    <w:rsid w:val="0012094D"/>
    <w:rsid w:val="0012097E"/>
    <w:rsid w:val="00120BCB"/>
    <w:rsid w:val="00120CF7"/>
    <w:rsid w:val="00120E81"/>
    <w:rsid w:val="00120EA0"/>
    <w:rsid w:val="0012106B"/>
    <w:rsid w:val="00121383"/>
    <w:rsid w:val="001218BA"/>
    <w:rsid w:val="001218E3"/>
    <w:rsid w:val="00121F05"/>
    <w:rsid w:val="001220D5"/>
    <w:rsid w:val="0012210E"/>
    <w:rsid w:val="0012212F"/>
    <w:rsid w:val="00122621"/>
    <w:rsid w:val="00122720"/>
    <w:rsid w:val="00122976"/>
    <w:rsid w:val="00122C43"/>
    <w:rsid w:val="00122DA3"/>
    <w:rsid w:val="00122E66"/>
    <w:rsid w:val="00122E7A"/>
    <w:rsid w:val="00122EAA"/>
    <w:rsid w:val="0012331D"/>
    <w:rsid w:val="0012335A"/>
    <w:rsid w:val="0012340D"/>
    <w:rsid w:val="001234B4"/>
    <w:rsid w:val="00123513"/>
    <w:rsid w:val="0012360B"/>
    <w:rsid w:val="001236F1"/>
    <w:rsid w:val="0012377D"/>
    <w:rsid w:val="00123984"/>
    <w:rsid w:val="00123B1A"/>
    <w:rsid w:val="00123CAE"/>
    <w:rsid w:val="00123CB5"/>
    <w:rsid w:val="00123F80"/>
    <w:rsid w:val="001241B5"/>
    <w:rsid w:val="00124233"/>
    <w:rsid w:val="0012424A"/>
    <w:rsid w:val="0012466D"/>
    <w:rsid w:val="00124A5B"/>
    <w:rsid w:val="00124AB1"/>
    <w:rsid w:val="00124ED5"/>
    <w:rsid w:val="001250EF"/>
    <w:rsid w:val="00125436"/>
    <w:rsid w:val="00125560"/>
    <w:rsid w:val="0012564F"/>
    <w:rsid w:val="00125871"/>
    <w:rsid w:val="00125987"/>
    <w:rsid w:val="001259FB"/>
    <w:rsid w:val="00125ADE"/>
    <w:rsid w:val="00125D7C"/>
    <w:rsid w:val="00125F15"/>
    <w:rsid w:val="00126092"/>
    <w:rsid w:val="00126155"/>
    <w:rsid w:val="001264FA"/>
    <w:rsid w:val="001266A7"/>
    <w:rsid w:val="0012679E"/>
    <w:rsid w:val="00126863"/>
    <w:rsid w:val="0012692A"/>
    <w:rsid w:val="00126A2E"/>
    <w:rsid w:val="00126C95"/>
    <w:rsid w:val="00126CEB"/>
    <w:rsid w:val="00126D8C"/>
    <w:rsid w:val="00126E15"/>
    <w:rsid w:val="00126EC5"/>
    <w:rsid w:val="001270BD"/>
    <w:rsid w:val="0012719F"/>
    <w:rsid w:val="00127226"/>
    <w:rsid w:val="001273EA"/>
    <w:rsid w:val="0012790D"/>
    <w:rsid w:val="00127981"/>
    <w:rsid w:val="00127B2C"/>
    <w:rsid w:val="001306B1"/>
    <w:rsid w:val="00130773"/>
    <w:rsid w:val="001307CC"/>
    <w:rsid w:val="0013107C"/>
    <w:rsid w:val="0013126A"/>
    <w:rsid w:val="00131546"/>
    <w:rsid w:val="00131646"/>
    <w:rsid w:val="00131875"/>
    <w:rsid w:val="00131A90"/>
    <w:rsid w:val="00131C63"/>
    <w:rsid w:val="001320FE"/>
    <w:rsid w:val="001323A5"/>
    <w:rsid w:val="00132CDF"/>
    <w:rsid w:val="00132D61"/>
    <w:rsid w:val="001331A9"/>
    <w:rsid w:val="001331FF"/>
    <w:rsid w:val="00133275"/>
    <w:rsid w:val="001334D0"/>
    <w:rsid w:val="001335AE"/>
    <w:rsid w:val="0013367B"/>
    <w:rsid w:val="001336F9"/>
    <w:rsid w:val="00133712"/>
    <w:rsid w:val="0013380C"/>
    <w:rsid w:val="001338B6"/>
    <w:rsid w:val="00133964"/>
    <w:rsid w:val="00133A6D"/>
    <w:rsid w:val="00133CB6"/>
    <w:rsid w:val="00133D23"/>
    <w:rsid w:val="00133E45"/>
    <w:rsid w:val="0013418E"/>
    <w:rsid w:val="00134283"/>
    <w:rsid w:val="00134410"/>
    <w:rsid w:val="00134505"/>
    <w:rsid w:val="001346C2"/>
    <w:rsid w:val="00134883"/>
    <w:rsid w:val="00134953"/>
    <w:rsid w:val="001349D8"/>
    <w:rsid w:val="00134FC9"/>
    <w:rsid w:val="00135345"/>
    <w:rsid w:val="0013542F"/>
    <w:rsid w:val="00135532"/>
    <w:rsid w:val="001355C1"/>
    <w:rsid w:val="00135776"/>
    <w:rsid w:val="001357D2"/>
    <w:rsid w:val="00135993"/>
    <w:rsid w:val="00135A2E"/>
    <w:rsid w:val="00135AAF"/>
    <w:rsid w:val="00135C23"/>
    <w:rsid w:val="00135D99"/>
    <w:rsid w:val="00136391"/>
    <w:rsid w:val="001367AB"/>
    <w:rsid w:val="0013689E"/>
    <w:rsid w:val="001368A3"/>
    <w:rsid w:val="00136B9D"/>
    <w:rsid w:val="00136DC1"/>
    <w:rsid w:val="00136EF5"/>
    <w:rsid w:val="00136FE5"/>
    <w:rsid w:val="001370D4"/>
    <w:rsid w:val="0013727D"/>
    <w:rsid w:val="0013757D"/>
    <w:rsid w:val="0013764E"/>
    <w:rsid w:val="0013785E"/>
    <w:rsid w:val="00137ADB"/>
    <w:rsid w:val="00137B36"/>
    <w:rsid w:val="00137B85"/>
    <w:rsid w:val="00140094"/>
    <w:rsid w:val="001402C9"/>
    <w:rsid w:val="001402D6"/>
    <w:rsid w:val="001407BE"/>
    <w:rsid w:val="001407C0"/>
    <w:rsid w:val="001408C4"/>
    <w:rsid w:val="00140933"/>
    <w:rsid w:val="00140D79"/>
    <w:rsid w:val="00140E0F"/>
    <w:rsid w:val="00140F2E"/>
    <w:rsid w:val="0014110A"/>
    <w:rsid w:val="0014113E"/>
    <w:rsid w:val="00141661"/>
    <w:rsid w:val="00141673"/>
    <w:rsid w:val="0014179D"/>
    <w:rsid w:val="00141842"/>
    <w:rsid w:val="00141E65"/>
    <w:rsid w:val="00141F91"/>
    <w:rsid w:val="00142100"/>
    <w:rsid w:val="00142306"/>
    <w:rsid w:val="001423FC"/>
    <w:rsid w:val="00142AE8"/>
    <w:rsid w:val="00142C1B"/>
    <w:rsid w:val="00142C3F"/>
    <w:rsid w:val="00142CB7"/>
    <w:rsid w:val="00142D02"/>
    <w:rsid w:val="00142E09"/>
    <w:rsid w:val="00142FCD"/>
    <w:rsid w:val="0014344C"/>
    <w:rsid w:val="0014353F"/>
    <w:rsid w:val="001435E3"/>
    <w:rsid w:val="00143AF8"/>
    <w:rsid w:val="00144047"/>
    <w:rsid w:val="00144523"/>
    <w:rsid w:val="00144835"/>
    <w:rsid w:val="00144A57"/>
    <w:rsid w:val="00144C2A"/>
    <w:rsid w:val="00144E67"/>
    <w:rsid w:val="00145088"/>
    <w:rsid w:val="0014510D"/>
    <w:rsid w:val="00145249"/>
    <w:rsid w:val="00145331"/>
    <w:rsid w:val="001456DF"/>
    <w:rsid w:val="001457FA"/>
    <w:rsid w:val="001459D0"/>
    <w:rsid w:val="0014600F"/>
    <w:rsid w:val="00146062"/>
    <w:rsid w:val="00146086"/>
    <w:rsid w:val="001460CC"/>
    <w:rsid w:val="00146110"/>
    <w:rsid w:val="001464C9"/>
    <w:rsid w:val="001465FF"/>
    <w:rsid w:val="00146AED"/>
    <w:rsid w:val="00146BEF"/>
    <w:rsid w:val="00146E1B"/>
    <w:rsid w:val="001473C1"/>
    <w:rsid w:val="0014780E"/>
    <w:rsid w:val="00147B60"/>
    <w:rsid w:val="00147DD8"/>
    <w:rsid w:val="00147ECC"/>
    <w:rsid w:val="0015023C"/>
    <w:rsid w:val="001505EB"/>
    <w:rsid w:val="001507DE"/>
    <w:rsid w:val="0015089D"/>
    <w:rsid w:val="00150D09"/>
    <w:rsid w:val="00150E56"/>
    <w:rsid w:val="00150E93"/>
    <w:rsid w:val="00150F8A"/>
    <w:rsid w:val="00150FF0"/>
    <w:rsid w:val="00151328"/>
    <w:rsid w:val="001513AE"/>
    <w:rsid w:val="001513E2"/>
    <w:rsid w:val="001514CC"/>
    <w:rsid w:val="00151562"/>
    <w:rsid w:val="00151861"/>
    <w:rsid w:val="0015188A"/>
    <w:rsid w:val="001519B0"/>
    <w:rsid w:val="00151B37"/>
    <w:rsid w:val="00151CC6"/>
    <w:rsid w:val="0015205C"/>
    <w:rsid w:val="00152063"/>
    <w:rsid w:val="0015228C"/>
    <w:rsid w:val="001522FA"/>
    <w:rsid w:val="001524CE"/>
    <w:rsid w:val="0015253F"/>
    <w:rsid w:val="001525BC"/>
    <w:rsid w:val="001525C3"/>
    <w:rsid w:val="00152604"/>
    <w:rsid w:val="001526CD"/>
    <w:rsid w:val="00152D74"/>
    <w:rsid w:val="00152D8C"/>
    <w:rsid w:val="00152E18"/>
    <w:rsid w:val="001530BA"/>
    <w:rsid w:val="00153340"/>
    <w:rsid w:val="00153816"/>
    <w:rsid w:val="00153A31"/>
    <w:rsid w:val="00153AA0"/>
    <w:rsid w:val="00153D43"/>
    <w:rsid w:val="0015410A"/>
    <w:rsid w:val="0015419B"/>
    <w:rsid w:val="001546DB"/>
    <w:rsid w:val="001547C5"/>
    <w:rsid w:val="001548C1"/>
    <w:rsid w:val="00154909"/>
    <w:rsid w:val="001549E5"/>
    <w:rsid w:val="00154A75"/>
    <w:rsid w:val="00154AF1"/>
    <w:rsid w:val="00154E38"/>
    <w:rsid w:val="00154ED5"/>
    <w:rsid w:val="0015514E"/>
    <w:rsid w:val="00155226"/>
    <w:rsid w:val="001552EE"/>
    <w:rsid w:val="001552F0"/>
    <w:rsid w:val="00155385"/>
    <w:rsid w:val="001555C5"/>
    <w:rsid w:val="0015593D"/>
    <w:rsid w:val="00155AD1"/>
    <w:rsid w:val="00155B9C"/>
    <w:rsid w:val="00155F87"/>
    <w:rsid w:val="001563AC"/>
    <w:rsid w:val="00156469"/>
    <w:rsid w:val="00156606"/>
    <w:rsid w:val="00156896"/>
    <w:rsid w:val="00156988"/>
    <w:rsid w:val="00156D18"/>
    <w:rsid w:val="00156F9D"/>
    <w:rsid w:val="001573F9"/>
    <w:rsid w:val="0015740C"/>
    <w:rsid w:val="00157615"/>
    <w:rsid w:val="00157C6C"/>
    <w:rsid w:val="0016073E"/>
    <w:rsid w:val="00160802"/>
    <w:rsid w:val="00160A0F"/>
    <w:rsid w:val="00160B31"/>
    <w:rsid w:val="00160C4C"/>
    <w:rsid w:val="00160C8E"/>
    <w:rsid w:val="00160C97"/>
    <w:rsid w:val="00160C9E"/>
    <w:rsid w:val="00160CBB"/>
    <w:rsid w:val="001610BE"/>
    <w:rsid w:val="001610FB"/>
    <w:rsid w:val="001611DE"/>
    <w:rsid w:val="001613FB"/>
    <w:rsid w:val="0016147F"/>
    <w:rsid w:val="00161488"/>
    <w:rsid w:val="001614E1"/>
    <w:rsid w:val="0016163B"/>
    <w:rsid w:val="0016164D"/>
    <w:rsid w:val="0016167F"/>
    <w:rsid w:val="0016191F"/>
    <w:rsid w:val="0016195A"/>
    <w:rsid w:val="00161AD2"/>
    <w:rsid w:val="001621E0"/>
    <w:rsid w:val="0016237B"/>
    <w:rsid w:val="001626B7"/>
    <w:rsid w:val="001627A9"/>
    <w:rsid w:val="001627D5"/>
    <w:rsid w:val="001629E0"/>
    <w:rsid w:val="00162EE0"/>
    <w:rsid w:val="00163138"/>
    <w:rsid w:val="0016324A"/>
    <w:rsid w:val="001635C5"/>
    <w:rsid w:val="00163639"/>
    <w:rsid w:val="0016369C"/>
    <w:rsid w:val="001637CA"/>
    <w:rsid w:val="001638DD"/>
    <w:rsid w:val="001638F7"/>
    <w:rsid w:val="00163C88"/>
    <w:rsid w:val="00163FD4"/>
    <w:rsid w:val="0016411F"/>
    <w:rsid w:val="00164697"/>
    <w:rsid w:val="001647D0"/>
    <w:rsid w:val="00164BCE"/>
    <w:rsid w:val="00164D4F"/>
    <w:rsid w:val="00164EA4"/>
    <w:rsid w:val="00164EC1"/>
    <w:rsid w:val="00165784"/>
    <w:rsid w:val="001658BC"/>
    <w:rsid w:val="001658FC"/>
    <w:rsid w:val="001659C2"/>
    <w:rsid w:val="00165BBF"/>
    <w:rsid w:val="00165BED"/>
    <w:rsid w:val="00165C5C"/>
    <w:rsid w:val="00165CD1"/>
    <w:rsid w:val="0016619C"/>
    <w:rsid w:val="0016629F"/>
    <w:rsid w:val="00166456"/>
    <w:rsid w:val="001666B9"/>
    <w:rsid w:val="00166803"/>
    <w:rsid w:val="0016681C"/>
    <w:rsid w:val="00166BBF"/>
    <w:rsid w:val="001670C5"/>
    <w:rsid w:val="0016766F"/>
    <w:rsid w:val="001676B2"/>
    <w:rsid w:val="00167EDA"/>
    <w:rsid w:val="00170061"/>
    <w:rsid w:val="00170494"/>
    <w:rsid w:val="0017060D"/>
    <w:rsid w:val="001707B2"/>
    <w:rsid w:val="001707D4"/>
    <w:rsid w:val="001709E6"/>
    <w:rsid w:val="00170A30"/>
    <w:rsid w:val="00170B0F"/>
    <w:rsid w:val="00170E70"/>
    <w:rsid w:val="001710C0"/>
    <w:rsid w:val="00171242"/>
    <w:rsid w:val="00171380"/>
    <w:rsid w:val="001714DE"/>
    <w:rsid w:val="0017170C"/>
    <w:rsid w:val="001717F9"/>
    <w:rsid w:val="00171A12"/>
    <w:rsid w:val="00171C06"/>
    <w:rsid w:val="00171C71"/>
    <w:rsid w:val="00171E47"/>
    <w:rsid w:val="0017207C"/>
    <w:rsid w:val="001729F1"/>
    <w:rsid w:val="00172BBE"/>
    <w:rsid w:val="00172C04"/>
    <w:rsid w:val="00172CA3"/>
    <w:rsid w:val="00172CF6"/>
    <w:rsid w:val="00172D14"/>
    <w:rsid w:val="00172D64"/>
    <w:rsid w:val="00172EAD"/>
    <w:rsid w:val="00172F0E"/>
    <w:rsid w:val="00172F62"/>
    <w:rsid w:val="00173130"/>
    <w:rsid w:val="00173480"/>
    <w:rsid w:val="0017359A"/>
    <w:rsid w:val="001736AD"/>
    <w:rsid w:val="00173906"/>
    <w:rsid w:val="00173EC4"/>
    <w:rsid w:val="001740CB"/>
    <w:rsid w:val="0017463A"/>
    <w:rsid w:val="001747BA"/>
    <w:rsid w:val="00174A2F"/>
    <w:rsid w:val="00174D72"/>
    <w:rsid w:val="00174D8E"/>
    <w:rsid w:val="00175341"/>
    <w:rsid w:val="001757BE"/>
    <w:rsid w:val="001757D8"/>
    <w:rsid w:val="001758A1"/>
    <w:rsid w:val="00175AB4"/>
    <w:rsid w:val="00175D63"/>
    <w:rsid w:val="00175DE2"/>
    <w:rsid w:val="00176329"/>
    <w:rsid w:val="0017635D"/>
    <w:rsid w:val="00176437"/>
    <w:rsid w:val="0017678A"/>
    <w:rsid w:val="00176B5C"/>
    <w:rsid w:val="00176BCC"/>
    <w:rsid w:val="00176BFC"/>
    <w:rsid w:val="00176D5C"/>
    <w:rsid w:val="00177119"/>
    <w:rsid w:val="0017716C"/>
    <w:rsid w:val="00177362"/>
    <w:rsid w:val="0017737A"/>
    <w:rsid w:val="001773BF"/>
    <w:rsid w:val="00177434"/>
    <w:rsid w:val="001778F2"/>
    <w:rsid w:val="00177BB7"/>
    <w:rsid w:val="00177D47"/>
    <w:rsid w:val="00177E76"/>
    <w:rsid w:val="00177F4A"/>
    <w:rsid w:val="001800E3"/>
    <w:rsid w:val="001801DC"/>
    <w:rsid w:val="001804F7"/>
    <w:rsid w:val="00180808"/>
    <w:rsid w:val="00180876"/>
    <w:rsid w:val="00180A88"/>
    <w:rsid w:val="00180BEA"/>
    <w:rsid w:val="00180CD6"/>
    <w:rsid w:val="00180CF4"/>
    <w:rsid w:val="00180EB3"/>
    <w:rsid w:val="00180F2B"/>
    <w:rsid w:val="00181249"/>
    <w:rsid w:val="00181397"/>
    <w:rsid w:val="0018146E"/>
    <w:rsid w:val="00181633"/>
    <w:rsid w:val="00181828"/>
    <w:rsid w:val="00181C2F"/>
    <w:rsid w:val="00181F2D"/>
    <w:rsid w:val="00181F4C"/>
    <w:rsid w:val="0018254E"/>
    <w:rsid w:val="0018258D"/>
    <w:rsid w:val="00182677"/>
    <w:rsid w:val="001828E4"/>
    <w:rsid w:val="00182B15"/>
    <w:rsid w:val="00182CF9"/>
    <w:rsid w:val="001832B5"/>
    <w:rsid w:val="00183323"/>
    <w:rsid w:val="001833E9"/>
    <w:rsid w:val="001833EF"/>
    <w:rsid w:val="0018356D"/>
    <w:rsid w:val="001835BB"/>
    <w:rsid w:val="00183682"/>
    <w:rsid w:val="001836E2"/>
    <w:rsid w:val="0018373D"/>
    <w:rsid w:val="00183859"/>
    <w:rsid w:val="001839F0"/>
    <w:rsid w:val="00183A15"/>
    <w:rsid w:val="00183A48"/>
    <w:rsid w:val="00183A78"/>
    <w:rsid w:val="00183B40"/>
    <w:rsid w:val="00183BA9"/>
    <w:rsid w:val="00183D30"/>
    <w:rsid w:val="00183D58"/>
    <w:rsid w:val="00183DEA"/>
    <w:rsid w:val="00183E5D"/>
    <w:rsid w:val="00184373"/>
    <w:rsid w:val="001846D5"/>
    <w:rsid w:val="0018477B"/>
    <w:rsid w:val="00184AB8"/>
    <w:rsid w:val="00184BF9"/>
    <w:rsid w:val="00184D52"/>
    <w:rsid w:val="0018504E"/>
    <w:rsid w:val="001854DC"/>
    <w:rsid w:val="00185684"/>
    <w:rsid w:val="00185F02"/>
    <w:rsid w:val="001864C8"/>
    <w:rsid w:val="00186537"/>
    <w:rsid w:val="001865C7"/>
    <w:rsid w:val="00186BCB"/>
    <w:rsid w:val="00186DC4"/>
    <w:rsid w:val="00186F22"/>
    <w:rsid w:val="001870D8"/>
    <w:rsid w:val="0018715E"/>
    <w:rsid w:val="0018723F"/>
    <w:rsid w:val="0018782A"/>
    <w:rsid w:val="00187A5C"/>
    <w:rsid w:val="00187CB8"/>
    <w:rsid w:val="00187D0D"/>
    <w:rsid w:val="00187F20"/>
    <w:rsid w:val="00190001"/>
    <w:rsid w:val="0019008C"/>
    <w:rsid w:val="00190127"/>
    <w:rsid w:val="001904D2"/>
    <w:rsid w:val="00190770"/>
    <w:rsid w:val="0019088B"/>
    <w:rsid w:val="00190C35"/>
    <w:rsid w:val="00190C5F"/>
    <w:rsid w:val="00190CAF"/>
    <w:rsid w:val="00190CBF"/>
    <w:rsid w:val="00190FA2"/>
    <w:rsid w:val="00191020"/>
    <w:rsid w:val="0019111F"/>
    <w:rsid w:val="00191294"/>
    <w:rsid w:val="001913B2"/>
    <w:rsid w:val="001916DD"/>
    <w:rsid w:val="00191A2C"/>
    <w:rsid w:val="00191B69"/>
    <w:rsid w:val="00191D86"/>
    <w:rsid w:val="00191D88"/>
    <w:rsid w:val="001920E3"/>
    <w:rsid w:val="001922C8"/>
    <w:rsid w:val="001925DE"/>
    <w:rsid w:val="0019269A"/>
    <w:rsid w:val="00192826"/>
    <w:rsid w:val="001929A7"/>
    <w:rsid w:val="001929CF"/>
    <w:rsid w:val="00192B7B"/>
    <w:rsid w:val="00192D31"/>
    <w:rsid w:val="00192D38"/>
    <w:rsid w:val="0019300E"/>
    <w:rsid w:val="001931BB"/>
    <w:rsid w:val="00193280"/>
    <w:rsid w:val="001932A3"/>
    <w:rsid w:val="00193327"/>
    <w:rsid w:val="001936A8"/>
    <w:rsid w:val="001936E7"/>
    <w:rsid w:val="00193889"/>
    <w:rsid w:val="00193980"/>
    <w:rsid w:val="00193B20"/>
    <w:rsid w:val="00193C0E"/>
    <w:rsid w:val="00193C1E"/>
    <w:rsid w:val="00193C5D"/>
    <w:rsid w:val="00193D30"/>
    <w:rsid w:val="00193EE6"/>
    <w:rsid w:val="00193F44"/>
    <w:rsid w:val="001943E3"/>
    <w:rsid w:val="0019441A"/>
    <w:rsid w:val="0019441F"/>
    <w:rsid w:val="00194566"/>
    <w:rsid w:val="00194860"/>
    <w:rsid w:val="00194E57"/>
    <w:rsid w:val="00194FD1"/>
    <w:rsid w:val="00195114"/>
    <w:rsid w:val="00195205"/>
    <w:rsid w:val="00195317"/>
    <w:rsid w:val="001954F7"/>
    <w:rsid w:val="0019566D"/>
    <w:rsid w:val="001956CB"/>
    <w:rsid w:val="00195CCF"/>
    <w:rsid w:val="00195FB5"/>
    <w:rsid w:val="001960C8"/>
    <w:rsid w:val="0019616E"/>
    <w:rsid w:val="001963DB"/>
    <w:rsid w:val="001963F4"/>
    <w:rsid w:val="00196570"/>
    <w:rsid w:val="00196689"/>
    <w:rsid w:val="00196ADB"/>
    <w:rsid w:val="00196C33"/>
    <w:rsid w:val="00196D36"/>
    <w:rsid w:val="00196F75"/>
    <w:rsid w:val="0019713C"/>
    <w:rsid w:val="00197309"/>
    <w:rsid w:val="001974D1"/>
    <w:rsid w:val="0019790F"/>
    <w:rsid w:val="00197AF2"/>
    <w:rsid w:val="001A008D"/>
    <w:rsid w:val="001A02D2"/>
    <w:rsid w:val="001A064C"/>
    <w:rsid w:val="001A07A4"/>
    <w:rsid w:val="001A07AB"/>
    <w:rsid w:val="001A07F6"/>
    <w:rsid w:val="001A089B"/>
    <w:rsid w:val="001A095D"/>
    <w:rsid w:val="001A0AD4"/>
    <w:rsid w:val="001A0D26"/>
    <w:rsid w:val="001A130F"/>
    <w:rsid w:val="001A136A"/>
    <w:rsid w:val="001A137A"/>
    <w:rsid w:val="001A1380"/>
    <w:rsid w:val="001A13FC"/>
    <w:rsid w:val="001A14A1"/>
    <w:rsid w:val="001A17B2"/>
    <w:rsid w:val="001A1835"/>
    <w:rsid w:val="001A18C7"/>
    <w:rsid w:val="001A19DC"/>
    <w:rsid w:val="001A1F33"/>
    <w:rsid w:val="001A1FB7"/>
    <w:rsid w:val="001A2077"/>
    <w:rsid w:val="001A214E"/>
    <w:rsid w:val="001A21E8"/>
    <w:rsid w:val="001A2223"/>
    <w:rsid w:val="001A2263"/>
    <w:rsid w:val="001A23AC"/>
    <w:rsid w:val="001A246F"/>
    <w:rsid w:val="001A259B"/>
    <w:rsid w:val="001A2611"/>
    <w:rsid w:val="001A28CF"/>
    <w:rsid w:val="001A28D7"/>
    <w:rsid w:val="001A2D2E"/>
    <w:rsid w:val="001A2E3D"/>
    <w:rsid w:val="001A3148"/>
    <w:rsid w:val="001A3497"/>
    <w:rsid w:val="001A35F8"/>
    <w:rsid w:val="001A374F"/>
    <w:rsid w:val="001A3986"/>
    <w:rsid w:val="001A3C7F"/>
    <w:rsid w:val="001A418D"/>
    <w:rsid w:val="001A41C7"/>
    <w:rsid w:val="001A4259"/>
    <w:rsid w:val="001A4307"/>
    <w:rsid w:val="001A4426"/>
    <w:rsid w:val="001A468E"/>
    <w:rsid w:val="001A478D"/>
    <w:rsid w:val="001A489B"/>
    <w:rsid w:val="001A4A29"/>
    <w:rsid w:val="001A4A9A"/>
    <w:rsid w:val="001A4CC9"/>
    <w:rsid w:val="001A4DB2"/>
    <w:rsid w:val="001A4FF3"/>
    <w:rsid w:val="001A504E"/>
    <w:rsid w:val="001A5137"/>
    <w:rsid w:val="001A51F8"/>
    <w:rsid w:val="001A5366"/>
    <w:rsid w:val="001A55A8"/>
    <w:rsid w:val="001A56DB"/>
    <w:rsid w:val="001A5B86"/>
    <w:rsid w:val="001A5C2F"/>
    <w:rsid w:val="001A5D50"/>
    <w:rsid w:val="001A5F4D"/>
    <w:rsid w:val="001A641C"/>
    <w:rsid w:val="001A65AC"/>
    <w:rsid w:val="001A68D2"/>
    <w:rsid w:val="001A6A44"/>
    <w:rsid w:val="001A6AFA"/>
    <w:rsid w:val="001A6DA9"/>
    <w:rsid w:val="001A7198"/>
    <w:rsid w:val="001A71CA"/>
    <w:rsid w:val="001A7211"/>
    <w:rsid w:val="001A7232"/>
    <w:rsid w:val="001A7488"/>
    <w:rsid w:val="001A77D2"/>
    <w:rsid w:val="001A79E8"/>
    <w:rsid w:val="001A7B3A"/>
    <w:rsid w:val="001A7C06"/>
    <w:rsid w:val="001A7C6A"/>
    <w:rsid w:val="001B016F"/>
    <w:rsid w:val="001B035D"/>
    <w:rsid w:val="001B04DC"/>
    <w:rsid w:val="001B051A"/>
    <w:rsid w:val="001B0556"/>
    <w:rsid w:val="001B0830"/>
    <w:rsid w:val="001B087B"/>
    <w:rsid w:val="001B0A3F"/>
    <w:rsid w:val="001B0B1F"/>
    <w:rsid w:val="001B0C8F"/>
    <w:rsid w:val="001B0D67"/>
    <w:rsid w:val="001B0DE3"/>
    <w:rsid w:val="001B1106"/>
    <w:rsid w:val="001B1842"/>
    <w:rsid w:val="001B1A79"/>
    <w:rsid w:val="001B1C40"/>
    <w:rsid w:val="001B1DDF"/>
    <w:rsid w:val="001B2061"/>
    <w:rsid w:val="001B2194"/>
    <w:rsid w:val="001B2362"/>
    <w:rsid w:val="001B23B4"/>
    <w:rsid w:val="001B23E7"/>
    <w:rsid w:val="001B244B"/>
    <w:rsid w:val="001B2953"/>
    <w:rsid w:val="001B29B6"/>
    <w:rsid w:val="001B2AAA"/>
    <w:rsid w:val="001B2AFE"/>
    <w:rsid w:val="001B2DBF"/>
    <w:rsid w:val="001B2E9D"/>
    <w:rsid w:val="001B320F"/>
    <w:rsid w:val="001B32D2"/>
    <w:rsid w:val="001B33E1"/>
    <w:rsid w:val="001B3584"/>
    <w:rsid w:val="001B37CF"/>
    <w:rsid w:val="001B3AE3"/>
    <w:rsid w:val="001B3EF2"/>
    <w:rsid w:val="001B426C"/>
    <w:rsid w:val="001B428E"/>
    <w:rsid w:val="001B46B8"/>
    <w:rsid w:val="001B4C56"/>
    <w:rsid w:val="001B4DD7"/>
    <w:rsid w:val="001B4F21"/>
    <w:rsid w:val="001B507C"/>
    <w:rsid w:val="001B50B5"/>
    <w:rsid w:val="001B50C6"/>
    <w:rsid w:val="001B50F3"/>
    <w:rsid w:val="001B584C"/>
    <w:rsid w:val="001B6071"/>
    <w:rsid w:val="001B621A"/>
    <w:rsid w:val="001B657D"/>
    <w:rsid w:val="001B65D7"/>
    <w:rsid w:val="001B71CF"/>
    <w:rsid w:val="001B749D"/>
    <w:rsid w:val="001B76CD"/>
    <w:rsid w:val="001B777E"/>
    <w:rsid w:val="001B77AD"/>
    <w:rsid w:val="001B7B32"/>
    <w:rsid w:val="001B7D69"/>
    <w:rsid w:val="001B7D95"/>
    <w:rsid w:val="001C0181"/>
    <w:rsid w:val="001C02E2"/>
    <w:rsid w:val="001C03FB"/>
    <w:rsid w:val="001C1298"/>
    <w:rsid w:val="001C13A9"/>
    <w:rsid w:val="001C178F"/>
    <w:rsid w:val="001C1A09"/>
    <w:rsid w:val="001C1B5E"/>
    <w:rsid w:val="001C1C72"/>
    <w:rsid w:val="001C1CBD"/>
    <w:rsid w:val="001C1FF2"/>
    <w:rsid w:val="001C21E2"/>
    <w:rsid w:val="001C2723"/>
    <w:rsid w:val="001C2A19"/>
    <w:rsid w:val="001C2B95"/>
    <w:rsid w:val="001C2CAC"/>
    <w:rsid w:val="001C2E25"/>
    <w:rsid w:val="001C2EA3"/>
    <w:rsid w:val="001C2F28"/>
    <w:rsid w:val="001C329C"/>
    <w:rsid w:val="001C330D"/>
    <w:rsid w:val="001C3645"/>
    <w:rsid w:val="001C36D8"/>
    <w:rsid w:val="001C3DCE"/>
    <w:rsid w:val="001C3ECD"/>
    <w:rsid w:val="001C417F"/>
    <w:rsid w:val="001C4476"/>
    <w:rsid w:val="001C44A7"/>
    <w:rsid w:val="001C45EA"/>
    <w:rsid w:val="001C466B"/>
    <w:rsid w:val="001C48E5"/>
    <w:rsid w:val="001C4B7F"/>
    <w:rsid w:val="001C4FB5"/>
    <w:rsid w:val="001C4FD4"/>
    <w:rsid w:val="001C516D"/>
    <w:rsid w:val="001C53C9"/>
    <w:rsid w:val="001C548F"/>
    <w:rsid w:val="001C5588"/>
    <w:rsid w:val="001C59DF"/>
    <w:rsid w:val="001C5A48"/>
    <w:rsid w:val="001C5D02"/>
    <w:rsid w:val="001C5E08"/>
    <w:rsid w:val="001C5FCA"/>
    <w:rsid w:val="001C615F"/>
    <w:rsid w:val="001C6196"/>
    <w:rsid w:val="001C61F0"/>
    <w:rsid w:val="001C62A0"/>
    <w:rsid w:val="001C635B"/>
    <w:rsid w:val="001C6ADA"/>
    <w:rsid w:val="001C70B4"/>
    <w:rsid w:val="001C712A"/>
    <w:rsid w:val="001C73DB"/>
    <w:rsid w:val="001C7404"/>
    <w:rsid w:val="001C789B"/>
    <w:rsid w:val="001C791B"/>
    <w:rsid w:val="001C79A6"/>
    <w:rsid w:val="001C7C44"/>
    <w:rsid w:val="001C7EE4"/>
    <w:rsid w:val="001D01DC"/>
    <w:rsid w:val="001D025E"/>
    <w:rsid w:val="001D02B8"/>
    <w:rsid w:val="001D05AF"/>
    <w:rsid w:val="001D06C1"/>
    <w:rsid w:val="001D0897"/>
    <w:rsid w:val="001D08B0"/>
    <w:rsid w:val="001D08ED"/>
    <w:rsid w:val="001D0ACF"/>
    <w:rsid w:val="001D0B7E"/>
    <w:rsid w:val="001D10C8"/>
    <w:rsid w:val="001D135B"/>
    <w:rsid w:val="001D1691"/>
    <w:rsid w:val="001D193F"/>
    <w:rsid w:val="001D1A2C"/>
    <w:rsid w:val="001D1B28"/>
    <w:rsid w:val="001D1D60"/>
    <w:rsid w:val="001D1D77"/>
    <w:rsid w:val="001D2041"/>
    <w:rsid w:val="001D23A4"/>
    <w:rsid w:val="001D2964"/>
    <w:rsid w:val="001D2A29"/>
    <w:rsid w:val="001D2A31"/>
    <w:rsid w:val="001D2C05"/>
    <w:rsid w:val="001D3383"/>
    <w:rsid w:val="001D34D5"/>
    <w:rsid w:val="001D3539"/>
    <w:rsid w:val="001D363D"/>
    <w:rsid w:val="001D3964"/>
    <w:rsid w:val="001D3CB8"/>
    <w:rsid w:val="001D3D5F"/>
    <w:rsid w:val="001D3E9C"/>
    <w:rsid w:val="001D41DE"/>
    <w:rsid w:val="001D429A"/>
    <w:rsid w:val="001D42D6"/>
    <w:rsid w:val="001D436E"/>
    <w:rsid w:val="001D4414"/>
    <w:rsid w:val="001D446B"/>
    <w:rsid w:val="001D4484"/>
    <w:rsid w:val="001D4569"/>
    <w:rsid w:val="001D4670"/>
    <w:rsid w:val="001D475C"/>
    <w:rsid w:val="001D4CCD"/>
    <w:rsid w:val="001D4F25"/>
    <w:rsid w:val="001D517E"/>
    <w:rsid w:val="001D523F"/>
    <w:rsid w:val="001D52E8"/>
    <w:rsid w:val="001D530A"/>
    <w:rsid w:val="001D5834"/>
    <w:rsid w:val="001D595A"/>
    <w:rsid w:val="001D5B62"/>
    <w:rsid w:val="001D5C4F"/>
    <w:rsid w:val="001D5CCE"/>
    <w:rsid w:val="001D605E"/>
    <w:rsid w:val="001D60E6"/>
    <w:rsid w:val="001D664B"/>
    <w:rsid w:val="001D6701"/>
    <w:rsid w:val="001D67DA"/>
    <w:rsid w:val="001D6993"/>
    <w:rsid w:val="001D6B97"/>
    <w:rsid w:val="001D6E26"/>
    <w:rsid w:val="001D6EC8"/>
    <w:rsid w:val="001D7264"/>
    <w:rsid w:val="001D7286"/>
    <w:rsid w:val="001D7584"/>
    <w:rsid w:val="001D7873"/>
    <w:rsid w:val="001D794B"/>
    <w:rsid w:val="001D7C38"/>
    <w:rsid w:val="001D7C63"/>
    <w:rsid w:val="001D7C7D"/>
    <w:rsid w:val="001D7CE7"/>
    <w:rsid w:val="001D7FC8"/>
    <w:rsid w:val="001E0216"/>
    <w:rsid w:val="001E037F"/>
    <w:rsid w:val="001E03EB"/>
    <w:rsid w:val="001E0806"/>
    <w:rsid w:val="001E0827"/>
    <w:rsid w:val="001E0926"/>
    <w:rsid w:val="001E0C83"/>
    <w:rsid w:val="001E0EB6"/>
    <w:rsid w:val="001E0EC2"/>
    <w:rsid w:val="001E1393"/>
    <w:rsid w:val="001E157C"/>
    <w:rsid w:val="001E15FF"/>
    <w:rsid w:val="001E16C5"/>
    <w:rsid w:val="001E1709"/>
    <w:rsid w:val="001E1A29"/>
    <w:rsid w:val="001E1BB4"/>
    <w:rsid w:val="001E1F13"/>
    <w:rsid w:val="001E2254"/>
    <w:rsid w:val="001E241E"/>
    <w:rsid w:val="001E243D"/>
    <w:rsid w:val="001E25E7"/>
    <w:rsid w:val="001E29E5"/>
    <w:rsid w:val="001E32A5"/>
    <w:rsid w:val="001E330C"/>
    <w:rsid w:val="001E343D"/>
    <w:rsid w:val="001E34E0"/>
    <w:rsid w:val="001E361E"/>
    <w:rsid w:val="001E3625"/>
    <w:rsid w:val="001E3F36"/>
    <w:rsid w:val="001E3F61"/>
    <w:rsid w:val="001E4404"/>
    <w:rsid w:val="001E45DC"/>
    <w:rsid w:val="001E47D1"/>
    <w:rsid w:val="001E47D9"/>
    <w:rsid w:val="001E47FA"/>
    <w:rsid w:val="001E48D7"/>
    <w:rsid w:val="001E4AE8"/>
    <w:rsid w:val="001E4C6B"/>
    <w:rsid w:val="001E5410"/>
    <w:rsid w:val="001E5479"/>
    <w:rsid w:val="001E5777"/>
    <w:rsid w:val="001E5C89"/>
    <w:rsid w:val="001E5C8F"/>
    <w:rsid w:val="001E5CAA"/>
    <w:rsid w:val="001E5E90"/>
    <w:rsid w:val="001E6276"/>
    <w:rsid w:val="001E6395"/>
    <w:rsid w:val="001E651B"/>
    <w:rsid w:val="001E69C1"/>
    <w:rsid w:val="001E6A95"/>
    <w:rsid w:val="001E6C07"/>
    <w:rsid w:val="001E6D45"/>
    <w:rsid w:val="001E70BF"/>
    <w:rsid w:val="001E70FC"/>
    <w:rsid w:val="001E73BF"/>
    <w:rsid w:val="001E7415"/>
    <w:rsid w:val="001E77C9"/>
    <w:rsid w:val="001E7AF3"/>
    <w:rsid w:val="001E7CFD"/>
    <w:rsid w:val="001E7DC9"/>
    <w:rsid w:val="001E7E77"/>
    <w:rsid w:val="001E7EDE"/>
    <w:rsid w:val="001E7FB6"/>
    <w:rsid w:val="001F04DC"/>
    <w:rsid w:val="001F0511"/>
    <w:rsid w:val="001F05B7"/>
    <w:rsid w:val="001F0809"/>
    <w:rsid w:val="001F0E2B"/>
    <w:rsid w:val="001F0E88"/>
    <w:rsid w:val="001F0F0F"/>
    <w:rsid w:val="001F10F7"/>
    <w:rsid w:val="001F1316"/>
    <w:rsid w:val="001F1750"/>
    <w:rsid w:val="001F1AD4"/>
    <w:rsid w:val="001F1D04"/>
    <w:rsid w:val="001F1D4D"/>
    <w:rsid w:val="001F1FF4"/>
    <w:rsid w:val="001F2250"/>
    <w:rsid w:val="001F23D7"/>
    <w:rsid w:val="001F250B"/>
    <w:rsid w:val="001F2987"/>
    <w:rsid w:val="001F2B19"/>
    <w:rsid w:val="001F2B8A"/>
    <w:rsid w:val="001F2C04"/>
    <w:rsid w:val="001F2F53"/>
    <w:rsid w:val="001F3070"/>
    <w:rsid w:val="001F31F8"/>
    <w:rsid w:val="001F3291"/>
    <w:rsid w:val="001F32F9"/>
    <w:rsid w:val="001F37D6"/>
    <w:rsid w:val="001F3DFD"/>
    <w:rsid w:val="001F3EF2"/>
    <w:rsid w:val="001F3F95"/>
    <w:rsid w:val="001F403E"/>
    <w:rsid w:val="001F411F"/>
    <w:rsid w:val="001F4492"/>
    <w:rsid w:val="001F470B"/>
    <w:rsid w:val="001F4723"/>
    <w:rsid w:val="001F47A6"/>
    <w:rsid w:val="001F47F1"/>
    <w:rsid w:val="001F4805"/>
    <w:rsid w:val="001F4A2A"/>
    <w:rsid w:val="001F4A3F"/>
    <w:rsid w:val="001F4E3E"/>
    <w:rsid w:val="001F5002"/>
    <w:rsid w:val="001F512E"/>
    <w:rsid w:val="001F51F8"/>
    <w:rsid w:val="001F5231"/>
    <w:rsid w:val="001F531C"/>
    <w:rsid w:val="001F570C"/>
    <w:rsid w:val="001F5CD7"/>
    <w:rsid w:val="001F5D2D"/>
    <w:rsid w:val="001F5D44"/>
    <w:rsid w:val="001F5F8D"/>
    <w:rsid w:val="001F5FA6"/>
    <w:rsid w:val="001F61DC"/>
    <w:rsid w:val="001F62DC"/>
    <w:rsid w:val="001F648B"/>
    <w:rsid w:val="001F64AE"/>
    <w:rsid w:val="001F64F9"/>
    <w:rsid w:val="001F67FA"/>
    <w:rsid w:val="001F6AFF"/>
    <w:rsid w:val="001F6C3E"/>
    <w:rsid w:val="001F6E33"/>
    <w:rsid w:val="001F6F92"/>
    <w:rsid w:val="001F73D1"/>
    <w:rsid w:val="001F76D9"/>
    <w:rsid w:val="001F78BA"/>
    <w:rsid w:val="001F7989"/>
    <w:rsid w:val="001F798F"/>
    <w:rsid w:val="001F7D5C"/>
    <w:rsid w:val="001F7E39"/>
    <w:rsid w:val="001F7E82"/>
    <w:rsid w:val="001F7FF7"/>
    <w:rsid w:val="001FC45A"/>
    <w:rsid w:val="00200173"/>
    <w:rsid w:val="00200373"/>
    <w:rsid w:val="002004C7"/>
    <w:rsid w:val="00200548"/>
    <w:rsid w:val="00200621"/>
    <w:rsid w:val="00200B02"/>
    <w:rsid w:val="00200D5E"/>
    <w:rsid w:val="00200D79"/>
    <w:rsid w:val="00201164"/>
    <w:rsid w:val="002015D1"/>
    <w:rsid w:val="0020177C"/>
    <w:rsid w:val="0020188E"/>
    <w:rsid w:val="00201900"/>
    <w:rsid w:val="00201A09"/>
    <w:rsid w:val="00201BA0"/>
    <w:rsid w:val="00201EE5"/>
    <w:rsid w:val="002021E9"/>
    <w:rsid w:val="002022D3"/>
    <w:rsid w:val="0020242D"/>
    <w:rsid w:val="002024BC"/>
    <w:rsid w:val="002029CB"/>
    <w:rsid w:val="00202A3F"/>
    <w:rsid w:val="00202A7A"/>
    <w:rsid w:val="00202D2A"/>
    <w:rsid w:val="00202E11"/>
    <w:rsid w:val="00202E45"/>
    <w:rsid w:val="0020321C"/>
    <w:rsid w:val="0020340B"/>
    <w:rsid w:val="00203414"/>
    <w:rsid w:val="00203513"/>
    <w:rsid w:val="00203639"/>
    <w:rsid w:val="002036D3"/>
    <w:rsid w:val="00203714"/>
    <w:rsid w:val="00203967"/>
    <w:rsid w:val="00203BFD"/>
    <w:rsid w:val="00203CDB"/>
    <w:rsid w:val="00203D10"/>
    <w:rsid w:val="00203EE1"/>
    <w:rsid w:val="00204062"/>
    <w:rsid w:val="0020406A"/>
    <w:rsid w:val="0020407F"/>
    <w:rsid w:val="002040CB"/>
    <w:rsid w:val="002043B8"/>
    <w:rsid w:val="002044AC"/>
    <w:rsid w:val="00204699"/>
    <w:rsid w:val="00204A7A"/>
    <w:rsid w:val="00204C39"/>
    <w:rsid w:val="00204C63"/>
    <w:rsid w:val="00204CF0"/>
    <w:rsid w:val="00204D38"/>
    <w:rsid w:val="00204DBB"/>
    <w:rsid w:val="00204FFD"/>
    <w:rsid w:val="002053BA"/>
    <w:rsid w:val="0020554D"/>
    <w:rsid w:val="00205C44"/>
    <w:rsid w:val="00205FCF"/>
    <w:rsid w:val="00206112"/>
    <w:rsid w:val="0020613A"/>
    <w:rsid w:val="00206201"/>
    <w:rsid w:val="00206506"/>
    <w:rsid w:val="00206555"/>
    <w:rsid w:val="002067D4"/>
    <w:rsid w:val="00206906"/>
    <w:rsid w:val="0020697F"/>
    <w:rsid w:val="00206C6D"/>
    <w:rsid w:val="00206D1A"/>
    <w:rsid w:val="00206DF2"/>
    <w:rsid w:val="002071C9"/>
    <w:rsid w:val="00207361"/>
    <w:rsid w:val="0020741E"/>
    <w:rsid w:val="00207561"/>
    <w:rsid w:val="00207568"/>
    <w:rsid w:val="00207633"/>
    <w:rsid w:val="00207968"/>
    <w:rsid w:val="00207E72"/>
    <w:rsid w:val="00207EA6"/>
    <w:rsid w:val="002102C1"/>
    <w:rsid w:val="00210442"/>
    <w:rsid w:val="002106FA"/>
    <w:rsid w:val="00210B97"/>
    <w:rsid w:val="00210CFA"/>
    <w:rsid w:val="00210F64"/>
    <w:rsid w:val="002110CF"/>
    <w:rsid w:val="002110F7"/>
    <w:rsid w:val="0021136F"/>
    <w:rsid w:val="00211390"/>
    <w:rsid w:val="00211787"/>
    <w:rsid w:val="00211959"/>
    <w:rsid w:val="00211D2F"/>
    <w:rsid w:val="00211D49"/>
    <w:rsid w:val="00211FAA"/>
    <w:rsid w:val="0021209F"/>
    <w:rsid w:val="00212211"/>
    <w:rsid w:val="002122DC"/>
    <w:rsid w:val="002124D1"/>
    <w:rsid w:val="002127D9"/>
    <w:rsid w:val="00212833"/>
    <w:rsid w:val="00212A68"/>
    <w:rsid w:val="00212AA8"/>
    <w:rsid w:val="002133E6"/>
    <w:rsid w:val="002134B9"/>
    <w:rsid w:val="00213560"/>
    <w:rsid w:val="002136E4"/>
    <w:rsid w:val="00213947"/>
    <w:rsid w:val="00213ED7"/>
    <w:rsid w:val="00214552"/>
    <w:rsid w:val="00214686"/>
    <w:rsid w:val="002147B8"/>
    <w:rsid w:val="00214A65"/>
    <w:rsid w:val="00214ADC"/>
    <w:rsid w:val="00214B16"/>
    <w:rsid w:val="00214C9D"/>
    <w:rsid w:val="00214DF1"/>
    <w:rsid w:val="00214FA1"/>
    <w:rsid w:val="00214FF6"/>
    <w:rsid w:val="002150F7"/>
    <w:rsid w:val="0021512C"/>
    <w:rsid w:val="0021531F"/>
    <w:rsid w:val="00215525"/>
    <w:rsid w:val="0021556B"/>
    <w:rsid w:val="0021564C"/>
    <w:rsid w:val="002156D0"/>
    <w:rsid w:val="00215BA5"/>
    <w:rsid w:val="00215E91"/>
    <w:rsid w:val="00215F86"/>
    <w:rsid w:val="00216312"/>
    <w:rsid w:val="00216407"/>
    <w:rsid w:val="0021645F"/>
    <w:rsid w:val="00216679"/>
    <w:rsid w:val="00216948"/>
    <w:rsid w:val="002169B0"/>
    <w:rsid w:val="00216C6A"/>
    <w:rsid w:val="00217100"/>
    <w:rsid w:val="00217517"/>
    <w:rsid w:val="00217743"/>
    <w:rsid w:val="00217A78"/>
    <w:rsid w:val="00217AA1"/>
    <w:rsid w:val="00217B78"/>
    <w:rsid w:val="00217CC3"/>
    <w:rsid w:val="00217D88"/>
    <w:rsid w:val="00220482"/>
    <w:rsid w:val="00220597"/>
    <w:rsid w:val="00220FB8"/>
    <w:rsid w:val="0022102C"/>
    <w:rsid w:val="0022119E"/>
    <w:rsid w:val="00221274"/>
    <w:rsid w:val="00221332"/>
    <w:rsid w:val="00221409"/>
    <w:rsid w:val="00221581"/>
    <w:rsid w:val="002215F4"/>
    <w:rsid w:val="0022167D"/>
    <w:rsid w:val="00221822"/>
    <w:rsid w:val="00221991"/>
    <w:rsid w:val="00221A66"/>
    <w:rsid w:val="00221A9A"/>
    <w:rsid w:val="00221CB7"/>
    <w:rsid w:val="00222001"/>
    <w:rsid w:val="00222130"/>
    <w:rsid w:val="002223EB"/>
    <w:rsid w:val="0022256E"/>
    <w:rsid w:val="002226D6"/>
    <w:rsid w:val="002227A6"/>
    <w:rsid w:val="0022284F"/>
    <w:rsid w:val="00222B71"/>
    <w:rsid w:val="00222BBD"/>
    <w:rsid w:val="00222C13"/>
    <w:rsid w:val="00222C66"/>
    <w:rsid w:val="00222DF5"/>
    <w:rsid w:val="00222FF4"/>
    <w:rsid w:val="002233F2"/>
    <w:rsid w:val="0022353C"/>
    <w:rsid w:val="00223639"/>
    <w:rsid w:val="002238A8"/>
    <w:rsid w:val="0022391C"/>
    <w:rsid w:val="00223B10"/>
    <w:rsid w:val="00223C10"/>
    <w:rsid w:val="00223E0D"/>
    <w:rsid w:val="00224165"/>
    <w:rsid w:val="00224181"/>
    <w:rsid w:val="0022421E"/>
    <w:rsid w:val="00224263"/>
    <w:rsid w:val="0022436F"/>
    <w:rsid w:val="002246E0"/>
    <w:rsid w:val="0022475D"/>
    <w:rsid w:val="0022485B"/>
    <w:rsid w:val="00224878"/>
    <w:rsid w:val="00224A64"/>
    <w:rsid w:val="00224EE4"/>
    <w:rsid w:val="002250CC"/>
    <w:rsid w:val="002253AA"/>
    <w:rsid w:val="0022547A"/>
    <w:rsid w:val="0022556B"/>
    <w:rsid w:val="002257D4"/>
    <w:rsid w:val="0022582E"/>
    <w:rsid w:val="00225CAF"/>
    <w:rsid w:val="00225DD4"/>
    <w:rsid w:val="00225FF8"/>
    <w:rsid w:val="002263BD"/>
    <w:rsid w:val="0022643A"/>
    <w:rsid w:val="002264AA"/>
    <w:rsid w:val="00226891"/>
    <w:rsid w:val="00226A19"/>
    <w:rsid w:val="00226C26"/>
    <w:rsid w:val="00227115"/>
    <w:rsid w:val="00227264"/>
    <w:rsid w:val="00227C23"/>
    <w:rsid w:val="00227DDF"/>
    <w:rsid w:val="00230763"/>
    <w:rsid w:val="00230978"/>
    <w:rsid w:val="00230ADB"/>
    <w:rsid w:val="00230B76"/>
    <w:rsid w:val="00230C45"/>
    <w:rsid w:val="00230CEF"/>
    <w:rsid w:val="00230F95"/>
    <w:rsid w:val="00231049"/>
    <w:rsid w:val="0023108D"/>
    <w:rsid w:val="002311ED"/>
    <w:rsid w:val="0023122A"/>
    <w:rsid w:val="002312B1"/>
    <w:rsid w:val="002312C2"/>
    <w:rsid w:val="0023140D"/>
    <w:rsid w:val="00231471"/>
    <w:rsid w:val="00231B05"/>
    <w:rsid w:val="00231FC1"/>
    <w:rsid w:val="00232185"/>
    <w:rsid w:val="002321FD"/>
    <w:rsid w:val="0023225E"/>
    <w:rsid w:val="00232428"/>
    <w:rsid w:val="0023259F"/>
    <w:rsid w:val="002325B4"/>
    <w:rsid w:val="002326E9"/>
    <w:rsid w:val="002327DD"/>
    <w:rsid w:val="00232B37"/>
    <w:rsid w:val="00232BF3"/>
    <w:rsid w:val="00232E22"/>
    <w:rsid w:val="00232F9D"/>
    <w:rsid w:val="00233154"/>
    <w:rsid w:val="0023318A"/>
    <w:rsid w:val="002332F0"/>
    <w:rsid w:val="00233384"/>
    <w:rsid w:val="00233849"/>
    <w:rsid w:val="002340E8"/>
    <w:rsid w:val="002341B4"/>
    <w:rsid w:val="002341C0"/>
    <w:rsid w:val="002341C4"/>
    <w:rsid w:val="0023445A"/>
    <w:rsid w:val="0023464E"/>
    <w:rsid w:val="00234664"/>
    <w:rsid w:val="00234720"/>
    <w:rsid w:val="0023489B"/>
    <w:rsid w:val="00234935"/>
    <w:rsid w:val="00234B3F"/>
    <w:rsid w:val="00234BD4"/>
    <w:rsid w:val="00234E86"/>
    <w:rsid w:val="00234EC0"/>
    <w:rsid w:val="00234FDC"/>
    <w:rsid w:val="002353F3"/>
    <w:rsid w:val="0023570F"/>
    <w:rsid w:val="0023595B"/>
    <w:rsid w:val="00235A09"/>
    <w:rsid w:val="00235E55"/>
    <w:rsid w:val="00235F74"/>
    <w:rsid w:val="00235FA3"/>
    <w:rsid w:val="0023601D"/>
    <w:rsid w:val="00236147"/>
    <w:rsid w:val="002362C7"/>
    <w:rsid w:val="002362E7"/>
    <w:rsid w:val="0023632F"/>
    <w:rsid w:val="0023633A"/>
    <w:rsid w:val="00236391"/>
    <w:rsid w:val="002364F4"/>
    <w:rsid w:val="00236626"/>
    <w:rsid w:val="00236650"/>
    <w:rsid w:val="0023673C"/>
    <w:rsid w:val="0023683B"/>
    <w:rsid w:val="002368AF"/>
    <w:rsid w:val="00236D90"/>
    <w:rsid w:val="0023740C"/>
    <w:rsid w:val="0023754F"/>
    <w:rsid w:val="002379D8"/>
    <w:rsid w:val="00237B38"/>
    <w:rsid w:val="00237C33"/>
    <w:rsid w:val="00237E82"/>
    <w:rsid w:val="00240296"/>
    <w:rsid w:val="002404C4"/>
    <w:rsid w:val="002407D6"/>
    <w:rsid w:val="00240B02"/>
    <w:rsid w:val="00240B0A"/>
    <w:rsid w:val="0024114E"/>
    <w:rsid w:val="00241201"/>
    <w:rsid w:val="002415F9"/>
    <w:rsid w:val="00241878"/>
    <w:rsid w:val="002418F5"/>
    <w:rsid w:val="0024197F"/>
    <w:rsid w:val="00241A6B"/>
    <w:rsid w:val="00242748"/>
    <w:rsid w:val="002427C3"/>
    <w:rsid w:val="002428B2"/>
    <w:rsid w:val="00242978"/>
    <w:rsid w:val="00242AEE"/>
    <w:rsid w:val="00242AF9"/>
    <w:rsid w:val="00242D46"/>
    <w:rsid w:val="0024300C"/>
    <w:rsid w:val="002431DF"/>
    <w:rsid w:val="002432C2"/>
    <w:rsid w:val="00243423"/>
    <w:rsid w:val="0024369E"/>
    <w:rsid w:val="002436E7"/>
    <w:rsid w:val="00243A7D"/>
    <w:rsid w:val="00243C7B"/>
    <w:rsid w:val="00243CF2"/>
    <w:rsid w:val="002440A1"/>
    <w:rsid w:val="00244215"/>
    <w:rsid w:val="002442AA"/>
    <w:rsid w:val="002446B7"/>
    <w:rsid w:val="00244796"/>
    <w:rsid w:val="00244917"/>
    <w:rsid w:val="00244960"/>
    <w:rsid w:val="00244A18"/>
    <w:rsid w:val="00244BA0"/>
    <w:rsid w:val="00244CA8"/>
    <w:rsid w:val="00245202"/>
    <w:rsid w:val="002452BC"/>
    <w:rsid w:val="00245BBE"/>
    <w:rsid w:val="00245D41"/>
    <w:rsid w:val="00245D66"/>
    <w:rsid w:val="00245E71"/>
    <w:rsid w:val="00245F15"/>
    <w:rsid w:val="00246280"/>
    <w:rsid w:val="0024629E"/>
    <w:rsid w:val="00246364"/>
    <w:rsid w:val="0024641A"/>
    <w:rsid w:val="00246507"/>
    <w:rsid w:val="00246673"/>
    <w:rsid w:val="00246869"/>
    <w:rsid w:val="00246B27"/>
    <w:rsid w:val="00246B52"/>
    <w:rsid w:val="00247102"/>
    <w:rsid w:val="0024713A"/>
    <w:rsid w:val="0024723F"/>
    <w:rsid w:val="002474BB"/>
    <w:rsid w:val="002474EE"/>
    <w:rsid w:val="002475B9"/>
    <w:rsid w:val="002476F8"/>
    <w:rsid w:val="00247783"/>
    <w:rsid w:val="0024790D"/>
    <w:rsid w:val="00247AB7"/>
    <w:rsid w:val="00247C62"/>
    <w:rsid w:val="00247CF1"/>
    <w:rsid w:val="00247D2F"/>
    <w:rsid w:val="00247D90"/>
    <w:rsid w:val="00250200"/>
    <w:rsid w:val="00250359"/>
    <w:rsid w:val="00250529"/>
    <w:rsid w:val="0025058F"/>
    <w:rsid w:val="00250638"/>
    <w:rsid w:val="00250AFB"/>
    <w:rsid w:val="00250BE3"/>
    <w:rsid w:val="00250BF7"/>
    <w:rsid w:val="002512BA"/>
    <w:rsid w:val="002513D0"/>
    <w:rsid w:val="00251614"/>
    <w:rsid w:val="00251760"/>
    <w:rsid w:val="00251939"/>
    <w:rsid w:val="00251BFB"/>
    <w:rsid w:val="00251EFC"/>
    <w:rsid w:val="00251F80"/>
    <w:rsid w:val="00252198"/>
    <w:rsid w:val="002523DA"/>
    <w:rsid w:val="00252418"/>
    <w:rsid w:val="002524AB"/>
    <w:rsid w:val="0025282E"/>
    <w:rsid w:val="00252855"/>
    <w:rsid w:val="00252903"/>
    <w:rsid w:val="00252C01"/>
    <w:rsid w:val="00252CFD"/>
    <w:rsid w:val="00252D80"/>
    <w:rsid w:val="00252EDE"/>
    <w:rsid w:val="00252FAB"/>
    <w:rsid w:val="002530D0"/>
    <w:rsid w:val="002533D8"/>
    <w:rsid w:val="00253525"/>
    <w:rsid w:val="00253688"/>
    <w:rsid w:val="002539CC"/>
    <w:rsid w:val="00253B0B"/>
    <w:rsid w:val="00253CEA"/>
    <w:rsid w:val="00253CFA"/>
    <w:rsid w:val="00253E29"/>
    <w:rsid w:val="00253EC8"/>
    <w:rsid w:val="00253FAF"/>
    <w:rsid w:val="002540C3"/>
    <w:rsid w:val="002541A0"/>
    <w:rsid w:val="00254392"/>
    <w:rsid w:val="002543B8"/>
    <w:rsid w:val="002545CE"/>
    <w:rsid w:val="002546DB"/>
    <w:rsid w:val="002548DE"/>
    <w:rsid w:val="00254A03"/>
    <w:rsid w:val="00254CE4"/>
    <w:rsid w:val="00255977"/>
    <w:rsid w:val="00255B6B"/>
    <w:rsid w:val="00255FB0"/>
    <w:rsid w:val="00256010"/>
    <w:rsid w:val="002564AF"/>
    <w:rsid w:val="00256784"/>
    <w:rsid w:val="00256DCA"/>
    <w:rsid w:val="002571B2"/>
    <w:rsid w:val="00257313"/>
    <w:rsid w:val="00257424"/>
    <w:rsid w:val="002576F7"/>
    <w:rsid w:val="002579C5"/>
    <w:rsid w:val="00257A76"/>
    <w:rsid w:val="00257B3A"/>
    <w:rsid w:val="00257CFE"/>
    <w:rsid w:val="002600DE"/>
    <w:rsid w:val="00260252"/>
    <w:rsid w:val="00260526"/>
    <w:rsid w:val="00260B0B"/>
    <w:rsid w:val="00260E01"/>
    <w:rsid w:val="00261121"/>
    <w:rsid w:val="00261231"/>
    <w:rsid w:val="002614FC"/>
    <w:rsid w:val="002616D4"/>
    <w:rsid w:val="00261E16"/>
    <w:rsid w:val="00262088"/>
    <w:rsid w:val="00262491"/>
    <w:rsid w:val="00262AB6"/>
    <w:rsid w:val="00262D03"/>
    <w:rsid w:val="00262E00"/>
    <w:rsid w:val="00262EB2"/>
    <w:rsid w:val="0026314F"/>
    <w:rsid w:val="002631C7"/>
    <w:rsid w:val="00263258"/>
    <w:rsid w:val="00263736"/>
    <w:rsid w:val="00264241"/>
    <w:rsid w:val="0026428B"/>
    <w:rsid w:val="002643C0"/>
    <w:rsid w:val="002648E5"/>
    <w:rsid w:val="00264A40"/>
    <w:rsid w:val="00264A81"/>
    <w:rsid w:val="00264B59"/>
    <w:rsid w:val="00264D2B"/>
    <w:rsid w:val="00264F2B"/>
    <w:rsid w:val="00264F4A"/>
    <w:rsid w:val="00265224"/>
    <w:rsid w:val="00265510"/>
    <w:rsid w:val="0026576B"/>
    <w:rsid w:val="002658E3"/>
    <w:rsid w:val="00265CBB"/>
    <w:rsid w:val="00265D3A"/>
    <w:rsid w:val="0026607B"/>
    <w:rsid w:val="0026611D"/>
    <w:rsid w:val="0026696E"/>
    <w:rsid w:val="00266B06"/>
    <w:rsid w:val="00266B15"/>
    <w:rsid w:val="00266CAC"/>
    <w:rsid w:val="00266E4E"/>
    <w:rsid w:val="00266EBE"/>
    <w:rsid w:val="00266F81"/>
    <w:rsid w:val="00267040"/>
    <w:rsid w:val="00267074"/>
    <w:rsid w:val="0026714A"/>
    <w:rsid w:val="002671B2"/>
    <w:rsid w:val="002671FB"/>
    <w:rsid w:val="0026782F"/>
    <w:rsid w:val="00267988"/>
    <w:rsid w:val="00267CC5"/>
    <w:rsid w:val="00267FA9"/>
    <w:rsid w:val="00270388"/>
    <w:rsid w:val="00270471"/>
    <w:rsid w:val="00270B26"/>
    <w:rsid w:val="00271130"/>
    <w:rsid w:val="00271199"/>
    <w:rsid w:val="002714DC"/>
    <w:rsid w:val="00271824"/>
    <w:rsid w:val="002718A8"/>
    <w:rsid w:val="00271926"/>
    <w:rsid w:val="00271FAE"/>
    <w:rsid w:val="00272106"/>
    <w:rsid w:val="0027220B"/>
    <w:rsid w:val="00272354"/>
    <w:rsid w:val="00272443"/>
    <w:rsid w:val="00272533"/>
    <w:rsid w:val="002726D7"/>
    <w:rsid w:val="002726F0"/>
    <w:rsid w:val="0027292F"/>
    <w:rsid w:val="00272F01"/>
    <w:rsid w:val="002730F4"/>
    <w:rsid w:val="002731A0"/>
    <w:rsid w:val="00273228"/>
    <w:rsid w:val="0027322D"/>
    <w:rsid w:val="002732D6"/>
    <w:rsid w:val="0027333D"/>
    <w:rsid w:val="0027334A"/>
    <w:rsid w:val="002735DE"/>
    <w:rsid w:val="0027368E"/>
    <w:rsid w:val="002736EF"/>
    <w:rsid w:val="002737ED"/>
    <w:rsid w:val="00273B1C"/>
    <w:rsid w:val="00273CC6"/>
    <w:rsid w:val="00273CFA"/>
    <w:rsid w:val="00273DE0"/>
    <w:rsid w:val="00274156"/>
    <w:rsid w:val="00274292"/>
    <w:rsid w:val="002743D1"/>
    <w:rsid w:val="0027444D"/>
    <w:rsid w:val="002744F8"/>
    <w:rsid w:val="0027478C"/>
    <w:rsid w:val="00274B55"/>
    <w:rsid w:val="00274B85"/>
    <w:rsid w:val="00274CA1"/>
    <w:rsid w:val="00274F47"/>
    <w:rsid w:val="00275019"/>
    <w:rsid w:val="00275021"/>
    <w:rsid w:val="0027595D"/>
    <w:rsid w:val="0027599C"/>
    <w:rsid w:val="00275A00"/>
    <w:rsid w:val="00275A3D"/>
    <w:rsid w:val="00275A57"/>
    <w:rsid w:val="00275BEB"/>
    <w:rsid w:val="00275CB4"/>
    <w:rsid w:val="00275F01"/>
    <w:rsid w:val="00276020"/>
    <w:rsid w:val="0027622F"/>
    <w:rsid w:val="00276306"/>
    <w:rsid w:val="00276330"/>
    <w:rsid w:val="00276474"/>
    <w:rsid w:val="002764B2"/>
    <w:rsid w:val="00276506"/>
    <w:rsid w:val="00276665"/>
    <w:rsid w:val="002766CC"/>
    <w:rsid w:val="002768C1"/>
    <w:rsid w:val="002768CA"/>
    <w:rsid w:val="002769FF"/>
    <w:rsid w:val="00276CB1"/>
    <w:rsid w:val="00276CF4"/>
    <w:rsid w:val="00276DF4"/>
    <w:rsid w:val="00276EA1"/>
    <w:rsid w:val="00276F15"/>
    <w:rsid w:val="00277368"/>
    <w:rsid w:val="0027749E"/>
    <w:rsid w:val="0027768E"/>
    <w:rsid w:val="0027789E"/>
    <w:rsid w:val="002800A4"/>
    <w:rsid w:val="0028070E"/>
    <w:rsid w:val="002807AA"/>
    <w:rsid w:val="00280829"/>
    <w:rsid w:val="00280948"/>
    <w:rsid w:val="00280A32"/>
    <w:rsid w:val="00280F75"/>
    <w:rsid w:val="00281159"/>
    <w:rsid w:val="002811F9"/>
    <w:rsid w:val="00281293"/>
    <w:rsid w:val="002817EF"/>
    <w:rsid w:val="0028180F"/>
    <w:rsid w:val="00281D45"/>
    <w:rsid w:val="002821C9"/>
    <w:rsid w:val="00282940"/>
    <w:rsid w:val="00282E02"/>
    <w:rsid w:val="00282F47"/>
    <w:rsid w:val="002832A4"/>
    <w:rsid w:val="0028349B"/>
    <w:rsid w:val="0028353B"/>
    <w:rsid w:val="00283741"/>
    <w:rsid w:val="00283A0F"/>
    <w:rsid w:val="00283E45"/>
    <w:rsid w:val="0028413D"/>
    <w:rsid w:val="00284405"/>
    <w:rsid w:val="00284856"/>
    <w:rsid w:val="00284F76"/>
    <w:rsid w:val="00284FCE"/>
    <w:rsid w:val="00285498"/>
    <w:rsid w:val="00285543"/>
    <w:rsid w:val="002857FA"/>
    <w:rsid w:val="00285822"/>
    <w:rsid w:val="002859B0"/>
    <w:rsid w:val="00285B80"/>
    <w:rsid w:val="00285C71"/>
    <w:rsid w:val="00286326"/>
    <w:rsid w:val="002864EF"/>
    <w:rsid w:val="0028654B"/>
    <w:rsid w:val="002866E5"/>
    <w:rsid w:val="002867D4"/>
    <w:rsid w:val="00286A88"/>
    <w:rsid w:val="00286D07"/>
    <w:rsid w:val="00286DB3"/>
    <w:rsid w:val="00286FF6"/>
    <w:rsid w:val="00287090"/>
    <w:rsid w:val="002870A0"/>
    <w:rsid w:val="00287381"/>
    <w:rsid w:val="00287ACF"/>
    <w:rsid w:val="00287C26"/>
    <w:rsid w:val="00287D67"/>
    <w:rsid w:val="00287D96"/>
    <w:rsid w:val="00287DEB"/>
    <w:rsid w:val="0029001B"/>
    <w:rsid w:val="0029002E"/>
    <w:rsid w:val="0029013C"/>
    <w:rsid w:val="00290372"/>
    <w:rsid w:val="0029080C"/>
    <w:rsid w:val="00290862"/>
    <w:rsid w:val="002908EF"/>
    <w:rsid w:val="00290AF3"/>
    <w:rsid w:val="00290B37"/>
    <w:rsid w:val="00290E1B"/>
    <w:rsid w:val="00290F35"/>
    <w:rsid w:val="00291232"/>
    <w:rsid w:val="002912AF"/>
    <w:rsid w:val="00291AB2"/>
    <w:rsid w:val="00291CC9"/>
    <w:rsid w:val="00291F90"/>
    <w:rsid w:val="00292663"/>
    <w:rsid w:val="00292822"/>
    <w:rsid w:val="00292BB1"/>
    <w:rsid w:val="00292C41"/>
    <w:rsid w:val="00292CAB"/>
    <w:rsid w:val="00292CFF"/>
    <w:rsid w:val="00292DA6"/>
    <w:rsid w:val="0029330E"/>
    <w:rsid w:val="00293384"/>
    <w:rsid w:val="00293D08"/>
    <w:rsid w:val="00293F17"/>
    <w:rsid w:val="00294175"/>
    <w:rsid w:val="00294368"/>
    <w:rsid w:val="002943AB"/>
    <w:rsid w:val="002943AD"/>
    <w:rsid w:val="0029441B"/>
    <w:rsid w:val="0029450B"/>
    <w:rsid w:val="0029454F"/>
    <w:rsid w:val="00294590"/>
    <w:rsid w:val="0029485E"/>
    <w:rsid w:val="00294898"/>
    <w:rsid w:val="00294ACD"/>
    <w:rsid w:val="00294B71"/>
    <w:rsid w:val="00294BB5"/>
    <w:rsid w:val="00294DCA"/>
    <w:rsid w:val="00294E2C"/>
    <w:rsid w:val="0029506E"/>
    <w:rsid w:val="00295336"/>
    <w:rsid w:val="0029590A"/>
    <w:rsid w:val="00295B5A"/>
    <w:rsid w:val="00295BED"/>
    <w:rsid w:val="00295E60"/>
    <w:rsid w:val="002960CC"/>
    <w:rsid w:val="002961CC"/>
    <w:rsid w:val="0029635E"/>
    <w:rsid w:val="002964D2"/>
    <w:rsid w:val="00296932"/>
    <w:rsid w:val="00296E4A"/>
    <w:rsid w:val="00297116"/>
    <w:rsid w:val="0029755D"/>
    <w:rsid w:val="002975F3"/>
    <w:rsid w:val="002977FA"/>
    <w:rsid w:val="00297830"/>
    <w:rsid w:val="0029786A"/>
    <w:rsid w:val="00297A7E"/>
    <w:rsid w:val="00297C18"/>
    <w:rsid w:val="00297D72"/>
    <w:rsid w:val="00297DA0"/>
    <w:rsid w:val="00297DC3"/>
    <w:rsid w:val="00297DDD"/>
    <w:rsid w:val="002A0131"/>
    <w:rsid w:val="002A028C"/>
    <w:rsid w:val="002A0326"/>
    <w:rsid w:val="002A0340"/>
    <w:rsid w:val="002A0544"/>
    <w:rsid w:val="002A0AE6"/>
    <w:rsid w:val="002A0D4A"/>
    <w:rsid w:val="002A0D79"/>
    <w:rsid w:val="002A116D"/>
    <w:rsid w:val="002A1199"/>
    <w:rsid w:val="002A160C"/>
    <w:rsid w:val="002A17D0"/>
    <w:rsid w:val="002A1972"/>
    <w:rsid w:val="002A19AD"/>
    <w:rsid w:val="002A1A09"/>
    <w:rsid w:val="002A1A85"/>
    <w:rsid w:val="002A1D5B"/>
    <w:rsid w:val="002A1D80"/>
    <w:rsid w:val="002A22D9"/>
    <w:rsid w:val="002A2926"/>
    <w:rsid w:val="002A2B8D"/>
    <w:rsid w:val="002A3321"/>
    <w:rsid w:val="002A3460"/>
    <w:rsid w:val="002A3667"/>
    <w:rsid w:val="002A375E"/>
    <w:rsid w:val="002A3872"/>
    <w:rsid w:val="002A389F"/>
    <w:rsid w:val="002A3AEA"/>
    <w:rsid w:val="002A3CAC"/>
    <w:rsid w:val="002A3D13"/>
    <w:rsid w:val="002A3D32"/>
    <w:rsid w:val="002A3EFC"/>
    <w:rsid w:val="002A4000"/>
    <w:rsid w:val="002A4018"/>
    <w:rsid w:val="002A41DC"/>
    <w:rsid w:val="002A4456"/>
    <w:rsid w:val="002A4633"/>
    <w:rsid w:val="002A465C"/>
    <w:rsid w:val="002A46B9"/>
    <w:rsid w:val="002A46DD"/>
    <w:rsid w:val="002A46F3"/>
    <w:rsid w:val="002A4724"/>
    <w:rsid w:val="002A4739"/>
    <w:rsid w:val="002A4C7A"/>
    <w:rsid w:val="002A4CD1"/>
    <w:rsid w:val="002A4D6D"/>
    <w:rsid w:val="002A4EE1"/>
    <w:rsid w:val="002A5100"/>
    <w:rsid w:val="002A5193"/>
    <w:rsid w:val="002A5402"/>
    <w:rsid w:val="002A56CC"/>
    <w:rsid w:val="002A5964"/>
    <w:rsid w:val="002A5975"/>
    <w:rsid w:val="002A5B49"/>
    <w:rsid w:val="002A5CC7"/>
    <w:rsid w:val="002A5D4D"/>
    <w:rsid w:val="002A60EC"/>
    <w:rsid w:val="002A6200"/>
    <w:rsid w:val="002A6215"/>
    <w:rsid w:val="002A674D"/>
    <w:rsid w:val="002A6AA4"/>
    <w:rsid w:val="002A7360"/>
    <w:rsid w:val="002A7509"/>
    <w:rsid w:val="002A76EF"/>
    <w:rsid w:val="002A7714"/>
    <w:rsid w:val="002A7DD2"/>
    <w:rsid w:val="002A7EA9"/>
    <w:rsid w:val="002A7F22"/>
    <w:rsid w:val="002A7FB9"/>
    <w:rsid w:val="002B011C"/>
    <w:rsid w:val="002B0734"/>
    <w:rsid w:val="002B0930"/>
    <w:rsid w:val="002B0951"/>
    <w:rsid w:val="002B0A50"/>
    <w:rsid w:val="002B0E78"/>
    <w:rsid w:val="002B1006"/>
    <w:rsid w:val="002B10BF"/>
    <w:rsid w:val="002B1142"/>
    <w:rsid w:val="002B116A"/>
    <w:rsid w:val="002B1429"/>
    <w:rsid w:val="002B184C"/>
    <w:rsid w:val="002B18AA"/>
    <w:rsid w:val="002B18B1"/>
    <w:rsid w:val="002B1BFB"/>
    <w:rsid w:val="002B1D5E"/>
    <w:rsid w:val="002B2117"/>
    <w:rsid w:val="002B2174"/>
    <w:rsid w:val="002B2928"/>
    <w:rsid w:val="002B2D1D"/>
    <w:rsid w:val="002B2FC3"/>
    <w:rsid w:val="002B370B"/>
    <w:rsid w:val="002B3C5B"/>
    <w:rsid w:val="002B3CC3"/>
    <w:rsid w:val="002B3F0D"/>
    <w:rsid w:val="002B3F21"/>
    <w:rsid w:val="002B40D0"/>
    <w:rsid w:val="002B4185"/>
    <w:rsid w:val="002B43A3"/>
    <w:rsid w:val="002B4572"/>
    <w:rsid w:val="002B464E"/>
    <w:rsid w:val="002B47E3"/>
    <w:rsid w:val="002B4804"/>
    <w:rsid w:val="002B4A24"/>
    <w:rsid w:val="002B4C8E"/>
    <w:rsid w:val="002B4D4A"/>
    <w:rsid w:val="002B4DA1"/>
    <w:rsid w:val="002B4DC0"/>
    <w:rsid w:val="002B4F5F"/>
    <w:rsid w:val="002B504A"/>
    <w:rsid w:val="002B504E"/>
    <w:rsid w:val="002B512B"/>
    <w:rsid w:val="002B5C17"/>
    <w:rsid w:val="002B5C60"/>
    <w:rsid w:val="002B5D9F"/>
    <w:rsid w:val="002B5DD4"/>
    <w:rsid w:val="002B5E25"/>
    <w:rsid w:val="002B6135"/>
    <w:rsid w:val="002B61C2"/>
    <w:rsid w:val="002B6502"/>
    <w:rsid w:val="002B6C25"/>
    <w:rsid w:val="002B6D44"/>
    <w:rsid w:val="002B6E92"/>
    <w:rsid w:val="002B7085"/>
    <w:rsid w:val="002B70B2"/>
    <w:rsid w:val="002B7220"/>
    <w:rsid w:val="002B731B"/>
    <w:rsid w:val="002B731C"/>
    <w:rsid w:val="002B75FE"/>
    <w:rsid w:val="002B76A2"/>
    <w:rsid w:val="002B7F3B"/>
    <w:rsid w:val="002C00AC"/>
    <w:rsid w:val="002C00BF"/>
    <w:rsid w:val="002C0375"/>
    <w:rsid w:val="002C05AE"/>
    <w:rsid w:val="002C0927"/>
    <w:rsid w:val="002C0ACB"/>
    <w:rsid w:val="002C0BD0"/>
    <w:rsid w:val="002C0BFF"/>
    <w:rsid w:val="002C0CE7"/>
    <w:rsid w:val="002C0EB1"/>
    <w:rsid w:val="002C115E"/>
    <w:rsid w:val="002C12AE"/>
    <w:rsid w:val="002C12C8"/>
    <w:rsid w:val="002C1365"/>
    <w:rsid w:val="002C1477"/>
    <w:rsid w:val="002C152F"/>
    <w:rsid w:val="002C1700"/>
    <w:rsid w:val="002C1DA7"/>
    <w:rsid w:val="002C1F8A"/>
    <w:rsid w:val="002C1F90"/>
    <w:rsid w:val="002C21E7"/>
    <w:rsid w:val="002C2273"/>
    <w:rsid w:val="002C23D5"/>
    <w:rsid w:val="002C2465"/>
    <w:rsid w:val="002C2717"/>
    <w:rsid w:val="002C2893"/>
    <w:rsid w:val="002C29B2"/>
    <w:rsid w:val="002C2AFC"/>
    <w:rsid w:val="002C2E05"/>
    <w:rsid w:val="002C2E8B"/>
    <w:rsid w:val="002C30B3"/>
    <w:rsid w:val="002C31C0"/>
    <w:rsid w:val="002C3209"/>
    <w:rsid w:val="002C3289"/>
    <w:rsid w:val="002C361B"/>
    <w:rsid w:val="002C36C0"/>
    <w:rsid w:val="002C3769"/>
    <w:rsid w:val="002C37C2"/>
    <w:rsid w:val="002C3B71"/>
    <w:rsid w:val="002C3CDD"/>
    <w:rsid w:val="002C3F40"/>
    <w:rsid w:val="002C41A2"/>
    <w:rsid w:val="002C4483"/>
    <w:rsid w:val="002C4808"/>
    <w:rsid w:val="002C480C"/>
    <w:rsid w:val="002C4CBB"/>
    <w:rsid w:val="002C4D32"/>
    <w:rsid w:val="002C5156"/>
    <w:rsid w:val="002C5595"/>
    <w:rsid w:val="002C5620"/>
    <w:rsid w:val="002C58DA"/>
    <w:rsid w:val="002C5B89"/>
    <w:rsid w:val="002C5C53"/>
    <w:rsid w:val="002C5C5C"/>
    <w:rsid w:val="002C5D7D"/>
    <w:rsid w:val="002C5DA2"/>
    <w:rsid w:val="002C61CE"/>
    <w:rsid w:val="002C65EB"/>
    <w:rsid w:val="002C6832"/>
    <w:rsid w:val="002C6886"/>
    <w:rsid w:val="002C6CF6"/>
    <w:rsid w:val="002C7045"/>
    <w:rsid w:val="002C7123"/>
    <w:rsid w:val="002C7283"/>
    <w:rsid w:val="002C72A2"/>
    <w:rsid w:val="002C7356"/>
    <w:rsid w:val="002C73A4"/>
    <w:rsid w:val="002C75F5"/>
    <w:rsid w:val="002C76C2"/>
    <w:rsid w:val="002C7708"/>
    <w:rsid w:val="002C7C61"/>
    <w:rsid w:val="002C7CC0"/>
    <w:rsid w:val="002C7CC4"/>
    <w:rsid w:val="002C7E22"/>
    <w:rsid w:val="002C7E60"/>
    <w:rsid w:val="002C7E74"/>
    <w:rsid w:val="002C7F63"/>
    <w:rsid w:val="002D009B"/>
    <w:rsid w:val="002D00D2"/>
    <w:rsid w:val="002D034F"/>
    <w:rsid w:val="002D0820"/>
    <w:rsid w:val="002D0869"/>
    <w:rsid w:val="002D095C"/>
    <w:rsid w:val="002D09D4"/>
    <w:rsid w:val="002D1046"/>
    <w:rsid w:val="002D1086"/>
    <w:rsid w:val="002D122B"/>
    <w:rsid w:val="002D1AE4"/>
    <w:rsid w:val="002D1C0B"/>
    <w:rsid w:val="002D1E31"/>
    <w:rsid w:val="002D1ECD"/>
    <w:rsid w:val="002D207C"/>
    <w:rsid w:val="002D215A"/>
    <w:rsid w:val="002D2252"/>
    <w:rsid w:val="002D226C"/>
    <w:rsid w:val="002D23C8"/>
    <w:rsid w:val="002D259B"/>
    <w:rsid w:val="002D26EF"/>
    <w:rsid w:val="002D2915"/>
    <w:rsid w:val="002D29D0"/>
    <w:rsid w:val="002D2CA2"/>
    <w:rsid w:val="002D3077"/>
    <w:rsid w:val="002D3096"/>
    <w:rsid w:val="002D3398"/>
    <w:rsid w:val="002D3431"/>
    <w:rsid w:val="002D35CA"/>
    <w:rsid w:val="002D3755"/>
    <w:rsid w:val="002D3C06"/>
    <w:rsid w:val="002D3C55"/>
    <w:rsid w:val="002D407E"/>
    <w:rsid w:val="002D42A6"/>
    <w:rsid w:val="002D45EA"/>
    <w:rsid w:val="002D4826"/>
    <w:rsid w:val="002D492E"/>
    <w:rsid w:val="002D4A6D"/>
    <w:rsid w:val="002D4B0D"/>
    <w:rsid w:val="002D4C0C"/>
    <w:rsid w:val="002D4E8A"/>
    <w:rsid w:val="002D5064"/>
    <w:rsid w:val="002D50F3"/>
    <w:rsid w:val="002D533F"/>
    <w:rsid w:val="002D535C"/>
    <w:rsid w:val="002D5465"/>
    <w:rsid w:val="002D5591"/>
    <w:rsid w:val="002D57A0"/>
    <w:rsid w:val="002D5880"/>
    <w:rsid w:val="002D5A19"/>
    <w:rsid w:val="002D5AC6"/>
    <w:rsid w:val="002D5AD9"/>
    <w:rsid w:val="002D5D45"/>
    <w:rsid w:val="002D5D4A"/>
    <w:rsid w:val="002D5EFF"/>
    <w:rsid w:val="002D5F6B"/>
    <w:rsid w:val="002D61C8"/>
    <w:rsid w:val="002D61FF"/>
    <w:rsid w:val="002D621F"/>
    <w:rsid w:val="002D633C"/>
    <w:rsid w:val="002D66D1"/>
    <w:rsid w:val="002D6A02"/>
    <w:rsid w:val="002D6AB8"/>
    <w:rsid w:val="002D6AEE"/>
    <w:rsid w:val="002D6D0C"/>
    <w:rsid w:val="002D7394"/>
    <w:rsid w:val="002D7402"/>
    <w:rsid w:val="002D7492"/>
    <w:rsid w:val="002D78CD"/>
    <w:rsid w:val="002D79B2"/>
    <w:rsid w:val="002D7A70"/>
    <w:rsid w:val="002D7BC5"/>
    <w:rsid w:val="002D7C7F"/>
    <w:rsid w:val="002D7D27"/>
    <w:rsid w:val="002D7D93"/>
    <w:rsid w:val="002D7FA3"/>
    <w:rsid w:val="002E05F6"/>
    <w:rsid w:val="002E0620"/>
    <w:rsid w:val="002E0928"/>
    <w:rsid w:val="002E097B"/>
    <w:rsid w:val="002E0C5E"/>
    <w:rsid w:val="002E0E9F"/>
    <w:rsid w:val="002E1041"/>
    <w:rsid w:val="002E10E6"/>
    <w:rsid w:val="002E1102"/>
    <w:rsid w:val="002E11E5"/>
    <w:rsid w:val="002E11EA"/>
    <w:rsid w:val="002E129E"/>
    <w:rsid w:val="002E12D0"/>
    <w:rsid w:val="002E1350"/>
    <w:rsid w:val="002E171F"/>
    <w:rsid w:val="002E19BB"/>
    <w:rsid w:val="002E1A14"/>
    <w:rsid w:val="002E1A72"/>
    <w:rsid w:val="002E1C05"/>
    <w:rsid w:val="002E1EF8"/>
    <w:rsid w:val="002E2301"/>
    <w:rsid w:val="002E23A4"/>
    <w:rsid w:val="002E244C"/>
    <w:rsid w:val="002E253C"/>
    <w:rsid w:val="002E2611"/>
    <w:rsid w:val="002E2856"/>
    <w:rsid w:val="002E2AA3"/>
    <w:rsid w:val="002E2DA1"/>
    <w:rsid w:val="002E2F4F"/>
    <w:rsid w:val="002E2FCA"/>
    <w:rsid w:val="002E3001"/>
    <w:rsid w:val="002E3145"/>
    <w:rsid w:val="002E31C9"/>
    <w:rsid w:val="002E3366"/>
    <w:rsid w:val="002E3FF0"/>
    <w:rsid w:val="002E442A"/>
    <w:rsid w:val="002E448A"/>
    <w:rsid w:val="002E4786"/>
    <w:rsid w:val="002E4A39"/>
    <w:rsid w:val="002E4B99"/>
    <w:rsid w:val="002E506B"/>
    <w:rsid w:val="002E5350"/>
    <w:rsid w:val="002E5375"/>
    <w:rsid w:val="002E559D"/>
    <w:rsid w:val="002E5912"/>
    <w:rsid w:val="002E5C8F"/>
    <w:rsid w:val="002E5CD4"/>
    <w:rsid w:val="002E5D3C"/>
    <w:rsid w:val="002E60B6"/>
    <w:rsid w:val="002E64CB"/>
    <w:rsid w:val="002E6581"/>
    <w:rsid w:val="002E690E"/>
    <w:rsid w:val="002E690F"/>
    <w:rsid w:val="002E6BBA"/>
    <w:rsid w:val="002E6DE3"/>
    <w:rsid w:val="002E6EF6"/>
    <w:rsid w:val="002E6FDA"/>
    <w:rsid w:val="002E704B"/>
    <w:rsid w:val="002E712A"/>
    <w:rsid w:val="002E71D2"/>
    <w:rsid w:val="002E7637"/>
    <w:rsid w:val="002E76D6"/>
    <w:rsid w:val="002E7D29"/>
    <w:rsid w:val="002E7EA4"/>
    <w:rsid w:val="002F0072"/>
    <w:rsid w:val="002F00D1"/>
    <w:rsid w:val="002F02E8"/>
    <w:rsid w:val="002F032A"/>
    <w:rsid w:val="002F03F1"/>
    <w:rsid w:val="002F04F5"/>
    <w:rsid w:val="002F0663"/>
    <w:rsid w:val="002F09ED"/>
    <w:rsid w:val="002F0C49"/>
    <w:rsid w:val="002F0CF0"/>
    <w:rsid w:val="002F0EF1"/>
    <w:rsid w:val="002F0F17"/>
    <w:rsid w:val="002F0F40"/>
    <w:rsid w:val="002F0FEA"/>
    <w:rsid w:val="002F10D5"/>
    <w:rsid w:val="002F1267"/>
    <w:rsid w:val="002F135D"/>
    <w:rsid w:val="002F1492"/>
    <w:rsid w:val="002F1684"/>
    <w:rsid w:val="002F179B"/>
    <w:rsid w:val="002F1DE1"/>
    <w:rsid w:val="002F1FE3"/>
    <w:rsid w:val="002F224E"/>
    <w:rsid w:val="002F2772"/>
    <w:rsid w:val="002F2815"/>
    <w:rsid w:val="002F2D38"/>
    <w:rsid w:val="002F32BB"/>
    <w:rsid w:val="002F334A"/>
    <w:rsid w:val="002F3474"/>
    <w:rsid w:val="002F3642"/>
    <w:rsid w:val="002F4535"/>
    <w:rsid w:val="002F461D"/>
    <w:rsid w:val="002F47C6"/>
    <w:rsid w:val="002F47E1"/>
    <w:rsid w:val="002F4BBD"/>
    <w:rsid w:val="002F50E7"/>
    <w:rsid w:val="002F5664"/>
    <w:rsid w:val="002F56EC"/>
    <w:rsid w:val="002F6037"/>
    <w:rsid w:val="002F63E3"/>
    <w:rsid w:val="002F65B7"/>
    <w:rsid w:val="002F6715"/>
    <w:rsid w:val="002F6762"/>
    <w:rsid w:val="002F6873"/>
    <w:rsid w:val="002F6A8A"/>
    <w:rsid w:val="002F6ABA"/>
    <w:rsid w:val="002F6B80"/>
    <w:rsid w:val="002F6BA9"/>
    <w:rsid w:val="002F6CFD"/>
    <w:rsid w:val="002F6F43"/>
    <w:rsid w:val="002F7076"/>
    <w:rsid w:val="002F7123"/>
    <w:rsid w:val="002F7374"/>
    <w:rsid w:val="002F7569"/>
    <w:rsid w:val="002F7B1C"/>
    <w:rsid w:val="002F7C10"/>
    <w:rsid w:val="0030011C"/>
    <w:rsid w:val="00300280"/>
    <w:rsid w:val="003005B0"/>
    <w:rsid w:val="0030093B"/>
    <w:rsid w:val="00300CE3"/>
    <w:rsid w:val="00300DAE"/>
    <w:rsid w:val="003011D8"/>
    <w:rsid w:val="00301223"/>
    <w:rsid w:val="00301242"/>
    <w:rsid w:val="0030124D"/>
    <w:rsid w:val="00301259"/>
    <w:rsid w:val="00301427"/>
    <w:rsid w:val="003014C6"/>
    <w:rsid w:val="003016B1"/>
    <w:rsid w:val="00301846"/>
    <w:rsid w:val="003018F7"/>
    <w:rsid w:val="00301986"/>
    <w:rsid w:val="00301BDD"/>
    <w:rsid w:val="00301C58"/>
    <w:rsid w:val="00301D66"/>
    <w:rsid w:val="00301E61"/>
    <w:rsid w:val="003022D1"/>
    <w:rsid w:val="003025A2"/>
    <w:rsid w:val="003025C0"/>
    <w:rsid w:val="00302701"/>
    <w:rsid w:val="003028A5"/>
    <w:rsid w:val="0030294C"/>
    <w:rsid w:val="003029A5"/>
    <w:rsid w:val="00302CAD"/>
    <w:rsid w:val="00302DBD"/>
    <w:rsid w:val="003030C8"/>
    <w:rsid w:val="00303126"/>
    <w:rsid w:val="0030322B"/>
    <w:rsid w:val="00303368"/>
    <w:rsid w:val="003034A7"/>
    <w:rsid w:val="00303642"/>
    <w:rsid w:val="003036F8"/>
    <w:rsid w:val="003038F1"/>
    <w:rsid w:val="00303A7D"/>
    <w:rsid w:val="00303C30"/>
    <w:rsid w:val="00303C88"/>
    <w:rsid w:val="00303D84"/>
    <w:rsid w:val="00303F0B"/>
    <w:rsid w:val="00303F0F"/>
    <w:rsid w:val="0030460E"/>
    <w:rsid w:val="0030477F"/>
    <w:rsid w:val="003048F3"/>
    <w:rsid w:val="0030498E"/>
    <w:rsid w:val="003049A2"/>
    <w:rsid w:val="00304CF7"/>
    <w:rsid w:val="003051C1"/>
    <w:rsid w:val="003053F5"/>
    <w:rsid w:val="003055D8"/>
    <w:rsid w:val="0030563D"/>
    <w:rsid w:val="00305690"/>
    <w:rsid w:val="003056F8"/>
    <w:rsid w:val="0030594D"/>
    <w:rsid w:val="00305CEC"/>
    <w:rsid w:val="00305E72"/>
    <w:rsid w:val="00305EE4"/>
    <w:rsid w:val="00306067"/>
    <w:rsid w:val="003063AC"/>
    <w:rsid w:val="00306718"/>
    <w:rsid w:val="00306953"/>
    <w:rsid w:val="00306A40"/>
    <w:rsid w:val="00306BA5"/>
    <w:rsid w:val="00306C7F"/>
    <w:rsid w:val="00306CA8"/>
    <w:rsid w:val="00307029"/>
    <w:rsid w:val="0030708F"/>
    <w:rsid w:val="00307338"/>
    <w:rsid w:val="00307BD5"/>
    <w:rsid w:val="00307C6E"/>
    <w:rsid w:val="00307F68"/>
    <w:rsid w:val="0031006A"/>
    <w:rsid w:val="00310172"/>
    <w:rsid w:val="00310386"/>
    <w:rsid w:val="00310938"/>
    <w:rsid w:val="00310A25"/>
    <w:rsid w:val="00310C40"/>
    <w:rsid w:val="00310CB9"/>
    <w:rsid w:val="00310D10"/>
    <w:rsid w:val="00310D77"/>
    <w:rsid w:val="00310DA1"/>
    <w:rsid w:val="00310FBA"/>
    <w:rsid w:val="003114F7"/>
    <w:rsid w:val="00311597"/>
    <w:rsid w:val="00311599"/>
    <w:rsid w:val="00311916"/>
    <w:rsid w:val="0031195E"/>
    <w:rsid w:val="00311C4C"/>
    <w:rsid w:val="00311D17"/>
    <w:rsid w:val="00311D3F"/>
    <w:rsid w:val="00311D63"/>
    <w:rsid w:val="0031206B"/>
    <w:rsid w:val="003120F8"/>
    <w:rsid w:val="003121F0"/>
    <w:rsid w:val="00312227"/>
    <w:rsid w:val="0031275E"/>
    <w:rsid w:val="00312C9C"/>
    <w:rsid w:val="00312E12"/>
    <w:rsid w:val="00313601"/>
    <w:rsid w:val="0031372D"/>
    <w:rsid w:val="0031372E"/>
    <w:rsid w:val="00313918"/>
    <w:rsid w:val="003140CE"/>
    <w:rsid w:val="00314735"/>
    <w:rsid w:val="00314B18"/>
    <w:rsid w:val="00314D8D"/>
    <w:rsid w:val="00314F11"/>
    <w:rsid w:val="00315114"/>
    <w:rsid w:val="003151D3"/>
    <w:rsid w:val="0031545C"/>
    <w:rsid w:val="00315BA4"/>
    <w:rsid w:val="00315CDD"/>
    <w:rsid w:val="00316151"/>
    <w:rsid w:val="00316333"/>
    <w:rsid w:val="003163DB"/>
    <w:rsid w:val="003164A3"/>
    <w:rsid w:val="003165CC"/>
    <w:rsid w:val="00316676"/>
    <w:rsid w:val="00316A55"/>
    <w:rsid w:val="00316A79"/>
    <w:rsid w:val="00316C71"/>
    <w:rsid w:val="00316F7D"/>
    <w:rsid w:val="00317404"/>
    <w:rsid w:val="00317437"/>
    <w:rsid w:val="003176AE"/>
    <w:rsid w:val="00317A41"/>
    <w:rsid w:val="00317D6E"/>
    <w:rsid w:val="00320674"/>
    <w:rsid w:val="0032070F"/>
    <w:rsid w:val="003208A1"/>
    <w:rsid w:val="00320A45"/>
    <w:rsid w:val="00320DE9"/>
    <w:rsid w:val="00321057"/>
    <w:rsid w:val="00321123"/>
    <w:rsid w:val="0032116C"/>
    <w:rsid w:val="00321426"/>
    <w:rsid w:val="0032149A"/>
    <w:rsid w:val="003218A9"/>
    <w:rsid w:val="00321A3B"/>
    <w:rsid w:val="00321A7A"/>
    <w:rsid w:val="00321AEE"/>
    <w:rsid w:val="003221A2"/>
    <w:rsid w:val="0032230F"/>
    <w:rsid w:val="00322381"/>
    <w:rsid w:val="0032254C"/>
    <w:rsid w:val="003225F6"/>
    <w:rsid w:val="0032268D"/>
    <w:rsid w:val="00322964"/>
    <w:rsid w:val="00322999"/>
    <w:rsid w:val="00322A46"/>
    <w:rsid w:val="00322F9C"/>
    <w:rsid w:val="0032312C"/>
    <w:rsid w:val="00323591"/>
    <w:rsid w:val="00323608"/>
    <w:rsid w:val="00323731"/>
    <w:rsid w:val="0032387D"/>
    <w:rsid w:val="00324164"/>
    <w:rsid w:val="003244EA"/>
    <w:rsid w:val="00324505"/>
    <w:rsid w:val="0032489D"/>
    <w:rsid w:val="003248EE"/>
    <w:rsid w:val="003249FC"/>
    <w:rsid w:val="00324A8C"/>
    <w:rsid w:val="00324DEC"/>
    <w:rsid w:val="0032501F"/>
    <w:rsid w:val="003251DE"/>
    <w:rsid w:val="003254DC"/>
    <w:rsid w:val="00325708"/>
    <w:rsid w:val="00325949"/>
    <w:rsid w:val="003259A9"/>
    <w:rsid w:val="00325A03"/>
    <w:rsid w:val="0032605D"/>
    <w:rsid w:val="003261DD"/>
    <w:rsid w:val="00326376"/>
    <w:rsid w:val="00326703"/>
    <w:rsid w:val="0032676C"/>
    <w:rsid w:val="003267DC"/>
    <w:rsid w:val="00326C38"/>
    <w:rsid w:val="00327313"/>
    <w:rsid w:val="0032735B"/>
    <w:rsid w:val="003274CA"/>
    <w:rsid w:val="00327683"/>
    <w:rsid w:val="00327732"/>
    <w:rsid w:val="00327737"/>
    <w:rsid w:val="00327740"/>
    <w:rsid w:val="003277E9"/>
    <w:rsid w:val="00327888"/>
    <w:rsid w:val="003279FA"/>
    <w:rsid w:val="00330020"/>
    <w:rsid w:val="00330183"/>
    <w:rsid w:val="00330222"/>
    <w:rsid w:val="00330235"/>
    <w:rsid w:val="003302D5"/>
    <w:rsid w:val="00330389"/>
    <w:rsid w:val="0033044B"/>
    <w:rsid w:val="0033075F"/>
    <w:rsid w:val="003308C3"/>
    <w:rsid w:val="00330983"/>
    <w:rsid w:val="00330AEF"/>
    <w:rsid w:val="00330C44"/>
    <w:rsid w:val="00330D54"/>
    <w:rsid w:val="0033104E"/>
    <w:rsid w:val="003311E3"/>
    <w:rsid w:val="0033135C"/>
    <w:rsid w:val="0033159B"/>
    <w:rsid w:val="00331729"/>
    <w:rsid w:val="0033173D"/>
    <w:rsid w:val="00331771"/>
    <w:rsid w:val="00331B4B"/>
    <w:rsid w:val="00331B63"/>
    <w:rsid w:val="00331BB5"/>
    <w:rsid w:val="00331D48"/>
    <w:rsid w:val="00331E46"/>
    <w:rsid w:val="00332268"/>
    <w:rsid w:val="00332817"/>
    <w:rsid w:val="00332922"/>
    <w:rsid w:val="00332A6E"/>
    <w:rsid w:val="00332B26"/>
    <w:rsid w:val="00332B80"/>
    <w:rsid w:val="00332DA8"/>
    <w:rsid w:val="00333135"/>
    <w:rsid w:val="003335B7"/>
    <w:rsid w:val="003336F3"/>
    <w:rsid w:val="00333773"/>
    <w:rsid w:val="00333B1D"/>
    <w:rsid w:val="00333D01"/>
    <w:rsid w:val="00333FB4"/>
    <w:rsid w:val="00334014"/>
    <w:rsid w:val="003343AE"/>
    <w:rsid w:val="00334921"/>
    <w:rsid w:val="00334D5C"/>
    <w:rsid w:val="0033503E"/>
    <w:rsid w:val="003350C5"/>
    <w:rsid w:val="003351F0"/>
    <w:rsid w:val="003353A3"/>
    <w:rsid w:val="003354A3"/>
    <w:rsid w:val="003354E9"/>
    <w:rsid w:val="00335626"/>
    <w:rsid w:val="003359FB"/>
    <w:rsid w:val="00335A27"/>
    <w:rsid w:val="00335BC5"/>
    <w:rsid w:val="00335BF2"/>
    <w:rsid w:val="00335CFD"/>
    <w:rsid w:val="00335D56"/>
    <w:rsid w:val="00335EA4"/>
    <w:rsid w:val="00335EC4"/>
    <w:rsid w:val="00335F3A"/>
    <w:rsid w:val="003364AB"/>
    <w:rsid w:val="003365C5"/>
    <w:rsid w:val="003366D1"/>
    <w:rsid w:val="00336777"/>
    <w:rsid w:val="00336C32"/>
    <w:rsid w:val="00337249"/>
    <w:rsid w:val="003375C7"/>
    <w:rsid w:val="003376FD"/>
    <w:rsid w:val="003377A2"/>
    <w:rsid w:val="00337984"/>
    <w:rsid w:val="00337EAF"/>
    <w:rsid w:val="00337F9C"/>
    <w:rsid w:val="00340017"/>
    <w:rsid w:val="003402F6"/>
    <w:rsid w:val="0034030B"/>
    <w:rsid w:val="00340494"/>
    <w:rsid w:val="0034055B"/>
    <w:rsid w:val="00340914"/>
    <w:rsid w:val="00340C67"/>
    <w:rsid w:val="00340D20"/>
    <w:rsid w:val="003411D9"/>
    <w:rsid w:val="003414D3"/>
    <w:rsid w:val="00341A13"/>
    <w:rsid w:val="00341A4D"/>
    <w:rsid w:val="00341C2E"/>
    <w:rsid w:val="00341D45"/>
    <w:rsid w:val="00341EAA"/>
    <w:rsid w:val="00341ED1"/>
    <w:rsid w:val="003420A1"/>
    <w:rsid w:val="003420D7"/>
    <w:rsid w:val="00342229"/>
    <w:rsid w:val="003422F2"/>
    <w:rsid w:val="00342616"/>
    <w:rsid w:val="0034275A"/>
    <w:rsid w:val="00342793"/>
    <w:rsid w:val="00342AA2"/>
    <w:rsid w:val="0034347C"/>
    <w:rsid w:val="003442E8"/>
    <w:rsid w:val="00344352"/>
    <w:rsid w:val="003444CB"/>
    <w:rsid w:val="003444E5"/>
    <w:rsid w:val="0034462A"/>
    <w:rsid w:val="003447E6"/>
    <w:rsid w:val="00344A37"/>
    <w:rsid w:val="00344A7C"/>
    <w:rsid w:val="00344B1D"/>
    <w:rsid w:val="00344C04"/>
    <w:rsid w:val="00344C19"/>
    <w:rsid w:val="00344D8B"/>
    <w:rsid w:val="00344E8E"/>
    <w:rsid w:val="00344EB4"/>
    <w:rsid w:val="003451FC"/>
    <w:rsid w:val="00345409"/>
    <w:rsid w:val="003454B8"/>
    <w:rsid w:val="003454D5"/>
    <w:rsid w:val="0034568E"/>
    <w:rsid w:val="003459E6"/>
    <w:rsid w:val="00345F73"/>
    <w:rsid w:val="003465F0"/>
    <w:rsid w:val="00346713"/>
    <w:rsid w:val="00346D22"/>
    <w:rsid w:val="00346F8A"/>
    <w:rsid w:val="00347299"/>
    <w:rsid w:val="003473E2"/>
    <w:rsid w:val="00347682"/>
    <w:rsid w:val="003479F6"/>
    <w:rsid w:val="00347B37"/>
    <w:rsid w:val="00347B4F"/>
    <w:rsid w:val="00347BF2"/>
    <w:rsid w:val="00347CEB"/>
    <w:rsid w:val="00347D96"/>
    <w:rsid w:val="00347DCD"/>
    <w:rsid w:val="00347E3E"/>
    <w:rsid w:val="00350173"/>
    <w:rsid w:val="00350679"/>
    <w:rsid w:val="00350741"/>
    <w:rsid w:val="003509E9"/>
    <w:rsid w:val="00350F0A"/>
    <w:rsid w:val="00350FBE"/>
    <w:rsid w:val="00351543"/>
    <w:rsid w:val="003515EA"/>
    <w:rsid w:val="003516EA"/>
    <w:rsid w:val="00351714"/>
    <w:rsid w:val="003517CC"/>
    <w:rsid w:val="00351AAF"/>
    <w:rsid w:val="00351C1E"/>
    <w:rsid w:val="00351ED4"/>
    <w:rsid w:val="00351F8F"/>
    <w:rsid w:val="003524EC"/>
    <w:rsid w:val="0035257C"/>
    <w:rsid w:val="00352B8C"/>
    <w:rsid w:val="00352D3E"/>
    <w:rsid w:val="00352D4E"/>
    <w:rsid w:val="00352E30"/>
    <w:rsid w:val="00353443"/>
    <w:rsid w:val="003534F3"/>
    <w:rsid w:val="00353625"/>
    <w:rsid w:val="00353787"/>
    <w:rsid w:val="00353F63"/>
    <w:rsid w:val="003540E3"/>
    <w:rsid w:val="0035443B"/>
    <w:rsid w:val="00354A7E"/>
    <w:rsid w:val="00354F31"/>
    <w:rsid w:val="00355199"/>
    <w:rsid w:val="0035539B"/>
    <w:rsid w:val="00355882"/>
    <w:rsid w:val="003558F8"/>
    <w:rsid w:val="0035599E"/>
    <w:rsid w:val="00355C24"/>
    <w:rsid w:val="00355CAF"/>
    <w:rsid w:val="003560BA"/>
    <w:rsid w:val="00356264"/>
    <w:rsid w:val="003562F5"/>
    <w:rsid w:val="0035639F"/>
    <w:rsid w:val="003568F9"/>
    <w:rsid w:val="00356949"/>
    <w:rsid w:val="00356ADB"/>
    <w:rsid w:val="00356B3C"/>
    <w:rsid w:val="00356C9E"/>
    <w:rsid w:val="00356CC1"/>
    <w:rsid w:val="00356D28"/>
    <w:rsid w:val="00356D7C"/>
    <w:rsid w:val="00356E4C"/>
    <w:rsid w:val="00356F50"/>
    <w:rsid w:val="00356FEF"/>
    <w:rsid w:val="0035704A"/>
    <w:rsid w:val="003570DE"/>
    <w:rsid w:val="00357137"/>
    <w:rsid w:val="00357157"/>
    <w:rsid w:val="00357261"/>
    <w:rsid w:val="00357568"/>
    <w:rsid w:val="00357635"/>
    <w:rsid w:val="0035764A"/>
    <w:rsid w:val="003579AB"/>
    <w:rsid w:val="00357CA2"/>
    <w:rsid w:val="00360064"/>
    <w:rsid w:val="003601AB"/>
    <w:rsid w:val="00360290"/>
    <w:rsid w:val="003608F8"/>
    <w:rsid w:val="00360A3F"/>
    <w:rsid w:val="00360FB4"/>
    <w:rsid w:val="00360FF9"/>
    <w:rsid w:val="00361043"/>
    <w:rsid w:val="003619C8"/>
    <w:rsid w:val="00361A4F"/>
    <w:rsid w:val="00361C12"/>
    <w:rsid w:val="00361D57"/>
    <w:rsid w:val="00361E55"/>
    <w:rsid w:val="00362261"/>
    <w:rsid w:val="00362291"/>
    <w:rsid w:val="003624EA"/>
    <w:rsid w:val="003625A8"/>
    <w:rsid w:val="0036261D"/>
    <w:rsid w:val="00362716"/>
    <w:rsid w:val="00362A27"/>
    <w:rsid w:val="00362A38"/>
    <w:rsid w:val="00362CA3"/>
    <w:rsid w:val="00362CFE"/>
    <w:rsid w:val="00362D5F"/>
    <w:rsid w:val="00363266"/>
    <w:rsid w:val="00363361"/>
    <w:rsid w:val="0036356A"/>
    <w:rsid w:val="0036374A"/>
    <w:rsid w:val="00363764"/>
    <w:rsid w:val="00363895"/>
    <w:rsid w:val="00363A01"/>
    <w:rsid w:val="00363A7F"/>
    <w:rsid w:val="00363B3E"/>
    <w:rsid w:val="00363D62"/>
    <w:rsid w:val="00363EB6"/>
    <w:rsid w:val="0036433F"/>
    <w:rsid w:val="003647B6"/>
    <w:rsid w:val="00364CA4"/>
    <w:rsid w:val="00364E3F"/>
    <w:rsid w:val="00364E50"/>
    <w:rsid w:val="00364E84"/>
    <w:rsid w:val="0036519F"/>
    <w:rsid w:val="00365200"/>
    <w:rsid w:val="00365698"/>
    <w:rsid w:val="003656B8"/>
    <w:rsid w:val="003657E4"/>
    <w:rsid w:val="00365832"/>
    <w:rsid w:val="00365921"/>
    <w:rsid w:val="003659F2"/>
    <w:rsid w:val="00365C88"/>
    <w:rsid w:val="00365CAD"/>
    <w:rsid w:val="00365CAE"/>
    <w:rsid w:val="00365DC2"/>
    <w:rsid w:val="00366312"/>
    <w:rsid w:val="0036656B"/>
    <w:rsid w:val="003665AD"/>
    <w:rsid w:val="00366601"/>
    <w:rsid w:val="003666C8"/>
    <w:rsid w:val="00366970"/>
    <w:rsid w:val="00366B37"/>
    <w:rsid w:val="00366C68"/>
    <w:rsid w:val="00366E6D"/>
    <w:rsid w:val="00366FA4"/>
    <w:rsid w:val="00366FFE"/>
    <w:rsid w:val="003670B0"/>
    <w:rsid w:val="00367126"/>
    <w:rsid w:val="0036725B"/>
    <w:rsid w:val="00367481"/>
    <w:rsid w:val="00367773"/>
    <w:rsid w:val="00367921"/>
    <w:rsid w:val="003679B0"/>
    <w:rsid w:val="00367A32"/>
    <w:rsid w:val="00367A8C"/>
    <w:rsid w:val="00367D86"/>
    <w:rsid w:val="00367F7B"/>
    <w:rsid w:val="0037021F"/>
    <w:rsid w:val="00370704"/>
    <w:rsid w:val="00370C65"/>
    <w:rsid w:val="00370CB8"/>
    <w:rsid w:val="00370E84"/>
    <w:rsid w:val="0037124C"/>
    <w:rsid w:val="003713A2"/>
    <w:rsid w:val="003713AF"/>
    <w:rsid w:val="003713CD"/>
    <w:rsid w:val="003717DD"/>
    <w:rsid w:val="00371855"/>
    <w:rsid w:val="00371CC7"/>
    <w:rsid w:val="00371FF9"/>
    <w:rsid w:val="00372530"/>
    <w:rsid w:val="003725F5"/>
    <w:rsid w:val="003727A6"/>
    <w:rsid w:val="00372BA3"/>
    <w:rsid w:val="00372DAE"/>
    <w:rsid w:val="00372DFF"/>
    <w:rsid w:val="00373423"/>
    <w:rsid w:val="0037358F"/>
    <w:rsid w:val="00373AA5"/>
    <w:rsid w:val="00373C28"/>
    <w:rsid w:val="00373D11"/>
    <w:rsid w:val="00373D70"/>
    <w:rsid w:val="00373D7C"/>
    <w:rsid w:val="00373DC0"/>
    <w:rsid w:val="0037413E"/>
    <w:rsid w:val="00374364"/>
    <w:rsid w:val="0037474E"/>
    <w:rsid w:val="00374AAC"/>
    <w:rsid w:val="00374BE5"/>
    <w:rsid w:val="00374D16"/>
    <w:rsid w:val="003750CA"/>
    <w:rsid w:val="003754D2"/>
    <w:rsid w:val="003754E2"/>
    <w:rsid w:val="0037557D"/>
    <w:rsid w:val="0037582E"/>
    <w:rsid w:val="003758A1"/>
    <w:rsid w:val="00375D12"/>
    <w:rsid w:val="00375E9E"/>
    <w:rsid w:val="00375FF0"/>
    <w:rsid w:val="003767F4"/>
    <w:rsid w:val="00376E60"/>
    <w:rsid w:val="00376F0F"/>
    <w:rsid w:val="00377077"/>
    <w:rsid w:val="0037712C"/>
    <w:rsid w:val="0037728D"/>
    <w:rsid w:val="0037787F"/>
    <w:rsid w:val="003779D8"/>
    <w:rsid w:val="00380338"/>
    <w:rsid w:val="0038066D"/>
    <w:rsid w:val="003807DB"/>
    <w:rsid w:val="003809F9"/>
    <w:rsid w:val="00380A04"/>
    <w:rsid w:val="00380A52"/>
    <w:rsid w:val="00380B4B"/>
    <w:rsid w:val="00380BEA"/>
    <w:rsid w:val="00380C75"/>
    <w:rsid w:val="00380FB5"/>
    <w:rsid w:val="0038103F"/>
    <w:rsid w:val="0038105C"/>
    <w:rsid w:val="003812F6"/>
    <w:rsid w:val="0038136A"/>
    <w:rsid w:val="0038154D"/>
    <w:rsid w:val="00381A21"/>
    <w:rsid w:val="00381E7C"/>
    <w:rsid w:val="00382423"/>
    <w:rsid w:val="003824F6"/>
    <w:rsid w:val="00382711"/>
    <w:rsid w:val="003829A8"/>
    <w:rsid w:val="00382A7F"/>
    <w:rsid w:val="00382D58"/>
    <w:rsid w:val="00382E97"/>
    <w:rsid w:val="00383002"/>
    <w:rsid w:val="0038343D"/>
    <w:rsid w:val="003835D2"/>
    <w:rsid w:val="00383C82"/>
    <w:rsid w:val="00384028"/>
    <w:rsid w:val="00384092"/>
    <w:rsid w:val="0038418C"/>
    <w:rsid w:val="00384497"/>
    <w:rsid w:val="003846D0"/>
    <w:rsid w:val="003846FB"/>
    <w:rsid w:val="00384852"/>
    <w:rsid w:val="0038486B"/>
    <w:rsid w:val="003850B8"/>
    <w:rsid w:val="00385199"/>
    <w:rsid w:val="0038591E"/>
    <w:rsid w:val="00385FC3"/>
    <w:rsid w:val="00386054"/>
    <w:rsid w:val="003860F6"/>
    <w:rsid w:val="0038634D"/>
    <w:rsid w:val="00386525"/>
    <w:rsid w:val="00386856"/>
    <w:rsid w:val="00386A22"/>
    <w:rsid w:val="00386B97"/>
    <w:rsid w:val="00386C7A"/>
    <w:rsid w:val="00386DF4"/>
    <w:rsid w:val="00387350"/>
    <w:rsid w:val="00387403"/>
    <w:rsid w:val="0038760E"/>
    <w:rsid w:val="00387714"/>
    <w:rsid w:val="003877AA"/>
    <w:rsid w:val="00387856"/>
    <w:rsid w:val="003879AF"/>
    <w:rsid w:val="00387ABD"/>
    <w:rsid w:val="00387C54"/>
    <w:rsid w:val="00387DBD"/>
    <w:rsid w:val="0039001E"/>
    <w:rsid w:val="00390033"/>
    <w:rsid w:val="00390626"/>
    <w:rsid w:val="00390BF7"/>
    <w:rsid w:val="00390CE9"/>
    <w:rsid w:val="00390DF2"/>
    <w:rsid w:val="0039126E"/>
    <w:rsid w:val="00391466"/>
    <w:rsid w:val="0039170B"/>
    <w:rsid w:val="0039174B"/>
    <w:rsid w:val="003917DF"/>
    <w:rsid w:val="00391A1B"/>
    <w:rsid w:val="00391FFD"/>
    <w:rsid w:val="00392062"/>
    <w:rsid w:val="003923BF"/>
    <w:rsid w:val="0039270E"/>
    <w:rsid w:val="003928AA"/>
    <w:rsid w:val="003929F5"/>
    <w:rsid w:val="00392E06"/>
    <w:rsid w:val="003930AF"/>
    <w:rsid w:val="0039326E"/>
    <w:rsid w:val="00393597"/>
    <w:rsid w:val="00393703"/>
    <w:rsid w:val="00393782"/>
    <w:rsid w:val="00393822"/>
    <w:rsid w:val="00393982"/>
    <w:rsid w:val="00393A89"/>
    <w:rsid w:val="00393BE7"/>
    <w:rsid w:val="00393F10"/>
    <w:rsid w:val="00393FFC"/>
    <w:rsid w:val="0039407B"/>
    <w:rsid w:val="003941C3"/>
    <w:rsid w:val="003942A4"/>
    <w:rsid w:val="00394379"/>
    <w:rsid w:val="003944A3"/>
    <w:rsid w:val="0039456F"/>
    <w:rsid w:val="0039461E"/>
    <w:rsid w:val="0039468E"/>
    <w:rsid w:val="00394A7B"/>
    <w:rsid w:val="00394C3D"/>
    <w:rsid w:val="00394F14"/>
    <w:rsid w:val="00394F37"/>
    <w:rsid w:val="00395101"/>
    <w:rsid w:val="00395183"/>
    <w:rsid w:val="003951E4"/>
    <w:rsid w:val="003952A7"/>
    <w:rsid w:val="00395416"/>
    <w:rsid w:val="00395615"/>
    <w:rsid w:val="003958CC"/>
    <w:rsid w:val="00395962"/>
    <w:rsid w:val="00395B91"/>
    <w:rsid w:val="003960A9"/>
    <w:rsid w:val="0039654A"/>
    <w:rsid w:val="00396652"/>
    <w:rsid w:val="00396809"/>
    <w:rsid w:val="00396839"/>
    <w:rsid w:val="00396B50"/>
    <w:rsid w:val="00396BD2"/>
    <w:rsid w:val="00396E92"/>
    <w:rsid w:val="003970FD"/>
    <w:rsid w:val="003975E4"/>
    <w:rsid w:val="00397775"/>
    <w:rsid w:val="00397904"/>
    <w:rsid w:val="003A0032"/>
    <w:rsid w:val="003A01CC"/>
    <w:rsid w:val="003A027B"/>
    <w:rsid w:val="003A02F9"/>
    <w:rsid w:val="003A03EF"/>
    <w:rsid w:val="003A061D"/>
    <w:rsid w:val="003A065B"/>
    <w:rsid w:val="003A07CD"/>
    <w:rsid w:val="003A08B2"/>
    <w:rsid w:val="003A1378"/>
    <w:rsid w:val="003A1402"/>
    <w:rsid w:val="003A1785"/>
    <w:rsid w:val="003A18AF"/>
    <w:rsid w:val="003A1A8D"/>
    <w:rsid w:val="003A1E7E"/>
    <w:rsid w:val="003A1ED9"/>
    <w:rsid w:val="003A25D9"/>
    <w:rsid w:val="003A2610"/>
    <w:rsid w:val="003A265A"/>
    <w:rsid w:val="003A2816"/>
    <w:rsid w:val="003A2B45"/>
    <w:rsid w:val="003A2E29"/>
    <w:rsid w:val="003A2E41"/>
    <w:rsid w:val="003A30CF"/>
    <w:rsid w:val="003A30E6"/>
    <w:rsid w:val="003A3B2F"/>
    <w:rsid w:val="003A3B52"/>
    <w:rsid w:val="003A3C64"/>
    <w:rsid w:val="003A3D01"/>
    <w:rsid w:val="003A3FF9"/>
    <w:rsid w:val="003A413A"/>
    <w:rsid w:val="003A4C1A"/>
    <w:rsid w:val="003A5036"/>
    <w:rsid w:val="003A5863"/>
    <w:rsid w:val="003A5C33"/>
    <w:rsid w:val="003A6121"/>
    <w:rsid w:val="003A6132"/>
    <w:rsid w:val="003A6237"/>
    <w:rsid w:val="003A664E"/>
    <w:rsid w:val="003A66FA"/>
    <w:rsid w:val="003A6899"/>
    <w:rsid w:val="003A69A3"/>
    <w:rsid w:val="003A6ACF"/>
    <w:rsid w:val="003A6C75"/>
    <w:rsid w:val="003A6FB1"/>
    <w:rsid w:val="003A713B"/>
    <w:rsid w:val="003A72ED"/>
    <w:rsid w:val="003A7398"/>
    <w:rsid w:val="003A7404"/>
    <w:rsid w:val="003A75AB"/>
    <w:rsid w:val="003A7618"/>
    <w:rsid w:val="003A79D0"/>
    <w:rsid w:val="003B00BD"/>
    <w:rsid w:val="003B0532"/>
    <w:rsid w:val="003B0847"/>
    <w:rsid w:val="003B09F7"/>
    <w:rsid w:val="003B0ACC"/>
    <w:rsid w:val="003B0E84"/>
    <w:rsid w:val="003B1151"/>
    <w:rsid w:val="003B123B"/>
    <w:rsid w:val="003B1294"/>
    <w:rsid w:val="003B12D2"/>
    <w:rsid w:val="003B1382"/>
    <w:rsid w:val="003B15BD"/>
    <w:rsid w:val="003B1975"/>
    <w:rsid w:val="003B1ADF"/>
    <w:rsid w:val="003B1C54"/>
    <w:rsid w:val="003B1F26"/>
    <w:rsid w:val="003B1F45"/>
    <w:rsid w:val="003B22D4"/>
    <w:rsid w:val="003B259B"/>
    <w:rsid w:val="003B26F9"/>
    <w:rsid w:val="003B2813"/>
    <w:rsid w:val="003B2A08"/>
    <w:rsid w:val="003B2CA0"/>
    <w:rsid w:val="003B2DA2"/>
    <w:rsid w:val="003B2EA7"/>
    <w:rsid w:val="003B2EC5"/>
    <w:rsid w:val="003B30E8"/>
    <w:rsid w:val="003B3208"/>
    <w:rsid w:val="003B34B4"/>
    <w:rsid w:val="003B3591"/>
    <w:rsid w:val="003B3603"/>
    <w:rsid w:val="003B3754"/>
    <w:rsid w:val="003B3833"/>
    <w:rsid w:val="003B3A0E"/>
    <w:rsid w:val="003B3A64"/>
    <w:rsid w:val="003B3B18"/>
    <w:rsid w:val="003B3B82"/>
    <w:rsid w:val="003B3E7A"/>
    <w:rsid w:val="003B3E99"/>
    <w:rsid w:val="003B4099"/>
    <w:rsid w:val="003B4300"/>
    <w:rsid w:val="003B433A"/>
    <w:rsid w:val="003B4419"/>
    <w:rsid w:val="003B459A"/>
    <w:rsid w:val="003B46EE"/>
    <w:rsid w:val="003B4706"/>
    <w:rsid w:val="003B5089"/>
    <w:rsid w:val="003B51BA"/>
    <w:rsid w:val="003B52A8"/>
    <w:rsid w:val="003B5435"/>
    <w:rsid w:val="003B59E0"/>
    <w:rsid w:val="003B5B41"/>
    <w:rsid w:val="003B5B85"/>
    <w:rsid w:val="003B5B8D"/>
    <w:rsid w:val="003B5DEA"/>
    <w:rsid w:val="003B5FA8"/>
    <w:rsid w:val="003B6100"/>
    <w:rsid w:val="003B63EB"/>
    <w:rsid w:val="003B6469"/>
    <w:rsid w:val="003B6864"/>
    <w:rsid w:val="003B694F"/>
    <w:rsid w:val="003B6BB4"/>
    <w:rsid w:val="003B6DB5"/>
    <w:rsid w:val="003B6F7C"/>
    <w:rsid w:val="003B70CC"/>
    <w:rsid w:val="003B7207"/>
    <w:rsid w:val="003B7473"/>
    <w:rsid w:val="003B7500"/>
    <w:rsid w:val="003B76E6"/>
    <w:rsid w:val="003B77BD"/>
    <w:rsid w:val="003B7944"/>
    <w:rsid w:val="003B7C5E"/>
    <w:rsid w:val="003B7D8D"/>
    <w:rsid w:val="003B7E34"/>
    <w:rsid w:val="003B7EEC"/>
    <w:rsid w:val="003C043C"/>
    <w:rsid w:val="003C0567"/>
    <w:rsid w:val="003C090B"/>
    <w:rsid w:val="003C0DEE"/>
    <w:rsid w:val="003C0F3B"/>
    <w:rsid w:val="003C100E"/>
    <w:rsid w:val="003C119B"/>
    <w:rsid w:val="003C1540"/>
    <w:rsid w:val="003C15B0"/>
    <w:rsid w:val="003C15F0"/>
    <w:rsid w:val="003C1748"/>
    <w:rsid w:val="003C18DE"/>
    <w:rsid w:val="003C1942"/>
    <w:rsid w:val="003C19D3"/>
    <w:rsid w:val="003C1A28"/>
    <w:rsid w:val="003C1AE7"/>
    <w:rsid w:val="003C1B22"/>
    <w:rsid w:val="003C1B92"/>
    <w:rsid w:val="003C1C54"/>
    <w:rsid w:val="003C1E03"/>
    <w:rsid w:val="003C2751"/>
    <w:rsid w:val="003C2832"/>
    <w:rsid w:val="003C286A"/>
    <w:rsid w:val="003C2A2D"/>
    <w:rsid w:val="003C2B6C"/>
    <w:rsid w:val="003C2BF2"/>
    <w:rsid w:val="003C2C1B"/>
    <w:rsid w:val="003C3072"/>
    <w:rsid w:val="003C30C8"/>
    <w:rsid w:val="003C350C"/>
    <w:rsid w:val="003C368C"/>
    <w:rsid w:val="003C39E1"/>
    <w:rsid w:val="003C3AE9"/>
    <w:rsid w:val="003C3B3B"/>
    <w:rsid w:val="003C3C04"/>
    <w:rsid w:val="003C3D2C"/>
    <w:rsid w:val="003C43D7"/>
    <w:rsid w:val="003C45A6"/>
    <w:rsid w:val="003C4862"/>
    <w:rsid w:val="003C4B5D"/>
    <w:rsid w:val="003C4DA6"/>
    <w:rsid w:val="003C4F0C"/>
    <w:rsid w:val="003C525D"/>
    <w:rsid w:val="003C596A"/>
    <w:rsid w:val="003C5B3A"/>
    <w:rsid w:val="003C5BC3"/>
    <w:rsid w:val="003C5D34"/>
    <w:rsid w:val="003C5E70"/>
    <w:rsid w:val="003C61C4"/>
    <w:rsid w:val="003C63FC"/>
    <w:rsid w:val="003C6511"/>
    <w:rsid w:val="003C6568"/>
    <w:rsid w:val="003C680C"/>
    <w:rsid w:val="003C690C"/>
    <w:rsid w:val="003C6A42"/>
    <w:rsid w:val="003C6ABB"/>
    <w:rsid w:val="003C709A"/>
    <w:rsid w:val="003C7138"/>
    <w:rsid w:val="003C72F9"/>
    <w:rsid w:val="003C7733"/>
    <w:rsid w:val="003C77E2"/>
    <w:rsid w:val="003C7906"/>
    <w:rsid w:val="003C79B0"/>
    <w:rsid w:val="003C7CC3"/>
    <w:rsid w:val="003C7E5C"/>
    <w:rsid w:val="003C7E9B"/>
    <w:rsid w:val="003D062B"/>
    <w:rsid w:val="003D079E"/>
    <w:rsid w:val="003D0A63"/>
    <w:rsid w:val="003D0B24"/>
    <w:rsid w:val="003D0DB2"/>
    <w:rsid w:val="003D0E3A"/>
    <w:rsid w:val="003D0F5E"/>
    <w:rsid w:val="003D0F64"/>
    <w:rsid w:val="003D1001"/>
    <w:rsid w:val="003D128F"/>
    <w:rsid w:val="003D169F"/>
    <w:rsid w:val="003D180B"/>
    <w:rsid w:val="003D2493"/>
    <w:rsid w:val="003D255E"/>
    <w:rsid w:val="003D25C9"/>
    <w:rsid w:val="003D2BB6"/>
    <w:rsid w:val="003D2BDE"/>
    <w:rsid w:val="003D300C"/>
    <w:rsid w:val="003D3179"/>
    <w:rsid w:val="003D323C"/>
    <w:rsid w:val="003D3512"/>
    <w:rsid w:val="003D368C"/>
    <w:rsid w:val="003D36C1"/>
    <w:rsid w:val="003D37A3"/>
    <w:rsid w:val="003D37FE"/>
    <w:rsid w:val="003D3892"/>
    <w:rsid w:val="003D3A88"/>
    <w:rsid w:val="003D3B96"/>
    <w:rsid w:val="003D3EB5"/>
    <w:rsid w:val="003D4089"/>
    <w:rsid w:val="003D41CE"/>
    <w:rsid w:val="003D4295"/>
    <w:rsid w:val="003D43B8"/>
    <w:rsid w:val="003D475B"/>
    <w:rsid w:val="003D4AAC"/>
    <w:rsid w:val="003D4BF8"/>
    <w:rsid w:val="003D4DEB"/>
    <w:rsid w:val="003D50FC"/>
    <w:rsid w:val="003D5102"/>
    <w:rsid w:val="003D51CB"/>
    <w:rsid w:val="003D563D"/>
    <w:rsid w:val="003D581D"/>
    <w:rsid w:val="003D59D0"/>
    <w:rsid w:val="003D5B3B"/>
    <w:rsid w:val="003D5B3D"/>
    <w:rsid w:val="003D5B91"/>
    <w:rsid w:val="003D5F87"/>
    <w:rsid w:val="003D64F0"/>
    <w:rsid w:val="003D6879"/>
    <w:rsid w:val="003D68B9"/>
    <w:rsid w:val="003D6A09"/>
    <w:rsid w:val="003D6B9D"/>
    <w:rsid w:val="003D6CE3"/>
    <w:rsid w:val="003D6D72"/>
    <w:rsid w:val="003D6EB0"/>
    <w:rsid w:val="003D70EC"/>
    <w:rsid w:val="003D72A7"/>
    <w:rsid w:val="003D779B"/>
    <w:rsid w:val="003D7887"/>
    <w:rsid w:val="003D7998"/>
    <w:rsid w:val="003D7A14"/>
    <w:rsid w:val="003D7D2B"/>
    <w:rsid w:val="003E011F"/>
    <w:rsid w:val="003E0146"/>
    <w:rsid w:val="003E014B"/>
    <w:rsid w:val="003E0205"/>
    <w:rsid w:val="003E0440"/>
    <w:rsid w:val="003E050A"/>
    <w:rsid w:val="003E0959"/>
    <w:rsid w:val="003E09A2"/>
    <w:rsid w:val="003E0AE6"/>
    <w:rsid w:val="003E0AEB"/>
    <w:rsid w:val="003E0C92"/>
    <w:rsid w:val="003E0DBC"/>
    <w:rsid w:val="003E1019"/>
    <w:rsid w:val="003E13C7"/>
    <w:rsid w:val="003E142E"/>
    <w:rsid w:val="003E1CBA"/>
    <w:rsid w:val="003E1D9D"/>
    <w:rsid w:val="003E1E1C"/>
    <w:rsid w:val="003E2221"/>
    <w:rsid w:val="003E22BC"/>
    <w:rsid w:val="003E2405"/>
    <w:rsid w:val="003E252E"/>
    <w:rsid w:val="003E2928"/>
    <w:rsid w:val="003E2948"/>
    <w:rsid w:val="003E2FAF"/>
    <w:rsid w:val="003E2FB1"/>
    <w:rsid w:val="003E330D"/>
    <w:rsid w:val="003E38DE"/>
    <w:rsid w:val="003E398B"/>
    <w:rsid w:val="003E3A98"/>
    <w:rsid w:val="003E3FF1"/>
    <w:rsid w:val="003E425A"/>
    <w:rsid w:val="003E4284"/>
    <w:rsid w:val="003E4374"/>
    <w:rsid w:val="003E4760"/>
    <w:rsid w:val="003E47E4"/>
    <w:rsid w:val="003E483F"/>
    <w:rsid w:val="003E49B9"/>
    <w:rsid w:val="003E4EBB"/>
    <w:rsid w:val="003E502F"/>
    <w:rsid w:val="003E518D"/>
    <w:rsid w:val="003E51D1"/>
    <w:rsid w:val="003E543F"/>
    <w:rsid w:val="003E5549"/>
    <w:rsid w:val="003E55DA"/>
    <w:rsid w:val="003E5669"/>
    <w:rsid w:val="003E5A8D"/>
    <w:rsid w:val="003E5AC8"/>
    <w:rsid w:val="003E5EF0"/>
    <w:rsid w:val="003E6329"/>
    <w:rsid w:val="003E63F6"/>
    <w:rsid w:val="003E65BC"/>
    <w:rsid w:val="003E6AB4"/>
    <w:rsid w:val="003E6B88"/>
    <w:rsid w:val="003E6C9B"/>
    <w:rsid w:val="003E6C9F"/>
    <w:rsid w:val="003E71B7"/>
    <w:rsid w:val="003E744C"/>
    <w:rsid w:val="003E7514"/>
    <w:rsid w:val="003E7CFE"/>
    <w:rsid w:val="003E7E69"/>
    <w:rsid w:val="003E7FFB"/>
    <w:rsid w:val="003F020D"/>
    <w:rsid w:val="003F05F9"/>
    <w:rsid w:val="003F0ABF"/>
    <w:rsid w:val="003F0AE7"/>
    <w:rsid w:val="003F0B15"/>
    <w:rsid w:val="003F0BB6"/>
    <w:rsid w:val="003F0CD8"/>
    <w:rsid w:val="003F0D41"/>
    <w:rsid w:val="003F1031"/>
    <w:rsid w:val="003F1518"/>
    <w:rsid w:val="003F157A"/>
    <w:rsid w:val="003F184F"/>
    <w:rsid w:val="003F1E12"/>
    <w:rsid w:val="003F2247"/>
    <w:rsid w:val="003F2444"/>
    <w:rsid w:val="003F248C"/>
    <w:rsid w:val="003F2546"/>
    <w:rsid w:val="003F25CC"/>
    <w:rsid w:val="003F25E6"/>
    <w:rsid w:val="003F27B1"/>
    <w:rsid w:val="003F2B9C"/>
    <w:rsid w:val="003F2D0A"/>
    <w:rsid w:val="003F3207"/>
    <w:rsid w:val="003F3220"/>
    <w:rsid w:val="003F332F"/>
    <w:rsid w:val="003F3795"/>
    <w:rsid w:val="003F3C5F"/>
    <w:rsid w:val="003F3CFB"/>
    <w:rsid w:val="003F4B67"/>
    <w:rsid w:val="003F4FCD"/>
    <w:rsid w:val="003F53AE"/>
    <w:rsid w:val="003F5875"/>
    <w:rsid w:val="003F5B9F"/>
    <w:rsid w:val="003F5C95"/>
    <w:rsid w:val="003F5CF5"/>
    <w:rsid w:val="003F64E2"/>
    <w:rsid w:val="003F67F6"/>
    <w:rsid w:val="003F6A2F"/>
    <w:rsid w:val="003F6AE4"/>
    <w:rsid w:val="003F6D59"/>
    <w:rsid w:val="003F71D5"/>
    <w:rsid w:val="003F73C2"/>
    <w:rsid w:val="003F73C8"/>
    <w:rsid w:val="003F74A7"/>
    <w:rsid w:val="003F7703"/>
    <w:rsid w:val="003F7773"/>
    <w:rsid w:val="003F793D"/>
    <w:rsid w:val="003F7CA4"/>
    <w:rsid w:val="003F7E46"/>
    <w:rsid w:val="003F7EAC"/>
    <w:rsid w:val="00400143"/>
    <w:rsid w:val="00400273"/>
    <w:rsid w:val="0040063B"/>
    <w:rsid w:val="00400775"/>
    <w:rsid w:val="004008D0"/>
    <w:rsid w:val="00400A7F"/>
    <w:rsid w:val="00400BE3"/>
    <w:rsid w:val="00400C05"/>
    <w:rsid w:val="00400C2D"/>
    <w:rsid w:val="00400C8D"/>
    <w:rsid w:val="00400E37"/>
    <w:rsid w:val="0040117C"/>
    <w:rsid w:val="004011A2"/>
    <w:rsid w:val="0040140D"/>
    <w:rsid w:val="00401452"/>
    <w:rsid w:val="00401506"/>
    <w:rsid w:val="0040156B"/>
    <w:rsid w:val="00401607"/>
    <w:rsid w:val="00401800"/>
    <w:rsid w:val="0040193B"/>
    <w:rsid w:val="00401961"/>
    <w:rsid w:val="00401976"/>
    <w:rsid w:val="00401A99"/>
    <w:rsid w:val="00401BD0"/>
    <w:rsid w:val="00401D5E"/>
    <w:rsid w:val="00401E7A"/>
    <w:rsid w:val="00401E7B"/>
    <w:rsid w:val="00402195"/>
    <w:rsid w:val="00402481"/>
    <w:rsid w:val="0040251F"/>
    <w:rsid w:val="00402637"/>
    <w:rsid w:val="00402910"/>
    <w:rsid w:val="0040305B"/>
    <w:rsid w:val="00403377"/>
    <w:rsid w:val="004034B7"/>
    <w:rsid w:val="00403930"/>
    <w:rsid w:val="004039DB"/>
    <w:rsid w:val="004039F4"/>
    <w:rsid w:val="00403AC2"/>
    <w:rsid w:val="00404089"/>
    <w:rsid w:val="00404106"/>
    <w:rsid w:val="0040429B"/>
    <w:rsid w:val="004042BB"/>
    <w:rsid w:val="004042E9"/>
    <w:rsid w:val="00404510"/>
    <w:rsid w:val="004045D0"/>
    <w:rsid w:val="0040491E"/>
    <w:rsid w:val="00404B78"/>
    <w:rsid w:val="00404CAF"/>
    <w:rsid w:val="0040519E"/>
    <w:rsid w:val="00405236"/>
    <w:rsid w:val="00405433"/>
    <w:rsid w:val="004054CE"/>
    <w:rsid w:val="0040558F"/>
    <w:rsid w:val="004055E8"/>
    <w:rsid w:val="00405870"/>
    <w:rsid w:val="00405A11"/>
    <w:rsid w:val="00405B06"/>
    <w:rsid w:val="00405BAD"/>
    <w:rsid w:val="00405F76"/>
    <w:rsid w:val="00406036"/>
    <w:rsid w:val="00406278"/>
    <w:rsid w:val="0040661D"/>
    <w:rsid w:val="004068A7"/>
    <w:rsid w:val="00406A4C"/>
    <w:rsid w:val="00406A82"/>
    <w:rsid w:val="00406A88"/>
    <w:rsid w:val="00406C50"/>
    <w:rsid w:val="00406EBB"/>
    <w:rsid w:val="00406F27"/>
    <w:rsid w:val="004071DE"/>
    <w:rsid w:val="004075A4"/>
    <w:rsid w:val="0040767D"/>
    <w:rsid w:val="004077BC"/>
    <w:rsid w:val="00407EA7"/>
    <w:rsid w:val="00407ED2"/>
    <w:rsid w:val="00410157"/>
    <w:rsid w:val="0041031E"/>
    <w:rsid w:val="00410492"/>
    <w:rsid w:val="004104AD"/>
    <w:rsid w:val="004105F2"/>
    <w:rsid w:val="004106A2"/>
    <w:rsid w:val="00410710"/>
    <w:rsid w:val="00410771"/>
    <w:rsid w:val="004108AE"/>
    <w:rsid w:val="004108F0"/>
    <w:rsid w:val="004108FB"/>
    <w:rsid w:val="004109E3"/>
    <w:rsid w:val="00410D7C"/>
    <w:rsid w:val="00411012"/>
    <w:rsid w:val="00411170"/>
    <w:rsid w:val="00411574"/>
    <w:rsid w:val="004118A3"/>
    <w:rsid w:val="004119C7"/>
    <w:rsid w:val="00411A04"/>
    <w:rsid w:val="00411B32"/>
    <w:rsid w:val="00411DE8"/>
    <w:rsid w:val="00411F24"/>
    <w:rsid w:val="004120B6"/>
    <w:rsid w:val="00412281"/>
    <w:rsid w:val="00412365"/>
    <w:rsid w:val="00412673"/>
    <w:rsid w:val="00412791"/>
    <w:rsid w:val="004128F0"/>
    <w:rsid w:val="00412A32"/>
    <w:rsid w:val="00412C42"/>
    <w:rsid w:val="00412D8C"/>
    <w:rsid w:val="00412E6E"/>
    <w:rsid w:val="00412FBB"/>
    <w:rsid w:val="0041315D"/>
    <w:rsid w:val="0041359D"/>
    <w:rsid w:val="0041371C"/>
    <w:rsid w:val="004137F5"/>
    <w:rsid w:val="004141E0"/>
    <w:rsid w:val="004142DC"/>
    <w:rsid w:val="004142E7"/>
    <w:rsid w:val="0041447A"/>
    <w:rsid w:val="00414834"/>
    <w:rsid w:val="0041487B"/>
    <w:rsid w:val="0041489E"/>
    <w:rsid w:val="00414C88"/>
    <w:rsid w:val="00414CA2"/>
    <w:rsid w:val="00414D04"/>
    <w:rsid w:val="00414D1D"/>
    <w:rsid w:val="00414DB4"/>
    <w:rsid w:val="00414F6E"/>
    <w:rsid w:val="0041512B"/>
    <w:rsid w:val="0041538C"/>
    <w:rsid w:val="00415461"/>
    <w:rsid w:val="00415700"/>
    <w:rsid w:val="00415866"/>
    <w:rsid w:val="004159B0"/>
    <w:rsid w:val="00415A54"/>
    <w:rsid w:val="00415A56"/>
    <w:rsid w:val="00415ABF"/>
    <w:rsid w:val="00415C92"/>
    <w:rsid w:val="00415D15"/>
    <w:rsid w:val="00415D8A"/>
    <w:rsid w:val="00415E7D"/>
    <w:rsid w:val="00415E9F"/>
    <w:rsid w:val="00416660"/>
    <w:rsid w:val="00416809"/>
    <w:rsid w:val="00416829"/>
    <w:rsid w:val="004168D8"/>
    <w:rsid w:val="00416B88"/>
    <w:rsid w:val="00416BE7"/>
    <w:rsid w:val="0041728B"/>
    <w:rsid w:val="00417391"/>
    <w:rsid w:val="00417397"/>
    <w:rsid w:val="00417543"/>
    <w:rsid w:val="004175E8"/>
    <w:rsid w:val="00417670"/>
    <w:rsid w:val="00417881"/>
    <w:rsid w:val="0041FF37"/>
    <w:rsid w:val="004203D3"/>
    <w:rsid w:val="00420791"/>
    <w:rsid w:val="00420832"/>
    <w:rsid w:val="00420B02"/>
    <w:rsid w:val="00420F08"/>
    <w:rsid w:val="00420FD1"/>
    <w:rsid w:val="004212A0"/>
    <w:rsid w:val="0042130D"/>
    <w:rsid w:val="0042157D"/>
    <w:rsid w:val="00421A24"/>
    <w:rsid w:val="0042246E"/>
    <w:rsid w:val="004225E7"/>
    <w:rsid w:val="004229CD"/>
    <w:rsid w:val="00422A34"/>
    <w:rsid w:val="00422C6D"/>
    <w:rsid w:val="00422C95"/>
    <w:rsid w:val="0042357B"/>
    <w:rsid w:val="004235FE"/>
    <w:rsid w:val="0042388D"/>
    <w:rsid w:val="00423B89"/>
    <w:rsid w:val="00423E16"/>
    <w:rsid w:val="0042400C"/>
    <w:rsid w:val="004241C9"/>
    <w:rsid w:val="004243A1"/>
    <w:rsid w:val="004243C2"/>
    <w:rsid w:val="0042443E"/>
    <w:rsid w:val="00424D1D"/>
    <w:rsid w:val="00424EE2"/>
    <w:rsid w:val="004250AF"/>
    <w:rsid w:val="004250BF"/>
    <w:rsid w:val="0042519C"/>
    <w:rsid w:val="004257C8"/>
    <w:rsid w:val="0042588D"/>
    <w:rsid w:val="00425ADF"/>
    <w:rsid w:val="004261B3"/>
    <w:rsid w:val="004263EB"/>
    <w:rsid w:val="00426435"/>
    <w:rsid w:val="00426480"/>
    <w:rsid w:val="004264CA"/>
    <w:rsid w:val="004265B6"/>
    <w:rsid w:val="00426AAF"/>
    <w:rsid w:val="00426FDE"/>
    <w:rsid w:val="004272DD"/>
    <w:rsid w:val="004273C8"/>
    <w:rsid w:val="0042769D"/>
    <w:rsid w:val="0042794C"/>
    <w:rsid w:val="00427C4D"/>
    <w:rsid w:val="00427EF8"/>
    <w:rsid w:val="00427FAB"/>
    <w:rsid w:val="004303EF"/>
    <w:rsid w:val="00430808"/>
    <w:rsid w:val="004309BE"/>
    <w:rsid w:val="00430CC2"/>
    <w:rsid w:val="00430D53"/>
    <w:rsid w:val="00430DF6"/>
    <w:rsid w:val="00431187"/>
    <w:rsid w:val="0043166A"/>
    <w:rsid w:val="00431852"/>
    <w:rsid w:val="00431855"/>
    <w:rsid w:val="00431D0E"/>
    <w:rsid w:val="00431DC8"/>
    <w:rsid w:val="00431F3C"/>
    <w:rsid w:val="00432711"/>
    <w:rsid w:val="00432AE5"/>
    <w:rsid w:val="00432B4B"/>
    <w:rsid w:val="00432CE2"/>
    <w:rsid w:val="00432E41"/>
    <w:rsid w:val="00432ED7"/>
    <w:rsid w:val="00432F8F"/>
    <w:rsid w:val="0043386E"/>
    <w:rsid w:val="004338F9"/>
    <w:rsid w:val="00433B64"/>
    <w:rsid w:val="00433C4C"/>
    <w:rsid w:val="00433E58"/>
    <w:rsid w:val="00433F0F"/>
    <w:rsid w:val="00434103"/>
    <w:rsid w:val="00434859"/>
    <w:rsid w:val="00434E72"/>
    <w:rsid w:val="00434E93"/>
    <w:rsid w:val="00434F04"/>
    <w:rsid w:val="0043525C"/>
    <w:rsid w:val="004355FC"/>
    <w:rsid w:val="004356A6"/>
    <w:rsid w:val="004357AA"/>
    <w:rsid w:val="004357D6"/>
    <w:rsid w:val="00435978"/>
    <w:rsid w:val="00435A19"/>
    <w:rsid w:val="00435C76"/>
    <w:rsid w:val="00435F41"/>
    <w:rsid w:val="0043624D"/>
    <w:rsid w:val="004362C5"/>
    <w:rsid w:val="00436545"/>
    <w:rsid w:val="0043656C"/>
    <w:rsid w:val="004365A8"/>
    <w:rsid w:val="0043674B"/>
    <w:rsid w:val="00436AD1"/>
    <w:rsid w:val="00436AEA"/>
    <w:rsid w:val="00436AFF"/>
    <w:rsid w:val="00436C7C"/>
    <w:rsid w:val="00436D6F"/>
    <w:rsid w:val="00436F84"/>
    <w:rsid w:val="004374C8"/>
    <w:rsid w:val="00437E60"/>
    <w:rsid w:val="00440234"/>
    <w:rsid w:val="0044030D"/>
    <w:rsid w:val="004403B1"/>
    <w:rsid w:val="004404A3"/>
    <w:rsid w:val="004405FF"/>
    <w:rsid w:val="00440642"/>
    <w:rsid w:val="00440B61"/>
    <w:rsid w:val="00440C34"/>
    <w:rsid w:val="00440D28"/>
    <w:rsid w:val="00440E19"/>
    <w:rsid w:val="00440FA0"/>
    <w:rsid w:val="00441756"/>
    <w:rsid w:val="0044175C"/>
    <w:rsid w:val="00441895"/>
    <w:rsid w:val="00441B08"/>
    <w:rsid w:val="0044255A"/>
    <w:rsid w:val="004428A0"/>
    <w:rsid w:val="00442910"/>
    <w:rsid w:val="00442BC0"/>
    <w:rsid w:val="00442CE7"/>
    <w:rsid w:val="00442E0E"/>
    <w:rsid w:val="00443138"/>
    <w:rsid w:val="0044361E"/>
    <w:rsid w:val="004438E3"/>
    <w:rsid w:val="0044396A"/>
    <w:rsid w:val="00443AB0"/>
    <w:rsid w:val="00443F07"/>
    <w:rsid w:val="00443F0A"/>
    <w:rsid w:val="00443FF9"/>
    <w:rsid w:val="0044420D"/>
    <w:rsid w:val="004445D6"/>
    <w:rsid w:val="004446D9"/>
    <w:rsid w:val="00444958"/>
    <w:rsid w:val="00444A46"/>
    <w:rsid w:val="00444B1D"/>
    <w:rsid w:val="00444D0D"/>
    <w:rsid w:val="00444F29"/>
    <w:rsid w:val="00445074"/>
    <w:rsid w:val="0044523F"/>
    <w:rsid w:val="00445696"/>
    <w:rsid w:val="004457B3"/>
    <w:rsid w:val="004457EE"/>
    <w:rsid w:val="004458FE"/>
    <w:rsid w:val="004459E0"/>
    <w:rsid w:val="004459E7"/>
    <w:rsid w:val="00445ACA"/>
    <w:rsid w:val="00445E43"/>
    <w:rsid w:val="00445E58"/>
    <w:rsid w:val="00445F1B"/>
    <w:rsid w:val="0044612D"/>
    <w:rsid w:val="004464D0"/>
    <w:rsid w:val="004466FF"/>
    <w:rsid w:val="00446A74"/>
    <w:rsid w:val="00446C0C"/>
    <w:rsid w:val="00446EE6"/>
    <w:rsid w:val="0044719F"/>
    <w:rsid w:val="0044732F"/>
    <w:rsid w:val="00447481"/>
    <w:rsid w:val="004474B7"/>
    <w:rsid w:val="00447544"/>
    <w:rsid w:val="0044764A"/>
    <w:rsid w:val="004478EB"/>
    <w:rsid w:val="00447A84"/>
    <w:rsid w:val="00447AF9"/>
    <w:rsid w:val="00447D41"/>
    <w:rsid w:val="00447E03"/>
    <w:rsid w:val="00450581"/>
    <w:rsid w:val="004509F7"/>
    <w:rsid w:val="00450C5F"/>
    <w:rsid w:val="00450D7E"/>
    <w:rsid w:val="004510AE"/>
    <w:rsid w:val="00451305"/>
    <w:rsid w:val="004514A8"/>
    <w:rsid w:val="004514FE"/>
    <w:rsid w:val="004515A1"/>
    <w:rsid w:val="00451B45"/>
    <w:rsid w:val="004523EC"/>
    <w:rsid w:val="00452551"/>
    <w:rsid w:val="00452574"/>
    <w:rsid w:val="0045268A"/>
    <w:rsid w:val="004526D7"/>
    <w:rsid w:val="004527C2"/>
    <w:rsid w:val="00452D3F"/>
    <w:rsid w:val="00452DE1"/>
    <w:rsid w:val="0045349F"/>
    <w:rsid w:val="00453659"/>
    <w:rsid w:val="00453783"/>
    <w:rsid w:val="00453837"/>
    <w:rsid w:val="00453A9C"/>
    <w:rsid w:val="00453E7A"/>
    <w:rsid w:val="00453E81"/>
    <w:rsid w:val="00453F31"/>
    <w:rsid w:val="004540EB"/>
    <w:rsid w:val="004543FD"/>
    <w:rsid w:val="0045466F"/>
    <w:rsid w:val="00454734"/>
    <w:rsid w:val="00454762"/>
    <w:rsid w:val="004548FF"/>
    <w:rsid w:val="00454915"/>
    <w:rsid w:val="0045494B"/>
    <w:rsid w:val="00454A52"/>
    <w:rsid w:val="00454A86"/>
    <w:rsid w:val="00454B73"/>
    <w:rsid w:val="00454B84"/>
    <w:rsid w:val="00454C20"/>
    <w:rsid w:val="00454CB6"/>
    <w:rsid w:val="00454DB9"/>
    <w:rsid w:val="00454EE3"/>
    <w:rsid w:val="00455066"/>
    <w:rsid w:val="00455C3F"/>
    <w:rsid w:val="00455C8A"/>
    <w:rsid w:val="00455DDC"/>
    <w:rsid w:val="004562B1"/>
    <w:rsid w:val="00456510"/>
    <w:rsid w:val="00456613"/>
    <w:rsid w:val="0045688D"/>
    <w:rsid w:val="00456D2E"/>
    <w:rsid w:val="00456E31"/>
    <w:rsid w:val="00456E7A"/>
    <w:rsid w:val="00456F1E"/>
    <w:rsid w:val="00456FB0"/>
    <w:rsid w:val="004570CC"/>
    <w:rsid w:val="00457284"/>
    <w:rsid w:val="00457371"/>
    <w:rsid w:val="00457CCD"/>
    <w:rsid w:val="00457E14"/>
    <w:rsid w:val="00457E56"/>
    <w:rsid w:val="00457F34"/>
    <w:rsid w:val="0046061E"/>
    <w:rsid w:val="00460992"/>
    <w:rsid w:val="00460B5D"/>
    <w:rsid w:val="00461357"/>
    <w:rsid w:val="004613AB"/>
    <w:rsid w:val="0046163D"/>
    <w:rsid w:val="00461674"/>
    <w:rsid w:val="00461707"/>
    <w:rsid w:val="00461779"/>
    <w:rsid w:val="00461964"/>
    <w:rsid w:val="004620CF"/>
    <w:rsid w:val="004620EE"/>
    <w:rsid w:val="0046221D"/>
    <w:rsid w:val="00462310"/>
    <w:rsid w:val="00462490"/>
    <w:rsid w:val="0046277A"/>
    <w:rsid w:val="004629DF"/>
    <w:rsid w:val="00462C4F"/>
    <w:rsid w:val="00462D51"/>
    <w:rsid w:val="00462DF9"/>
    <w:rsid w:val="004636D2"/>
    <w:rsid w:val="004639F5"/>
    <w:rsid w:val="00463A43"/>
    <w:rsid w:val="00463A7F"/>
    <w:rsid w:val="00463D59"/>
    <w:rsid w:val="00463DAE"/>
    <w:rsid w:val="00463FAC"/>
    <w:rsid w:val="004640E0"/>
    <w:rsid w:val="00464128"/>
    <w:rsid w:val="00464386"/>
    <w:rsid w:val="00464550"/>
    <w:rsid w:val="00464607"/>
    <w:rsid w:val="00464618"/>
    <w:rsid w:val="00464B41"/>
    <w:rsid w:val="00464C25"/>
    <w:rsid w:val="004650F6"/>
    <w:rsid w:val="004651B1"/>
    <w:rsid w:val="004656A3"/>
    <w:rsid w:val="00465856"/>
    <w:rsid w:val="0046595A"/>
    <w:rsid w:val="00465B4D"/>
    <w:rsid w:val="00465F47"/>
    <w:rsid w:val="0046618C"/>
    <w:rsid w:val="00466223"/>
    <w:rsid w:val="00466318"/>
    <w:rsid w:val="004664BC"/>
    <w:rsid w:val="00466BF0"/>
    <w:rsid w:val="00466D31"/>
    <w:rsid w:val="004672EE"/>
    <w:rsid w:val="004675DC"/>
    <w:rsid w:val="004678C6"/>
    <w:rsid w:val="00467A6D"/>
    <w:rsid w:val="00467D2C"/>
    <w:rsid w:val="00467D51"/>
    <w:rsid w:val="00467FE9"/>
    <w:rsid w:val="00470019"/>
    <w:rsid w:val="004700D2"/>
    <w:rsid w:val="004701BD"/>
    <w:rsid w:val="00470260"/>
    <w:rsid w:val="004704B5"/>
    <w:rsid w:val="004705D5"/>
    <w:rsid w:val="0047077D"/>
    <w:rsid w:val="004708FB"/>
    <w:rsid w:val="00470B6C"/>
    <w:rsid w:val="00470CBF"/>
    <w:rsid w:val="00470ED6"/>
    <w:rsid w:val="00470FC8"/>
    <w:rsid w:val="004715ED"/>
    <w:rsid w:val="0047167C"/>
    <w:rsid w:val="0047168B"/>
    <w:rsid w:val="0047179A"/>
    <w:rsid w:val="0047199D"/>
    <w:rsid w:val="00471D6F"/>
    <w:rsid w:val="00471F90"/>
    <w:rsid w:val="0047207E"/>
    <w:rsid w:val="00472098"/>
    <w:rsid w:val="004721A2"/>
    <w:rsid w:val="00472624"/>
    <w:rsid w:val="004729D7"/>
    <w:rsid w:val="00472AD3"/>
    <w:rsid w:val="00472D27"/>
    <w:rsid w:val="00472E94"/>
    <w:rsid w:val="00472F4A"/>
    <w:rsid w:val="00473421"/>
    <w:rsid w:val="00473AE7"/>
    <w:rsid w:val="00473C12"/>
    <w:rsid w:val="00473D6B"/>
    <w:rsid w:val="00474177"/>
    <w:rsid w:val="004744AE"/>
    <w:rsid w:val="004746EB"/>
    <w:rsid w:val="00474743"/>
    <w:rsid w:val="00474862"/>
    <w:rsid w:val="00474E3B"/>
    <w:rsid w:val="0047513C"/>
    <w:rsid w:val="00475327"/>
    <w:rsid w:val="00475467"/>
    <w:rsid w:val="00475801"/>
    <w:rsid w:val="0047596B"/>
    <w:rsid w:val="00475E06"/>
    <w:rsid w:val="00475F68"/>
    <w:rsid w:val="00475FBD"/>
    <w:rsid w:val="004765CA"/>
    <w:rsid w:val="00476830"/>
    <w:rsid w:val="00476C29"/>
    <w:rsid w:val="00477394"/>
    <w:rsid w:val="004774A8"/>
    <w:rsid w:val="0047786C"/>
    <w:rsid w:val="00477CF8"/>
    <w:rsid w:val="00477E56"/>
    <w:rsid w:val="00480325"/>
    <w:rsid w:val="00480407"/>
    <w:rsid w:val="004805CE"/>
    <w:rsid w:val="0048067D"/>
    <w:rsid w:val="004807B1"/>
    <w:rsid w:val="0048097A"/>
    <w:rsid w:val="00480BC0"/>
    <w:rsid w:val="00480C6E"/>
    <w:rsid w:val="00480FF2"/>
    <w:rsid w:val="004812BE"/>
    <w:rsid w:val="00481302"/>
    <w:rsid w:val="00481306"/>
    <w:rsid w:val="00481539"/>
    <w:rsid w:val="004819AE"/>
    <w:rsid w:val="004819ED"/>
    <w:rsid w:val="00481CC4"/>
    <w:rsid w:val="00481D42"/>
    <w:rsid w:val="00481DAD"/>
    <w:rsid w:val="0048205A"/>
    <w:rsid w:val="0048222E"/>
    <w:rsid w:val="0048251C"/>
    <w:rsid w:val="004827F3"/>
    <w:rsid w:val="00482AE1"/>
    <w:rsid w:val="00483537"/>
    <w:rsid w:val="0048366F"/>
    <w:rsid w:val="00483A6E"/>
    <w:rsid w:val="00483AA0"/>
    <w:rsid w:val="00483B87"/>
    <w:rsid w:val="00483B9F"/>
    <w:rsid w:val="00483DB0"/>
    <w:rsid w:val="00483EA5"/>
    <w:rsid w:val="00484090"/>
    <w:rsid w:val="004841BD"/>
    <w:rsid w:val="00484549"/>
    <w:rsid w:val="00484592"/>
    <w:rsid w:val="004846B4"/>
    <w:rsid w:val="00484912"/>
    <w:rsid w:val="00484E66"/>
    <w:rsid w:val="004850B2"/>
    <w:rsid w:val="004850E3"/>
    <w:rsid w:val="0048527E"/>
    <w:rsid w:val="004853CA"/>
    <w:rsid w:val="004853DE"/>
    <w:rsid w:val="00485429"/>
    <w:rsid w:val="004855E5"/>
    <w:rsid w:val="00485663"/>
    <w:rsid w:val="00485843"/>
    <w:rsid w:val="00485ACA"/>
    <w:rsid w:val="00485C90"/>
    <w:rsid w:val="00485DC0"/>
    <w:rsid w:val="00485F81"/>
    <w:rsid w:val="00486298"/>
    <w:rsid w:val="004863EC"/>
    <w:rsid w:val="00486763"/>
    <w:rsid w:val="004868B2"/>
    <w:rsid w:val="00486A8D"/>
    <w:rsid w:val="00486AEC"/>
    <w:rsid w:val="00486C9E"/>
    <w:rsid w:val="00486DF8"/>
    <w:rsid w:val="00486F89"/>
    <w:rsid w:val="0048700B"/>
    <w:rsid w:val="00487278"/>
    <w:rsid w:val="00487424"/>
    <w:rsid w:val="00487874"/>
    <w:rsid w:val="00487BAA"/>
    <w:rsid w:val="00487BC1"/>
    <w:rsid w:val="00487BED"/>
    <w:rsid w:val="00487F1B"/>
    <w:rsid w:val="00487F91"/>
    <w:rsid w:val="00487FA6"/>
    <w:rsid w:val="004904D4"/>
    <w:rsid w:val="004904EC"/>
    <w:rsid w:val="004905A6"/>
    <w:rsid w:val="00490846"/>
    <w:rsid w:val="0049090F"/>
    <w:rsid w:val="00490DBC"/>
    <w:rsid w:val="00491384"/>
    <w:rsid w:val="00491426"/>
    <w:rsid w:val="00491467"/>
    <w:rsid w:val="00491821"/>
    <w:rsid w:val="00491878"/>
    <w:rsid w:val="00491898"/>
    <w:rsid w:val="00491B52"/>
    <w:rsid w:val="00491E3E"/>
    <w:rsid w:val="00491F2D"/>
    <w:rsid w:val="0049238E"/>
    <w:rsid w:val="004923BE"/>
    <w:rsid w:val="004923C2"/>
    <w:rsid w:val="00492460"/>
    <w:rsid w:val="00492797"/>
    <w:rsid w:val="00492A95"/>
    <w:rsid w:val="00492B72"/>
    <w:rsid w:val="00492FAB"/>
    <w:rsid w:val="0049306C"/>
    <w:rsid w:val="004930A3"/>
    <w:rsid w:val="004934FF"/>
    <w:rsid w:val="00493678"/>
    <w:rsid w:val="00493AC9"/>
    <w:rsid w:val="00493B34"/>
    <w:rsid w:val="00493D56"/>
    <w:rsid w:val="004940F5"/>
    <w:rsid w:val="00494128"/>
    <w:rsid w:val="00494208"/>
    <w:rsid w:val="004946D9"/>
    <w:rsid w:val="004949A7"/>
    <w:rsid w:val="00494B1C"/>
    <w:rsid w:val="00494C16"/>
    <w:rsid w:val="00495264"/>
    <w:rsid w:val="00495443"/>
    <w:rsid w:val="00495444"/>
    <w:rsid w:val="00495490"/>
    <w:rsid w:val="004956ED"/>
    <w:rsid w:val="004959F0"/>
    <w:rsid w:val="00495C52"/>
    <w:rsid w:val="00495E29"/>
    <w:rsid w:val="00495FE9"/>
    <w:rsid w:val="004961DF"/>
    <w:rsid w:val="0049647D"/>
    <w:rsid w:val="00496675"/>
    <w:rsid w:val="004968A8"/>
    <w:rsid w:val="00496ACA"/>
    <w:rsid w:val="00496B4B"/>
    <w:rsid w:val="00496B53"/>
    <w:rsid w:val="00496C49"/>
    <w:rsid w:val="00496D7F"/>
    <w:rsid w:val="0049746A"/>
    <w:rsid w:val="004976DE"/>
    <w:rsid w:val="004978ED"/>
    <w:rsid w:val="0049791B"/>
    <w:rsid w:val="00497988"/>
    <w:rsid w:val="00497C38"/>
    <w:rsid w:val="00497E3A"/>
    <w:rsid w:val="00497E67"/>
    <w:rsid w:val="00497F07"/>
    <w:rsid w:val="00497F5B"/>
    <w:rsid w:val="004A0306"/>
    <w:rsid w:val="004A0651"/>
    <w:rsid w:val="004A0792"/>
    <w:rsid w:val="004A087F"/>
    <w:rsid w:val="004A0AFD"/>
    <w:rsid w:val="004A0B99"/>
    <w:rsid w:val="004A0D1C"/>
    <w:rsid w:val="004A128B"/>
    <w:rsid w:val="004A1328"/>
    <w:rsid w:val="004A1457"/>
    <w:rsid w:val="004A16C6"/>
    <w:rsid w:val="004A1711"/>
    <w:rsid w:val="004A1785"/>
    <w:rsid w:val="004A19A0"/>
    <w:rsid w:val="004A1E3A"/>
    <w:rsid w:val="004A24F7"/>
    <w:rsid w:val="004A2A28"/>
    <w:rsid w:val="004A2C1A"/>
    <w:rsid w:val="004A2C6A"/>
    <w:rsid w:val="004A2CE3"/>
    <w:rsid w:val="004A2E99"/>
    <w:rsid w:val="004A36D5"/>
    <w:rsid w:val="004A37DF"/>
    <w:rsid w:val="004A3927"/>
    <w:rsid w:val="004A3ACB"/>
    <w:rsid w:val="004A40DC"/>
    <w:rsid w:val="004A4258"/>
    <w:rsid w:val="004A443F"/>
    <w:rsid w:val="004A48A4"/>
    <w:rsid w:val="004A4997"/>
    <w:rsid w:val="004A49AE"/>
    <w:rsid w:val="004A49D3"/>
    <w:rsid w:val="004A4A80"/>
    <w:rsid w:val="004A4CE6"/>
    <w:rsid w:val="004A4F04"/>
    <w:rsid w:val="004A5105"/>
    <w:rsid w:val="004A5153"/>
    <w:rsid w:val="004A53D6"/>
    <w:rsid w:val="004A54BF"/>
    <w:rsid w:val="004A5A37"/>
    <w:rsid w:val="004A5B02"/>
    <w:rsid w:val="004A5D50"/>
    <w:rsid w:val="004A5F26"/>
    <w:rsid w:val="004A60C7"/>
    <w:rsid w:val="004A62B2"/>
    <w:rsid w:val="004A6587"/>
    <w:rsid w:val="004A68B9"/>
    <w:rsid w:val="004A6969"/>
    <w:rsid w:val="004A6AD8"/>
    <w:rsid w:val="004A6B37"/>
    <w:rsid w:val="004A7035"/>
    <w:rsid w:val="004A73E7"/>
    <w:rsid w:val="004A7446"/>
    <w:rsid w:val="004A74A9"/>
    <w:rsid w:val="004A7696"/>
    <w:rsid w:val="004A76E3"/>
    <w:rsid w:val="004A7A33"/>
    <w:rsid w:val="004A7A96"/>
    <w:rsid w:val="004A7BCC"/>
    <w:rsid w:val="004A7C58"/>
    <w:rsid w:val="004A7D50"/>
    <w:rsid w:val="004A7DCA"/>
    <w:rsid w:val="004A7F29"/>
    <w:rsid w:val="004B060D"/>
    <w:rsid w:val="004B0C43"/>
    <w:rsid w:val="004B13EB"/>
    <w:rsid w:val="004B1639"/>
    <w:rsid w:val="004B1753"/>
    <w:rsid w:val="004B1ABF"/>
    <w:rsid w:val="004B1D25"/>
    <w:rsid w:val="004B1D55"/>
    <w:rsid w:val="004B20FB"/>
    <w:rsid w:val="004B2208"/>
    <w:rsid w:val="004B25DD"/>
    <w:rsid w:val="004B28A9"/>
    <w:rsid w:val="004B2A1A"/>
    <w:rsid w:val="004B2A25"/>
    <w:rsid w:val="004B2B11"/>
    <w:rsid w:val="004B2BB3"/>
    <w:rsid w:val="004B2D21"/>
    <w:rsid w:val="004B2D3B"/>
    <w:rsid w:val="004B330D"/>
    <w:rsid w:val="004B3400"/>
    <w:rsid w:val="004B3489"/>
    <w:rsid w:val="004B3723"/>
    <w:rsid w:val="004B3766"/>
    <w:rsid w:val="004B376C"/>
    <w:rsid w:val="004B3803"/>
    <w:rsid w:val="004B3912"/>
    <w:rsid w:val="004B3962"/>
    <w:rsid w:val="004B3AF1"/>
    <w:rsid w:val="004B3B16"/>
    <w:rsid w:val="004B3C5B"/>
    <w:rsid w:val="004B3C78"/>
    <w:rsid w:val="004B3C93"/>
    <w:rsid w:val="004B46DE"/>
    <w:rsid w:val="004B4737"/>
    <w:rsid w:val="004B4AAF"/>
    <w:rsid w:val="004B4B5E"/>
    <w:rsid w:val="004B4F5D"/>
    <w:rsid w:val="004B51B9"/>
    <w:rsid w:val="004B5220"/>
    <w:rsid w:val="004B52C7"/>
    <w:rsid w:val="004B55C6"/>
    <w:rsid w:val="004B5693"/>
    <w:rsid w:val="004B5696"/>
    <w:rsid w:val="004B5737"/>
    <w:rsid w:val="004B5B9A"/>
    <w:rsid w:val="004B6081"/>
    <w:rsid w:val="004B6118"/>
    <w:rsid w:val="004B640A"/>
    <w:rsid w:val="004B692B"/>
    <w:rsid w:val="004B6D75"/>
    <w:rsid w:val="004B6E76"/>
    <w:rsid w:val="004B6FF7"/>
    <w:rsid w:val="004B7015"/>
    <w:rsid w:val="004B71FB"/>
    <w:rsid w:val="004B7223"/>
    <w:rsid w:val="004B763D"/>
    <w:rsid w:val="004B7758"/>
    <w:rsid w:val="004B7888"/>
    <w:rsid w:val="004B78F1"/>
    <w:rsid w:val="004B7939"/>
    <w:rsid w:val="004B796F"/>
    <w:rsid w:val="004B7A63"/>
    <w:rsid w:val="004B7B57"/>
    <w:rsid w:val="004C02F1"/>
    <w:rsid w:val="004C0798"/>
    <w:rsid w:val="004C0B81"/>
    <w:rsid w:val="004C0C41"/>
    <w:rsid w:val="004C0CC8"/>
    <w:rsid w:val="004C0F31"/>
    <w:rsid w:val="004C12C7"/>
    <w:rsid w:val="004C17FD"/>
    <w:rsid w:val="004C1BE6"/>
    <w:rsid w:val="004C1CEE"/>
    <w:rsid w:val="004C1D55"/>
    <w:rsid w:val="004C1EC3"/>
    <w:rsid w:val="004C2030"/>
    <w:rsid w:val="004C21A2"/>
    <w:rsid w:val="004C2252"/>
    <w:rsid w:val="004C27E6"/>
    <w:rsid w:val="004C290D"/>
    <w:rsid w:val="004C2B73"/>
    <w:rsid w:val="004C2C7E"/>
    <w:rsid w:val="004C2D7B"/>
    <w:rsid w:val="004C3050"/>
    <w:rsid w:val="004C31C5"/>
    <w:rsid w:val="004C32FB"/>
    <w:rsid w:val="004C33E1"/>
    <w:rsid w:val="004C34A8"/>
    <w:rsid w:val="004C3616"/>
    <w:rsid w:val="004C3682"/>
    <w:rsid w:val="004C3742"/>
    <w:rsid w:val="004C3762"/>
    <w:rsid w:val="004C37EA"/>
    <w:rsid w:val="004C3981"/>
    <w:rsid w:val="004C3C15"/>
    <w:rsid w:val="004C4001"/>
    <w:rsid w:val="004C4139"/>
    <w:rsid w:val="004C4304"/>
    <w:rsid w:val="004C4388"/>
    <w:rsid w:val="004C43A8"/>
    <w:rsid w:val="004C43FA"/>
    <w:rsid w:val="004C445B"/>
    <w:rsid w:val="004C45EC"/>
    <w:rsid w:val="004C469B"/>
    <w:rsid w:val="004C4872"/>
    <w:rsid w:val="004C4964"/>
    <w:rsid w:val="004C4976"/>
    <w:rsid w:val="004C4C3A"/>
    <w:rsid w:val="004C4FD0"/>
    <w:rsid w:val="004C5060"/>
    <w:rsid w:val="004C5091"/>
    <w:rsid w:val="004C50F4"/>
    <w:rsid w:val="004C51A2"/>
    <w:rsid w:val="004C5B03"/>
    <w:rsid w:val="004C5BC0"/>
    <w:rsid w:val="004C5C38"/>
    <w:rsid w:val="004C5D86"/>
    <w:rsid w:val="004C5EAD"/>
    <w:rsid w:val="004C5FF9"/>
    <w:rsid w:val="004C6114"/>
    <w:rsid w:val="004C614F"/>
    <w:rsid w:val="004C634A"/>
    <w:rsid w:val="004C6621"/>
    <w:rsid w:val="004C6BB9"/>
    <w:rsid w:val="004C6ECF"/>
    <w:rsid w:val="004C6F46"/>
    <w:rsid w:val="004C6F86"/>
    <w:rsid w:val="004C7128"/>
    <w:rsid w:val="004C7830"/>
    <w:rsid w:val="004C7A20"/>
    <w:rsid w:val="004C7B2F"/>
    <w:rsid w:val="004C7BC3"/>
    <w:rsid w:val="004C7C49"/>
    <w:rsid w:val="004C7FAE"/>
    <w:rsid w:val="004D01C1"/>
    <w:rsid w:val="004D05EC"/>
    <w:rsid w:val="004D0670"/>
    <w:rsid w:val="004D06C6"/>
    <w:rsid w:val="004D0B49"/>
    <w:rsid w:val="004D0CAD"/>
    <w:rsid w:val="004D0CF8"/>
    <w:rsid w:val="004D0E2A"/>
    <w:rsid w:val="004D1210"/>
    <w:rsid w:val="004D1239"/>
    <w:rsid w:val="004D13E2"/>
    <w:rsid w:val="004D17C5"/>
    <w:rsid w:val="004D19EC"/>
    <w:rsid w:val="004D1A77"/>
    <w:rsid w:val="004D1B14"/>
    <w:rsid w:val="004D1E32"/>
    <w:rsid w:val="004D21DB"/>
    <w:rsid w:val="004D2576"/>
    <w:rsid w:val="004D2868"/>
    <w:rsid w:val="004D2872"/>
    <w:rsid w:val="004D2A78"/>
    <w:rsid w:val="004D2B67"/>
    <w:rsid w:val="004D2E4C"/>
    <w:rsid w:val="004D34CA"/>
    <w:rsid w:val="004D354D"/>
    <w:rsid w:val="004D3D00"/>
    <w:rsid w:val="004D3D68"/>
    <w:rsid w:val="004D3D6B"/>
    <w:rsid w:val="004D3E57"/>
    <w:rsid w:val="004D4013"/>
    <w:rsid w:val="004D427B"/>
    <w:rsid w:val="004D459F"/>
    <w:rsid w:val="004D46BB"/>
    <w:rsid w:val="004D47C7"/>
    <w:rsid w:val="004D4D65"/>
    <w:rsid w:val="004D4D7A"/>
    <w:rsid w:val="004D4E4A"/>
    <w:rsid w:val="004D5070"/>
    <w:rsid w:val="004D5140"/>
    <w:rsid w:val="004D5188"/>
    <w:rsid w:val="004D5247"/>
    <w:rsid w:val="004D5768"/>
    <w:rsid w:val="004D5781"/>
    <w:rsid w:val="004D5803"/>
    <w:rsid w:val="004D58A7"/>
    <w:rsid w:val="004D5B4E"/>
    <w:rsid w:val="004D5D88"/>
    <w:rsid w:val="004D5E0B"/>
    <w:rsid w:val="004D5F8B"/>
    <w:rsid w:val="004D6021"/>
    <w:rsid w:val="004D615F"/>
    <w:rsid w:val="004D67C2"/>
    <w:rsid w:val="004D68D4"/>
    <w:rsid w:val="004D6905"/>
    <w:rsid w:val="004D6EC6"/>
    <w:rsid w:val="004D731F"/>
    <w:rsid w:val="004D75ED"/>
    <w:rsid w:val="004D77E0"/>
    <w:rsid w:val="004D7984"/>
    <w:rsid w:val="004D7F37"/>
    <w:rsid w:val="004E03B3"/>
    <w:rsid w:val="004E03D3"/>
    <w:rsid w:val="004E04D2"/>
    <w:rsid w:val="004E0504"/>
    <w:rsid w:val="004E0578"/>
    <w:rsid w:val="004E0644"/>
    <w:rsid w:val="004E0882"/>
    <w:rsid w:val="004E088A"/>
    <w:rsid w:val="004E0A0F"/>
    <w:rsid w:val="004E0A9A"/>
    <w:rsid w:val="004E0A9F"/>
    <w:rsid w:val="004E0B90"/>
    <w:rsid w:val="004E0EFA"/>
    <w:rsid w:val="004E0F83"/>
    <w:rsid w:val="004E14F5"/>
    <w:rsid w:val="004E1783"/>
    <w:rsid w:val="004E18AD"/>
    <w:rsid w:val="004E1DBA"/>
    <w:rsid w:val="004E1DC4"/>
    <w:rsid w:val="004E1E02"/>
    <w:rsid w:val="004E23A6"/>
    <w:rsid w:val="004E24C2"/>
    <w:rsid w:val="004E251C"/>
    <w:rsid w:val="004E26C8"/>
    <w:rsid w:val="004E27E4"/>
    <w:rsid w:val="004E2D49"/>
    <w:rsid w:val="004E2D57"/>
    <w:rsid w:val="004E2D97"/>
    <w:rsid w:val="004E3024"/>
    <w:rsid w:val="004E323A"/>
    <w:rsid w:val="004E3275"/>
    <w:rsid w:val="004E32EA"/>
    <w:rsid w:val="004E32F9"/>
    <w:rsid w:val="004E3934"/>
    <w:rsid w:val="004E41E6"/>
    <w:rsid w:val="004E434B"/>
    <w:rsid w:val="004E4534"/>
    <w:rsid w:val="004E47FA"/>
    <w:rsid w:val="004E48A4"/>
    <w:rsid w:val="004E4971"/>
    <w:rsid w:val="004E4FD8"/>
    <w:rsid w:val="004E5965"/>
    <w:rsid w:val="004E5AE1"/>
    <w:rsid w:val="004E5BEB"/>
    <w:rsid w:val="004E5C45"/>
    <w:rsid w:val="004E5CD6"/>
    <w:rsid w:val="004E5F0E"/>
    <w:rsid w:val="004E60D0"/>
    <w:rsid w:val="004E6588"/>
    <w:rsid w:val="004E65E9"/>
    <w:rsid w:val="004E6A67"/>
    <w:rsid w:val="004E7100"/>
    <w:rsid w:val="004E7162"/>
    <w:rsid w:val="004E746C"/>
    <w:rsid w:val="004E759B"/>
    <w:rsid w:val="004E7817"/>
    <w:rsid w:val="004E78C2"/>
    <w:rsid w:val="004E7A55"/>
    <w:rsid w:val="004E7AE4"/>
    <w:rsid w:val="004E7BB7"/>
    <w:rsid w:val="004E7BED"/>
    <w:rsid w:val="004E7D2D"/>
    <w:rsid w:val="004E7E56"/>
    <w:rsid w:val="004E7E60"/>
    <w:rsid w:val="004E7E8D"/>
    <w:rsid w:val="004F045C"/>
    <w:rsid w:val="004F05C5"/>
    <w:rsid w:val="004F0650"/>
    <w:rsid w:val="004F0816"/>
    <w:rsid w:val="004F098D"/>
    <w:rsid w:val="004F0FA2"/>
    <w:rsid w:val="004F1076"/>
    <w:rsid w:val="004F13DF"/>
    <w:rsid w:val="004F176C"/>
    <w:rsid w:val="004F1AC3"/>
    <w:rsid w:val="004F1AE6"/>
    <w:rsid w:val="004F1B3C"/>
    <w:rsid w:val="004F1C3C"/>
    <w:rsid w:val="004F1D8F"/>
    <w:rsid w:val="004F1FA1"/>
    <w:rsid w:val="004F200F"/>
    <w:rsid w:val="004F2035"/>
    <w:rsid w:val="004F20CA"/>
    <w:rsid w:val="004F20FB"/>
    <w:rsid w:val="004F21EC"/>
    <w:rsid w:val="004F2241"/>
    <w:rsid w:val="004F230B"/>
    <w:rsid w:val="004F23B0"/>
    <w:rsid w:val="004F242E"/>
    <w:rsid w:val="004F24AB"/>
    <w:rsid w:val="004F2617"/>
    <w:rsid w:val="004F26F2"/>
    <w:rsid w:val="004F28CC"/>
    <w:rsid w:val="004F29BD"/>
    <w:rsid w:val="004F29C0"/>
    <w:rsid w:val="004F2BB1"/>
    <w:rsid w:val="004F2D38"/>
    <w:rsid w:val="004F2E45"/>
    <w:rsid w:val="004F2F98"/>
    <w:rsid w:val="004F34E3"/>
    <w:rsid w:val="004F3639"/>
    <w:rsid w:val="004F395A"/>
    <w:rsid w:val="004F3A0C"/>
    <w:rsid w:val="004F3B0F"/>
    <w:rsid w:val="004F3DD3"/>
    <w:rsid w:val="004F3F36"/>
    <w:rsid w:val="004F407C"/>
    <w:rsid w:val="004F4373"/>
    <w:rsid w:val="004F445F"/>
    <w:rsid w:val="004F44F3"/>
    <w:rsid w:val="004F4B51"/>
    <w:rsid w:val="004F4D0C"/>
    <w:rsid w:val="004F4DE6"/>
    <w:rsid w:val="004F4ED1"/>
    <w:rsid w:val="004F5040"/>
    <w:rsid w:val="004F52A5"/>
    <w:rsid w:val="004F542C"/>
    <w:rsid w:val="004F56B2"/>
    <w:rsid w:val="004F5750"/>
    <w:rsid w:val="004F57C2"/>
    <w:rsid w:val="004F5C7D"/>
    <w:rsid w:val="004F614F"/>
    <w:rsid w:val="004F6674"/>
    <w:rsid w:val="004F67AC"/>
    <w:rsid w:val="004F695A"/>
    <w:rsid w:val="004F6AE1"/>
    <w:rsid w:val="004F6C2E"/>
    <w:rsid w:val="004F6F6B"/>
    <w:rsid w:val="004F7102"/>
    <w:rsid w:val="004F7179"/>
    <w:rsid w:val="004F7270"/>
    <w:rsid w:val="004F72E7"/>
    <w:rsid w:val="004F75A7"/>
    <w:rsid w:val="004F76AB"/>
    <w:rsid w:val="004F77B6"/>
    <w:rsid w:val="004F77D7"/>
    <w:rsid w:val="004F7815"/>
    <w:rsid w:val="004F787E"/>
    <w:rsid w:val="004F7C30"/>
    <w:rsid w:val="004F7CBF"/>
    <w:rsid w:val="004F7F1E"/>
    <w:rsid w:val="00500270"/>
    <w:rsid w:val="00500481"/>
    <w:rsid w:val="005005A8"/>
    <w:rsid w:val="00500A64"/>
    <w:rsid w:val="00500B68"/>
    <w:rsid w:val="00500B83"/>
    <w:rsid w:val="00500BEC"/>
    <w:rsid w:val="00500C8B"/>
    <w:rsid w:val="00500CB6"/>
    <w:rsid w:val="00501250"/>
    <w:rsid w:val="005016A1"/>
    <w:rsid w:val="00501908"/>
    <w:rsid w:val="00501A80"/>
    <w:rsid w:val="00501B5D"/>
    <w:rsid w:val="00501F78"/>
    <w:rsid w:val="0050218C"/>
    <w:rsid w:val="005023C2"/>
    <w:rsid w:val="0050246C"/>
    <w:rsid w:val="005024CB"/>
    <w:rsid w:val="005027D2"/>
    <w:rsid w:val="00502CB5"/>
    <w:rsid w:val="00502CEB"/>
    <w:rsid w:val="00502D44"/>
    <w:rsid w:val="00502DF7"/>
    <w:rsid w:val="00502FA4"/>
    <w:rsid w:val="00503055"/>
    <w:rsid w:val="00503315"/>
    <w:rsid w:val="0050333C"/>
    <w:rsid w:val="005033C4"/>
    <w:rsid w:val="0050343A"/>
    <w:rsid w:val="00503887"/>
    <w:rsid w:val="005038DA"/>
    <w:rsid w:val="00503BB4"/>
    <w:rsid w:val="00503BEA"/>
    <w:rsid w:val="00503C2E"/>
    <w:rsid w:val="00503DCA"/>
    <w:rsid w:val="00503F9F"/>
    <w:rsid w:val="00504091"/>
    <w:rsid w:val="00504106"/>
    <w:rsid w:val="005044C2"/>
    <w:rsid w:val="005044D6"/>
    <w:rsid w:val="00504608"/>
    <w:rsid w:val="005047E6"/>
    <w:rsid w:val="0050490A"/>
    <w:rsid w:val="00504AAD"/>
    <w:rsid w:val="00504C74"/>
    <w:rsid w:val="00504C98"/>
    <w:rsid w:val="00504D60"/>
    <w:rsid w:val="0050544A"/>
    <w:rsid w:val="0050593B"/>
    <w:rsid w:val="00505973"/>
    <w:rsid w:val="00505CBC"/>
    <w:rsid w:val="00505F47"/>
    <w:rsid w:val="00506283"/>
    <w:rsid w:val="005064BA"/>
    <w:rsid w:val="005066D2"/>
    <w:rsid w:val="00506C03"/>
    <w:rsid w:val="00506FC4"/>
    <w:rsid w:val="005070D9"/>
    <w:rsid w:val="005075DE"/>
    <w:rsid w:val="005077BC"/>
    <w:rsid w:val="005077DE"/>
    <w:rsid w:val="0050787F"/>
    <w:rsid w:val="00507887"/>
    <w:rsid w:val="0050788D"/>
    <w:rsid w:val="00507B68"/>
    <w:rsid w:val="005102B6"/>
    <w:rsid w:val="00510521"/>
    <w:rsid w:val="005105ED"/>
    <w:rsid w:val="005109BE"/>
    <w:rsid w:val="00510AE1"/>
    <w:rsid w:val="00510B5B"/>
    <w:rsid w:val="00510EB3"/>
    <w:rsid w:val="00510F1D"/>
    <w:rsid w:val="0051111E"/>
    <w:rsid w:val="0051117D"/>
    <w:rsid w:val="005111F0"/>
    <w:rsid w:val="00511257"/>
    <w:rsid w:val="005113CD"/>
    <w:rsid w:val="00511455"/>
    <w:rsid w:val="005117AB"/>
    <w:rsid w:val="00511F4E"/>
    <w:rsid w:val="00511F7E"/>
    <w:rsid w:val="005122B8"/>
    <w:rsid w:val="00512465"/>
    <w:rsid w:val="005126A1"/>
    <w:rsid w:val="00512A32"/>
    <w:rsid w:val="00512B26"/>
    <w:rsid w:val="00512CD9"/>
    <w:rsid w:val="00513090"/>
    <w:rsid w:val="00513118"/>
    <w:rsid w:val="0051312E"/>
    <w:rsid w:val="00513781"/>
    <w:rsid w:val="005138DA"/>
    <w:rsid w:val="00513969"/>
    <w:rsid w:val="00513B85"/>
    <w:rsid w:val="00513EA2"/>
    <w:rsid w:val="00513EDD"/>
    <w:rsid w:val="00513FF9"/>
    <w:rsid w:val="00514626"/>
    <w:rsid w:val="00514B3E"/>
    <w:rsid w:val="00514BAF"/>
    <w:rsid w:val="00514BCD"/>
    <w:rsid w:val="00514ED8"/>
    <w:rsid w:val="00514F87"/>
    <w:rsid w:val="00515026"/>
    <w:rsid w:val="00515085"/>
    <w:rsid w:val="00515211"/>
    <w:rsid w:val="005152B1"/>
    <w:rsid w:val="00515471"/>
    <w:rsid w:val="00515763"/>
    <w:rsid w:val="00515AE9"/>
    <w:rsid w:val="00515B5D"/>
    <w:rsid w:val="005163BF"/>
    <w:rsid w:val="00516494"/>
    <w:rsid w:val="005164FB"/>
    <w:rsid w:val="005168AE"/>
    <w:rsid w:val="00516BA6"/>
    <w:rsid w:val="005173CA"/>
    <w:rsid w:val="005173E6"/>
    <w:rsid w:val="005175A3"/>
    <w:rsid w:val="0051794A"/>
    <w:rsid w:val="00517BF1"/>
    <w:rsid w:val="0052002C"/>
    <w:rsid w:val="00520052"/>
    <w:rsid w:val="0052040A"/>
    <w:rsid w:val="0052070D"/>
    <w:rsid w:val="005207F1"/>
    <w:rsid w:val="005207F4"/>
    <w:rsid w:val="00520AC7"/>
    <w:rsid w:val="00520CA8"/>
    <w:rsid w:val="00520CB9"/>
    <w:rsid w:val="00520EC5"/>
    <w:rsid w:val="00521223"/>
    <w:rsid w:val="00521284"/>
    <w:rsid w:val="005213B8"/>
    <w:rsid w:val="005214AD"/>
    <w:rsid w:val="0052155B"/>
    <w:rsid w:val="005219B5"/>
    <w:rsid w:val="00521C0A"/>
    <w:rsid w:val="00522317"/>
    <w:rsid w:val="00522F80"/>
    <w:rsid w:val="005230A0"/>
    <w:rsid w:val="00523179"/>
    <w:rsid w:val="005232D3"/>
    <w:rsid w:val="0052330F"/>
    <w:rsid w:val="00523396"/>
    <w:rsid w:val="0052342D"/>
    <w:rsid w:val="0052343E"/>
    <w:rsid w:val="005234CB"/>
    <w:rsid w:val="005234FA"/>
    <w:rsid w:val="0052381C"/>
    <w:rsid w:val="005238EF"/>
    <w:rsid w:val="00523C06"/>
    <w:rsid w:val="00523F56"/>
    <w:rsid w:val="00523F62"/>
    <w:rsid w:val="00523FCD"/>
    <w:rsid w:val="00524216"/>
    <w:rsid w:val="005243F7"/>
    <w:rsid w:val="00524515"/>
    <w:rsid w:val="00524656"/>
    <w:rsid w:val="0052486F"/>
    <w:rsid w:val="00524972"/>
    <w:rsid w:val="00524AC0"/>
    <w:rsid w:val="00524EF3"/>
    <w:rsid w:val="005250F4"/>
    <w:rsid w:val="005252ED"/>
    <w:rsid w:val="005254A8"/>
    <w:rsid w:val="00525506"/>
    <w:rsid w:val="005256BB"/>
    <w:rsid w:val="005257E1"/>
    <w:rsid w:val="005257EE"/>
    <w:rsid w:val="00525855"/>
    <w:rsid w:val="0052593D"/>
    <w:rsid w:val="005259E7"/>
    <w:rsid w:val="00525AFC"/>
    <w:rsid w:val="00525C61"/>
    <w:rsid w:val="00525E21"/>
    <w:rsid w:val="00526043"/>
    <w:rsid w:val="005261D3"/>
    <w:rsid w:val="00526277"/>
    <w:rsid w:val="005262A4"/>
    <w:rsid w:val="00526401"/>
    <w:rsid w:val="0052659F"/>
    <w:rsid w:val="0052667F"/>
    <w:rsid w:val="005267C8"/>
    <w:rsid w:val="00526978"/>
    <w:rsid w:val="00526A42"/>
    <w:rsid w:val="00526ABC"/>
    <w:rsid w:val="00526CDB"/>
    <w:rsid w:val="00526FF5"/>
    <w:rsid w:val="005271F0"/>
    <w:rsid w:val="00527289"/>
    <w:rsid w:val="0052734B"/>
    <w:rsid w:val="00527DF4"/>
    <w:rsid w:val="00527FEE"/>
    <w:rsid w:val="005300F2"/>
    <w:rsid w:val="00530133"/>
    <w:rsid w:val="005301C6"/>
    <w:rsid w:val="0053032A"/>
    <w:rsid w:val="005304E9"/>
    <w:rsid w:val="00530673"/>
    <w:rsid w:val="005306FC"/>
    <w:rsid w:val="0053086C"/>
    <w:rsid w:val="00530AFE"/>
    <w:rsid w:val="00530CE4"/>
    <w:rsid w:val="00530D42"/>
    <w:rsid w:val="00530FA2"/>
    <w:rsid w:val="00531425"/>
    <w:rsid w:val="0053160B"/>
    <w:rsid w:val="0053163E"/>
    <w:rsid w:val="005319F8"/>
    <w:rsid w:val="00531D8D"/>
    <w:rsid w:val="00531DF4"/>
    <w:rsid w:val="00531F69"/>
    <w:rsid w:val="00532110"/>
    <w:rsid w:val="0053219A"/>
    <w:rsid w:val="00532256"/>
    <w:rsid w:val="005322F9"/>
    <w:rsid w:val="005323CD"/>
    <w:rsid w:val="005329F4"/>
    <w:rsid w:val="00532E8D"/>
    <w:rsid w:val="00533742"/>
    <w:rsid w:val="00533764"/>
    <w:rsid w:val="00533787"/>
    <w:rsid w:val="005337C4"/>
    <w:rsid w:val="005337D2"/>
    <w:rsid w:val="005339FB"/>
    <w:rsid w:val="0053420F"/>
    <w:rsid w:val="005348A7"/>
    <w:rsid w:val="005348F0"/>
    <w:rsid w:val="00534B61"/>
    <w:rsid w:val="00534F7E"/>
    <w:rsid w:val="00535038"/>
    <w:rsid w:val="00535365"/>
    <w:rsid w:val="00535506"/>
    <w:rsid w:val="00535572"/>
    <w:rsid w:val="00535CAF"/>
    <w:rsid w:val="00535CBA"/>
    <w:rsid w:val="00535D44"/>
    <w:rsid w:val="00535E28"/>
    <w:rsid w:val="00536178"/>
    <w:rsid w:val="00536210"/>
    <w:rsid w:val="005366DD"/>
    <w:rsid w:val="00536755"/>
    <w:rsid w:val="005367B0"/>
    <w:rsid w:val="005367FA"/>
    <w:rsid w:val="00536854"/>
    <w:rsid w:val="00536870"/>
    <w:rsid w:val="00536B01"/>
    <w:rsid w:val="00536CFB"/>
    <w:rsid w:val="00536ECD"/>
    <w:rsid w:val="00536EF1"/>
    <w:rsid w:val="00537337"/>
    <w:rsid w:val="0053743D"/>
    <w:rsid w:val="0053765A"/>
    <w:rsid w:val="0053791D"/>
    <w:rsid w:val="00537D0B"/>
    <w:rsid w:val="00537D26"/>
    <w:rsid w:val="00537F29"/>
    <w:rsid w:val="00537FE0"/>
    <w:rsid w:val="00540126"/>
    <w:rsid w:val="005402D5"/>
    <w:rsid w:val="00540573"/>
    <w:rsid w:val="00540585"/>
    <w:rsid w:val="005406C3"/>
    <w:rsid w:val="0054072E"/>
    <w:rsid w:val="00540839"/>
    <w:rsid w:val="00540958"/>
    <w:rsid w:val="00540AF9"/>
    <w:rsid w:val="00540BD5"/>
    <w:rsid w:val="00540F6B"/>
    <w:rsid w:val="00541143"/>
    <w:rsid w:val="00541294"/>
    <w:rsid w:val="0054129E"/>
    <w:rsid w:val="0054135D"/>
    <w:rsid w:val="00541423"/>
    <w:rsid w:val="00541AE4"/>
    <w:rsid w:val="00541BE7"/>
    <w:rsid w:val="00541C99"/>
    <w:rsid w:val="00541E67"/>
    <w:rsid w:val="00541E70"/>
    <w:rsid w:val="00541F3A"/>
    <w:rsid w:val="0054202A"/>
    <w:rsid w:val="00542341"/>
    <w:rsid w:val="00542347"/>
    <w:rsid w:val="0054253B"/>
    <w:rsid w:val="00542C9C"/>
    <w:rsid w:val="005432CC"/>
    <w:rsid w:val="00543446"/>
    <w:rsid w:val="0054345C"/>
    <w:rsid w:val="00543795"/>
    <w:rsid w:val="0054386C"/>
    <w:rsid w:val="00543C71"/>
    <w:rsid w:val="00543EE4"/>
    <w:rsid w:val="0054410A"/>
    <w:rsid w:val="005441B0"/>
    <w:rsid w:val="005441F5"/>
    <w:rsid w:val="005441FD"/>
    <w:rsid w:val="00544210"/>
    <w:rsid w:val="00544257"/>
    <w:rsid w:val="00544540"/>
    <w:rsid w:val="00544715"/>
    <w:rsid w:val="005447B4"/>
    <w:rsid w:val="005447E7"/>
    <w:rsid w:val="00544928"/>
    <w:rsid w:val="00544C4D"/>
    <w:rsid w:val="00544D49"/>
    <w:rsid w:val="00544E67"/>
    <w:rsid w:val="00544FF0"/>
    <w:rsid w:val="0054500A"/>
    <w:rsid w:val="005450D1"/>
    <w:rsid w:val="00545550"/>
    <w:rsid w:val="00545691"/>
    <w:rsid w:val="005458A0"/>
    <w:rsid w:val="005458ED"/>
    <w:rsid w:val="00545AB0"/>
    <w:rsid w:val="00545E86"/>
    <w:rsid w:val="00546083"/>
    <w:rsid w:val="00546700"/>
    <w:rsid w:val="00546730"/>
    <w:rsid w:val="0054706B"/>
    <w:rsid w:val="005471D4"/>
    <w:rsid w:val="0054733F"/>
    <w:rsid w:val="00547470"/>
    <w:rsid w:val="005476F2"/>
    <w:rsid w:val="00547A73"/>
    <w:rsid w:val="00547C2A"/>
    <w:rsid w:val="00547DAE"/>
    <w:rsid w:val="00547EA1"/>
    <w:rsid w:val="00547F62"/>
    <w:rsid w:val="005500CF"/>
    <w:rsid w:val="00550373"/>
    <w:rsid w:val="00550569"/>
    <w:rsid w:val="005506FE"/>
    <w:rsid w:val="0055075F"/>
    <w:rsid w:val="005508F9"/>
    <w:rsid w:val="00550C81"/>
    <w:rsid w:val="00550CB0"/>
    <w:rsid w:val="00550CE2"/>
    <w:rsid w:val="00551003"/>
    <w:rsid w:val="005511E7"/>
    <w:rsid w:val="00551322"/>
    <w:rsid w:val="00551BB6"/>
    <w:rsid w:val="00551D2C"/>
    <w:rsid w:val="00551E0B"/>
    <w:rsid w:val="00551F0B"/>
    <w:rsid w:val="00551FAD"/>
    <w:rsid w:val="00552215"/>
    <w:rsid w:val="00552CF9"/>
    <w:rsid w:val="00552EE9"/>
    <w:rsid w:val="005531E0"/>
    <w:rsid w:val="005532C2"/>
    <w:rsid w:val="005532D0"/>
    <w:rsid w:val="0055354F"/>
    <w:rsid w:val="00553633"/>
    <w:rsid w:val="005538DA"/>
    <w:rsid w:val="00553C3C"/>
    <w:rsid w:val="0055416D"/>
    <w:rsid w:val="005542DA"/>
    <w:rsid w:val="005542F3"/>
    <w:rsid w:val="00554537"/>
    <w:rsid w:val="005545CC"/>
    <w:rsid w:val="0055467E"/>
    <w:rsid w:val="00554714"/>
    <w:rsid w:val="005547C2"/>
    <w:rsid w:val="00554CD9"/>
    <w:rsid w:val="00554D5D"/>
    <w:rsid w:val="00554E75"/>
    <w:rsid w:val="0055526A"/>
    <w:rsid w:val="0055530C"/>
    <w:rsid w:val="005557C0"/>
    <w:rsid w:val="00555C70"/>
    <w:rsid w:val="00555C8E"/>
    <w:rsid w:val="00555D9A"/>
    <w:rsid w:val="00555FB6"/>
    <w:rsid w:val="00556098"/>
    <w:rsid w:val="00556116"/>
    <w:rsid w:val="0055620B"/>
    <w:rsid w:val="00556525"/>
    <w:rsid w:val="00556589"/>
    <w:rsid w:val="005565FB"/>
    <w:rsid w:val="00556887"/>
    <w:rsid w:val="005568A7"/>
    <w:rsid w:val="00556900"/>
    <w:rsid w:val="00556A27"/>
    <w:rsid w:val="00556CA3"/>
    <w:rsid w:val="00556DB3"/>
    <w:rsid w:val="005572B3"/>
    <w:rsid w:val="00557349"/>
    <w:rsid w:val="00557385"/>
    <w:rsid w:val="00557414"/>
    <w:rsid w:val="005574AF"/>
    <w:rsid w:val="005574BD"/>
    <w:rsid w:val="0055753E"/>
    <w:rsid w:val="00557557"/>
    <w:rsid w:val="00557A41"/>
    <w:rsid w:val="00557E9B"/>
    <w:rsid w:val="00560081"/>
    <w:rsid w:val="00560099"/>
    <w:rsid w:val="00560A86"/>
    <w:rsid w:val="00560ACF"/>
    <w:rsid w:val="00560CE4"/>
    <w:rsid w:val="00560CF9"/>
    <w:rsid w:val="00561012"/>
    <w:rsid w:val="005615BC"/>
    <w:rsid w:val="005615BD"/>
    <w:rsid w:val="005615E0"/>
    <w:rsid w:val="005616EF"/>
    <w:rsid w:val="00561911"/>
    <w:rsid w:val="00561967"/>
    <w:rsid w:val="00561E28"/>
    <w:rsid w:val="00561F3C"/>
    <w:rsid w:val="00562012"/>
    <w:rsid w:val="005624BD"/>
    <w:rsid w:val="0056279E"/>
    <w:rsid w:val="00562820"/>
    <w:rsid w:val="00562840"/>
    <w:rsid w:val="005628EF"/>
    <w:rsid w:val="00562994"/>
    <w:rsid w:val="00562F3D"/>
    <w:rsid w:val="00562FAA"/>
    <w:rsid w:val="00562FBA"/>
    <w:rsid w:val="005630C7"/>
    <w:rsid w:val="00563673"/>
    <w:rsid w:val="0056370D"/>
    <w:rsid w:val="00563A49"/>
    <w:rsid w:val="00563AB1"/>
    <w:rsid w:val="00563D89"/>
    <w:rsid w:val="00563F02"/>
    <w:rsid w:val="00564018"/>
    <w:rsid w:val="0056413A"/>
    <w:rsid w:val="0056421D"/>
    <w:rsid w:val="00564275"/>
    <w:rsid w:val="00564383"/>
    <w:rsid w:val="00564542"/>
    <w:rsid w:val="005646F6"/>
    <w:rsid w:val="00564A5F"/>
    <w:rsid w:val="005652AF"/>
    <w:rsid w:val="005652B7"/>
    <w:rsid w:val="00565344"/>
    <w:rsid w:val="00565690"/>
    <w:rsid w:val="005657D1"/>
    <w:rsid w:val="005657F4"/>
    <w:rsid w:val="0056583F"/>
    <w:rsid w:val="00565AB8"/>
    <w:rsid w:val="005662DA"/>
    <w:rsid w:val="00566511"/>
    <w:rsid w:val="00566B33"/>
    <w:rsid w:val="00566F4F"/>
    <w:rsid w:val="00567294"/>
    <w:rsid w:val="00567556"/>
    <w:rsid w:val="0056781D"/>
    <w:rsid w:val="0056788C"/>
    <w:rsid w:val="00567C39"/>
    <w:rsid w:val="00567E35"/>
    <w:rsid w:val="00567F9B"/>
    <w:rsid w:val="00570286"/>
    <w:rsid w:val="005703E9"/>
    <w:rsid w:val="0057061D"/>
    <w:rsid w:val="0057075C"/>
    <w:rsid w:val="00570A3B"/>
    <w:rsid w:val="00570C0E"/>
    <w:rsid w:val="00570EE4"/>
    <w:rsid w:val="00570F1A"/>
    <w:rsid w:val="00571127"/>
    <w:rsid w:val="0057134E"/>
    <w:rsid w:val="00571362"/>
    <w:rsid w:val="005714CF"/>
    <w:rsid w:val="005714E5"/>
    <w:rsid w:val="00571679"/>
    <w:rsid w:val="00571C8F"/>
    <w:rsid w:val="00571FE2"/>
    <w:rsid w:val="005720A2"/>
    <w:rsid w:val="00572374"/>
    <w:rsid w:val="0057259C"/>
    <w:rsid w:val="00572727"/>
    <w:rsid w:val="00572931"/>
    <w:rsid w:val="00572B80"/>
    <w:rsid w:val="00572BD4"/>
    <w:rsid w:val="00572D84"/>
    <w:rsid w:val="005730CA"/>
    <w:rsid w:val="00573353"/>
    <w:rsid w:val="00573609"/>
    <w:rsid w:val="005736AE"/>
    <w:rsid w:val="00573701"/>
    <w:rsid w:val="0057402B"/>
    <w:rsid w:val="0057420E"/>
    <w:rsid w:val="00574214"/>
    <w:rsid w:val="005743FD"/>
    <w:rsid w:val="00574472"/>
    <w:rsid w:val="00574503"/>
    <w:rsid w:val="00574764"/>
    <w:rsid w:val="0057488A"/>
    <w:rsid w:val="00574C19"/>
    <w:rsid w:val="00574FF8"/>
    <w:rsid w:val="00575051"/>
    <w:rsid w:val="00575144"/>
    <w:rsid w:val="00575181"/>
    <w:rsid w:val="0057531F"/>
    <w:rsid w:val="00575413"/>
    <w:rsid w:val="0057541F"/>
    <w:rsid w:val="005755DE"/>
    <w:rsid w:val="00575947"/>
    <w:rsid w:val="00575B35"/>
    <w:rsid w:val="00575BBE"/>
    <w:rsid w:val="00575DFA"/>
    <w:rsid w:val="00575E1C"/>
    <w:rsid w:val="00575F79"/>
    <w:rsid w:val="00576047"/>
    <w:rsid w:val="00576078"/>
    <w:rsid w:val="00576399"/>
    <w:rsid w:val="005764B4"/>
    <w:rsid w:val="00576555"/>
    <w:rsid w:val="0057667C"/>
    <w:rsid w:val="00576AAD"/>
    <w:rsid w:val="00576DBA"/>
    <w:rsid w:val="00576ED1"/>
    <w:rsid w:val="005770A9"/>
    <w:rsid w:val="005775F4"/>
    <w:rsid w:val="005776D8"/>
    <w:rsid w:val="00577ADE"/>
    <w:rsid w:val="00577C2B"/>
    <w:rsid w:val="00577EE0"/>
    <w:rsid w:val="005804A8"/>
    <w:rsid w:val="005804D9"/>
    <w:rsid w:val="00580812"/>
    <w:rsid w:val="005808E9"/>
    <w:rsid w:val="00580B3E"/>
    <w:rsid w:val="00580B76"/>
    <w:rsid w:val="00580D5A"/>
    <w:rsid w:val="00580D85"/>
    <w:rsid w:val="00580F7E"/>
    <w:rsid w:val="00581586"/>
    <w:rsid w:val="005817AD"/>
    <w:rsid w:val="00581949"/>
    <w:rsid w:val="005819FB"/>
    <w:rsid w:val="00581B08"/>
    <w:rsid w:val="00581E3F"/>
    <w:rsid w:val="00581EC3"/>
    <w:rsid w:val="00582296"/>
    <w:rsid w:val="0058249C"/>
    <w:rsid w:val="005824EC"/>
    <w:rsid w:val="0058269C"/>
    <w:rsid w:val="005828F7"/>
    <w:rsid w:val="00582B71"/>
    <w:rsid w:val="00582D03"/>
    <w:rsid w:val="005834E9"/>
    <w:rsid w:val="00583574"/>
    <w:rsid w:val="0058358D"/>
    <w:rsid w:val="0058377F"/>
    <w:rsid w:val="00583AFB"/>
    <w:rsid w:val="00583B2F"/>
    <w:rsid w:val="00583B45"/>
    <w:rsid w:val="00583BFF"/>
    <w:rsid w:val="00583C4E"/>
    <w:rsid w:val="00583FC3"/>
    <w:rsid w:val="0058426E"/>
    <w:rsid w:val="005843F9"/>
    <w:rsid w:val="00584491"/>
    <w:rsid w:val="005844EA"/>
    <w:rsid w:val="0058489D"/>
    <w:rsid w:val="00584914"/>
    <w:rsid w:val="0058498D"/>
    <w:rsid w:val="00584A98"/>
    <w:rsid w:val="00584E9D"/>
    <w:rsid w:val="005850D2"/>
    <w:rsid w:val="00585254"/>
    <w:rsid w:val="00585285"/>
    <w:rsid w:val="00585393"/>
    <w:rsid w:val="005853E7"/>
    <w:rsid w:val="0058540A"/>
    <w:rsid w:val="0058547D"/>
    <w:rsid w:val="00585632"/>
    <w:rsid w:val="0058592D"/>
    <w:rsid w:val="00586060"/>
    <w:rsid w:val="00586214"/>
    <w:rsid w:val="00586240"/>
    <w:rsid w:val="00586451"/>
    <w:rsid w:val="0058647F"/>
    <w:rsid w:val="00586750"/>
    <w:rsid w:val="0058697A"/>
    <w:rsid w:val="00586AA0"/>
    <w:rsid w:val="00586DFC"/>
    <w:rsid w:val="005870B1"/>
    <w:rsid w:val="0058728D"/>
    <w:rsid w:val="00587344"/>
    <w:rsid w:val="005873EE"/>
    <w:rsid w:val="0058741B"/>
    <w:rsid w:val="0058765A"/>
    <w:rsid w:val="00587917"/>
    <w:rsid w:val="00587CBF"/>
    <w:rsid w:val="00587FF2"/>
    <w:rsid w:val="00590079"/>
    <w:rsid w:val="005903A0"/>
    <w:rsid w:val="00590FCC"/>
    <w:rsid w:val="00591120"/>
    <w:rsid w:val="0059127E"/>
    <w:rsid w:val="00591D7C"/>
    <w:rsid w:val="00591EA5"/>
    <w:rsid w:val="00592640"/>
    <w:rsid w:val="0059266C"/>
    <w:rsid w:val="00592692"/>
    <w:rsid w:val="00592851"/>
    <w:rsid w:val="005929FB"/>
    <w:rsid w:val="00592B49"/>
    <w:rsid w:val="00592C39"/>
    <w:rsid w:val="00592C67"/>
    <w:rsid w:val="00592EFA"/>
    <w:rsid w:val="00592F23"/>
    <w:rsid w:val="00592F2E"/>
    <w:rsid w:val="005930CD"/>
    <w:rsid w:val="005933F5"/>
    <w:rsid w:val="00593641"/>
    <w:rsid w:val="00593B19"/>
    <w:rsid w:val="00593CC6"/>
    <w:rsid w:val="00593E26"/>
    <w:rsid w:val="00593EED"/>
    <w:rsid w:val="005943A8"/>
    <w:rsid w:val="00594795"/>
    <w:rsid w:val="00594889"/>
    <w:rsid w:val="0059494E"/>
    <w:rsid w:val="005949F1"/>
    <w:rsid w:val="00594A54"/>
    <w:rsid w:val="00594B22"/>
    <w:rsid w:val="00594B37"/>
    <w:rsid w:val="00594B9E"/>
    <w:rsid w:val="00594BF5"/>
    <w:rsid w:val="00594D5D"/>
    <w:rsid w:val="00594DC0"/>
    <w:rsid w:val="005953A7"/>
    <w:rsid w:val="00595AA1"/>
    <w:rsid w:val="00595EFE"/>
    <w:rsid w:val="005960FF"/>
    <w:rsid w:val="005967FE"/>
    <w:rsid w:val="00596D7A"/>
    <w:rsid w:val="00596DE2"/>
    <w:rsid w:val="00597063"/>
    <w:rsid w:val="005970FF"/>
    <w:rsid w:val="00597143"/>
    <w:rsid w:val="00597385"/>
    <w:rsid w:val="005974BE"/>
    <w:rsid w:val="005976AB"/>
    <w:rsid w:val="005976D6"/>
    <w:rsid w:val="00597A74"/>
    <w:rsid w:val="00597B3C"/>
    <w:rsid w:val="00597E7A"/>
    <w:rsid w:val="00597F20"/>
    <w:rsid w:val="005A0163"/>
    <w:rsid w:val="005A0424"/>
    <w:rsid w:val="005A05D2"/>
    <w:rsid w:val="005A0819"/>
    <w:rsid w:val="005A083E"/>
    <w:rsid w:val="005A0919"/>
    <w:rsid w:val="005A0D4C"/>
    <w:rsid w:val="005A0EA2"/>
    <w:rsid w:val="005A0EE6"/>
    <w:rsid w:val="005A1249"/>
    <w:rsid w:val="005A162F"/>
    <w:rsid w:val="005A184D"/>
    <w:rsid w:val="005A1A01"/>
    <w:rsid w:val="005A1AD2"/>
    <w:rsid w:val="005A1AD5"/>
    <w:rsid w:val="005A1AF6"/>
    <w:rsid w:val="005A1DFB"/>
    <w:rsid w:val="005A1F19"/>
    <w:rsid w:val="005A1F76"/>
    <w:rsid w:val="005A204A"/>
    <w:rsid w:val="005A207A"/>
    <w:rsid w:val="005A20AB"/>
    <w:rsid w:val="005A214C"/>
    <w:rsid w:val="005A266C"/>
    <w:rsid w:val="005A26C7"/>
    <w:rsid w:val="005A2949"/>
    <w:rsid w:val="005A2B2B"/>
    <w:rsid w:val="005A2BB1"/>
    <w:rsid w:val="005A2DC4"/>
    <w:rsid w:val="005A315B"/>
    <w:rsid w:val="005A322A"/>
    <w:rsid w:val="005A3486"/>
    <w:rsid w:val="005A34C9"/>
    <w:rsid w:val="005A3552"/>
    <w:rsid w:val="005A3B13"/>
    <w:rsid w:val="005A3D0B"/>
    <w:rsid w:val="005A3E7E"/>
    <w:rsid w:val="005A42E7"/>
    <w:rsid w:val="005A4468"/>
    <w:rsid w:val="005A4522"/>
    <w:rsid w:val="005A452C"/>
    <w:rsid w:val="005A45F8"/>
    <w:rsid w:val="005A4660"/>
    <w:rsid w:val="005A47A7"/>
    <w:rsid w:val="005A485B"/>
    <w:rsid w:val="005A4B36"/>
    <w:rsid w:val="005A4BF6"/>
    <w:rsid w:val="005A519E"/>
    <w:rsid w:val="005A548A"/>
    <w:rsid w:val="005A553F"/>
    <w:rsid w:val="005A55F6"/>
    <w:rsid w:val="005A580F"/>
    <w:rsid w:val="005A5D4A"/>
    <w:rsid w:val="005A600E"/>
    <w:rsid w:val="005A635A"/>
    <w:rsid w:val="005A63D8"/>
    <w:rsid w:val="005A6432"/>
    <w:rsid w:val="005A677F"/>
    <w:rsid w:val="005A685A"/>
    <w:rsid w:val="005A6D99"/>
    <w:rsid w:val="005A783C"/>
    <w:rsid w:val="005A7BED"/>
    <w:rsid w:val="005A7DD5"/>
    <w:rsid w:val="005A7DEF"/>
    <w:rsid w:val="005A7EAA"/>
    <w:rsid w:val="005A7F46"/>
    <w:rsid w:val="005B0018"/>
    <w:rsid w:val="005B0038"/>
    <w:rsid w:val="005B00DB"/>
    <w:rsid w:val="005B00E4"/>
    <w:rsid w:val="005B040F"/>
    <w:rsid w:val="005B0670"/>
    <w:rsid w:val="005B08B5"/>
    <w:rsid w:val="005B0912"/>
    <w:rsid w:val="005B0960"/>
    <w:rsid w:val="005B09CE"/>
    <w:rsid w:val="005B0CF0"/>
    <w:rsid w:val="005B0D35"/>
    <w:rsid w:val="005B0DCA"/>
    <w:rsid w:val="005B0DDD"/>
    <w:rsid w:val="005B0F93"/>
    <w:rsid w:val="005B12A8"/>
    <w:rsid w:val="005B141E"/>
    <w:rsid w:val="005B16E9"/>
    <w:rsid w:val="005B1861"/>
    <w:rsid w:val="005B189B"/>
    <w:rsid w:val="005B1952"/>
    <w:rsid w:val="005B1A4A"/>
    <w:rsid w:val="005B1B68"/>
    <w:rsid w:val="005B1B8A"/>
    <w:rsid w:val="005B2071"/>
    <w:rsid w:val="005B2522"/>
    <w:rsid w:val="005B29BC"/>
    <w:rsid w:val="005B2E55"/>
    <w:rsid w:val="005B2FF9"/>
    <w:rsid w:val="005B3018"/>
    <w:rsid w:val="005B304F"/>
    <w:rsid w:val="005B32EC"/>
    <w:rsid w:val="005B3408"/>
    <w:rsid w:val="005B3425"/>
    <w:rsid w:val="005B3782"/>
    <w:rsid w:val="005B397D"/>
    <w:rsid w:val="005B3BD1"/>
    <w:rsid w:val="005B41A2"/>
    <w:rsid w:val="005B4355"/>
    <w:rsid w:val="005B48DA"/>
    <w:rsid w:val="005B4ABE"/>
    <w:rsid w:val="005B4B0D"/>
    <w:rsid w:val="005B4E18"/>
    <w:rsid w:val="005B4ECB"/>
    <w:rsid w:val="005B51E0"/>
    <w:rsid w:val="005B5214"/>
    <w:rsid w:val="005B5312"/>
    <w:rsid w:val="005B532E"/>
    <w:rsid w:val="005B53CE"/>
    <w:rsid w:val="005B540F"/>
    <w:rsid w:val="005B55D1"/>
    <w:rsid w:val="005B57AA"/>
    <w:rsid w:val="005B5937"/>
    <w:rsid w:val="005B5F39"/>
    <w:rsid w:val="005B6480"/>
    <w:rsid w:val="005B682E"/>
    <w:rsid w:val="005B68E1"/>
    <w:rsid w:val="005B69A4"/>
    <w:rsid w:val="005B6D54"/>
    <w:rsid w:val="005B714D"/>
    <w:rsid w:val="005B71F6"/>
    <w:rsid w:val="005B743C"/>
    <w:rsid w:val="005B74CA"/>
    <w:rsid w:val="005B7545"/>
    <w:rsid w:val="005B76AB"/>
    <w:rsid w:val="005B7961"/>
    <w:rsid w:val="005B7B3B"/>
    <w:rsid w:val="005B7CEB"/>
    <w:rsid w:val="005B7D64"/>
    <w:rsid w:val="005B7E1A"/>
    <w:rsid w:val="005B7F04"/>
    <w:rsid w:val="005C0098"/>
    <w:rsid w:val="005C009C"/>
    <w:rsid w:val="005C04F5"/>
    <w:rsid w:val="005C0897"/>
    <w:rsid w:val="005C08EA"/>
    <w:rsid w:val="005C0A1B"/>
    <w:rsid w:val="005C0D1A"/>
    <w:rsid w:val="005C0DA0"/>
    <w:rsid w:val="005C0FDF"/>
    <w:rsid w:val="005C1165"/>
    <w:rsid w:val="005C130B"/>
    <w:rsid w:val="005C1AE2"/>
    <w:rsid w:val="005C1BFC"/>
    <w:rsid w:val="005C1C81"/>
    <w:rsid w:val="005C1C99"/>
    <w:rsid w:val="005C1E0C"/>
    <w:rsid w:val="005C2441"/>
    <w:rsid w:val="005C24AB"/>
    <w:rsid w:val="005C2531"/>
    <w:rsid w:val="005C2654"/>
    <w:rsid w:val="005C26DC"/>
    <w:rsid w:val="005C2726"/>
    <w:rsid w:val="005C2C30"/>
    <w:rsid w:val="005C2C51"/>
    <w:rsid w:val="005C2E8F"/>
    <w:rsid w:val="005C3041"/>
    <w:rsid w:val="005C31AE"/>
    <w:rsid w:val="005C3322"/>
    <w:rsid w:val="005C3462"/>
    <w:rsid w:val="005C375D"/>
    <w:rsid w:val="005C3981"/>
    <w:rsid w:val="005C39B0"/>
    <w:rsid w:val="005C3C58"/>
    <w:rsid w:val="005C41B5"/>
    <w:rsid w:val="005C4209"/>
    <w:rsid w:val="005C428D"/>
    <w:rsid w:val="005C4324"/>
    <w:rsid w:val="005C4525"/>
    <w:rsid w:val="005C4B75"/>
    <w:rsid w:val="005C4F23"/>
    <w:rsid w:val="005C5097"/>
    <w:rsid w:val="005C5127"/>
    <w:rsid w:val="005C5155"/>
    <w:rsid w:val="005C5156"/>
    <w:rsid w:val="005C597B"/>
    <w:rsid w:val="005C5A01"/>
    <w:rsid w:val="005C5FBF"/>
    <w:rsid w:val="005C5FE1"/>
    <w:rsid w:val="005C6074"/>
    <w:rsid w:val="005C62F9"/>
    <w:rsid w:val="005C684D"/>
    <w:rsid w:val="005C68AC"/>
    <w:rsid w:val="005C69AA"/>
    <w:rsid w:val="005C69D2"/>
    <w:rsid w:val="005C6B8C"/>
    <w:rsid w:val="005C6BD6"/>
    <w:rsid w:val="005C6BDC"/>
    <w:rsid w:val="005C7201"/>
    <w:rsid w:val="005C780B"/>
    <w:rsid w:val="005C788F"/>
    <w:rsid w:val="005C7B2E"/>
    <w:rsid w:val="005D0107"/>
    <w:rsid w:val="005D0198"/>
    <w:rsid w:val="005D0199"/>
    <w:rsid w:val="005D01A6"/>
    <w:rsid w:val="005D01E5"/>
    <w:rsid w:val="005D03B7"/>
    <w:rsid w:val="005D0C03"/>
    <w:rsid w:val="005D0CBD"/>
    <w:rsid w:val="005D0DBC"/>
    <w:rsid w:val="005D0FCD"/>
    <w:rsid w:val="005D1340"/>
    <w:rsid w:val="005D1420"/>
    <w:rsid w:val="005D154A"/>
    <w:rsid w:val="005D15CD"/>
    <w:rsid w:val="005D1CCB"/>
    <w:rsid w:val="005D1FE9"/>
    <w:rsid w:val="005D20DC"/>
    <w:rsid w:val="005D23E5"/>
    <w:rsid w:val="005D253D"/>
    <w:rsid w:val="005D2BD1"/>
    <w:rsid w:val="005D2F1A"/>
    <w:rsid w:val="005D3258"/>
    <w:rsid w:val="005D346A"/>
    <w:rsid w:val="005D370E"/>
    <w:rsid w:val="005D37D3"/>
    <w:rsid w:val="005D3F89"/>
    <w:rsid w:val="005D42CA"/>
    <w:rsid w:val="005D42F4"/>
    <w:rsid w:val="005D44BE"/>
    <w:rsid w:val="005D44F2"/>
    <w:rsid w:val="005D497A"/>
    <w:rsid w:val="005D4A17"/>
    <w:rsid w:val="005D4B35"/>
    <w:rsid w:val="005D51AB"/>
    <w:rsid w:val="005D555A"/>
    <w:rsid w:val="005D5629"/>
    <w:rsid w:val="005D58C0"/>
    <w:rsid w:val="005D58D5"/>
    <w:rsid w:val="005D5A79"/>
    <w:rsid w:val="005D5BF1"/>
    <w:rsid w:val="005D5C80"/>
    <w:rsid w:val="005D5D0A"/>
    <w:rsid w:val="005D6194"/>
    <w:rsid w:val="005D630A"/>
    <w:rsid w:val="005D652B"/>
    <w:rsid w:val="005D6A31"/>
    <w:rsid w:val="005D6ACE"/>
    <w:rsid w:val="005D6D13"/>
    <w:rsid w:val="005D6D8F"/>
    <w:rsid w:val="005D6E7F"/>
    <w:rsid w:val="005D6F74"/>
    <w:rsid w:val="005D75FB"/>
    <w:rsid w:val="005D770D"/>
    <w:rsid w:val="005D7847"/>
    <w:rsid w:val="005D78A5"/>
    <w:rsid w:val="005D7AEA"/>
    <w:rsid w:val="005D7C7B"/>
    <w:rsid w:val="005E0397"/>
    <w:rsid w:val="005E03FE"/>
    <w:rsid w:val="005E08A2"/>
    <w:rsid w:val="005E0A93"/>
    <w:rsid w:val="005E0D8F"/>
    <w:rsid w:val="005E0D93"/>
    <w:rsid w:val="005E0DF7"/>
    <w:rsid w:val="005E1570"/>
    <w:rsid w:val="005E166B"/>
    <w:rsid w:val="005E176A"/>
    <w:rsid w:val="005E1C38"/>
    <w:rsid w:val="005E22F2"/>
    <w:rsid w:val="005E2319"/>
    <w:rsid w:val="005E2512"/>
    <w:rsid w:val="005E260B"/>
    <w:rsid w:val="005E26DE"/>
    <w:rsid w:val="005E275A"/>
    <w:rsid w:val="005E27B6"/>
    <w:rsid w:val="005E27F2"/>
    <w:rsid w:val="005E2996"/>
    <w:rsid w:val="005E2B9E"/>
    <w:rsid w:val="005E2D40"/>
    <w:rsid w:val="005E2FB1"/>
    <w:rsid w:val="005E3057"/>
    <w:rsid w:val="005E31E5"/>
    <w:rsid w:val="005E3388"/>
    <w:rsid w:val="005E340C"/>
    <w:rsid w:val="005E3460"/>
    <w:rsid w:val="005E3503"/>
    <w:rsid w:val="005E36A4"/>
    <w:rsid w:val="005E375E"/>
    <w:rsid w:val="005E375F"/>
    <w:rsid w:val="005E3861"/>
    <w:rsid w:val="005E3963"/>
    <w:rsid w:val="005E39B4"/>
    <w:rsid w:val="005E3A7C"/>
    <w:rsid w:val="005E3B18"/>
    <w:rsid w:val="005E3B82"/>
    <w:rsid w:val="005E3E24"/>
    <w:rsid w:val="005E3FEF"/>
    <w:rsid w:val="005E419D"/>
    <w:rsid w:val="005E41ED"/>
    <w:rsid w:val="005E43BB"/>
    <w:rsid w:val="005E46A0"/>
    <w:rsid w:val="005E48C8"/>
    <w:rsid w:val="005E4CB3"/>
    <w:rsid w:val="005E4E2D"/>
    <w:rsid w:val="005E4E48"/>
    <w:rsid w:val="005E4E6B"/>
    <w:rsid w:val="005E5098"/>
    <w:rsid w:val="005E50C3"/>
    <w:rsid w:val="005E53F7"/>
    <w:rsid w:val="005E5568"/>
    <w:rsid w:val="005E55FA"/>
    <w:rsid w:val="005E5786"/>
    <w:rsid w:val="005E57A8"/>
    <w:rsid w:val="005E592D"/>
    <w:rsid w:val="005E59F9"/>
    <w:rsid w:val="005E5AE9"/>
    <w:rsid w:val="005E5CE3"/>
    <w:rsid w:val="005E5F36"/>
    <w:rsid w:val="005E6045"/>
    <w:rsid w:val="005E64A4"/>
    <w:rsid w:val="005E65ED"/>
    <w:rsid w:val="005E68F7"/>
    <w:rsid w:val="005E6AEF"/>
    <w:rsid w:val="005E6DD1"/>
    <w:rsid w:val="005E700A"/>
    <w:rsid w:val="005E7061"/>
    <w:rsid w:val="005E7100"/>
    <w:rsid w:val="005E7202"/>
    <w:rsid w:val="005E762B"/>
    <w:rsid w:val="005E7781"/>
    <w:rsid w:val="005E7790"/>
    <w:rsid w:val="005E77E6"/>
    <w:rsid w:val="005E78C1"/>
    <w:rsid w:val="005E791A"/>
    <w:rsid w:val="005E7AFE"/>
    <w:rsid w:val="005E7C45"/>
    <w:rsid w:val="005E7D83"/>
    <w:rsid w:val="005E7F0B"/>
    <w:rsid w:val="005F00BF"/>
    <w:rsid w:val="005F02E0"/>
    <w:rsid w:val="005F0450"/>
    <w:rsid w:val="005F046A"/>
    <w:rsid w:val="005F0494"/>
    <w:rsid w:val="005F06D9"/>
    <w:rsid w:val="005F0968"/>
    <w:rsid w:val="005F0A74"/>
    <w:rsid w:val="005F0F71"/>
    <w:rsid w:val="005F0F92"/>
    <w:rsid w:val="005F11D3"/>
    <w:rsid w:val="005F1203"/>
    <w:rsid w:val="005F1457"/>
    <w:rsid w:val="005F1878"/>
    <w:rsid w:val="005F1BCB"/>
    <w:rsid w:val="005F1C9A"/>
    <w:rsid w:val="005F1CA0"/>
    <w:rsid w:val="005F1EB2"/>
    <w:rsid w:val="005F1ED1"/>
    <w:rsid w:val="005F219A"/>
    <w:rsid w:val="005F24DF"/>
    <w:rsid w:val="005F24E1"/>
    <w:rsid w:val="005F27F1"/>
    <w:rsid w:val="005F2866"/>
    <w:rsid w:val="005F2870"/>
    <w:rsid w:val="005F289E"/>
    <w:rsid w:val="005F2983"/>
    <w:rsid w:val="005F2AA8"/>
    <w:rsid w:val="005F2B69"/>
    <w:rsid w:val="005F3068"/>
    <w:rsid w:val="005F3215"/>
    <w:rsid w:val="005F33EF"/>
    <w:rsid w:val="005F3AE3"/>
    <w:rsid w:val="005F3B22"/>
    <w:rsid w:val="005F40D2"/>
    <w:rsid w:val="005F4257"/>
    <w:rsid w:val="005F4389"/>
    <w:rsid w:val="005F43BE"/>
    <w:rsid w:val="005F4479"/>
    <w:rsid w:val="005F44EE"/>
    <w:rsid w:val="005F45D1"/>
    <w:rsid w:val="005F45D4"/>
    <w:rsid w:val="005F4854"/>
    <w:rsid w:val="005F49C8"/>
    <w:rsid w:val="005F4A71"/>
    <w:rsid w:val="005F4A82"/>
    <w:rsid w:val="005F4B7B"/>
    <w:rsid w:val="005F4B91"/>
    <w:rsid w:val="005F4BCA"/>
    <w:rsid w:val="005F514B"/>
    <w:rsid w:val="005F56A9"/>
    <w:rsid w:val="005F56C9"/>
    <w:rsid w:val="005F57FA"/>
    <w:rsid w:val="005F5A13"/>
    <w:rsid w:val="005F5C1D"/>
    <w:rsid w:val="005F5C9A"/>
    <w:rsid w:val="005F5D09"/>
    <w:rsid w:val="005F5D9F"/>
    <w:rsid w:val="005F60A5"/>
    <w:rsid w:val="005F6148"/>
    <w:rsid w:val="005F62A0"/>
    <w:rsid w:val="005F6507"/>
    <w:rsid w:val="005F65F9"/>
    <w:rsid w:val="005F6845"/>
    <w:rsid w:val="005F6FD1"/>
    <w:rsid w:val="005F6FD7"/>
    <w:rsid w:val="005F6FF0"/>
    <w:rsid w:val="005F71E6"/>
    <w:rsid w:val="005F73E4"/>
    <w:rsid w:val="005F74E4"/>
    <w:rsid w:val="005F7780"/>
    <w:rsid w:val="005F781C"/>
    <w:rsid w:val="005F7ABE"/>
    <w:rsid w:val="005F7CE7"/>
    <w:rsid w:val="005F7EDB"/>
    <w:rsid w:val="005F7F36"/>
    <w:rsid w:val="006004C5"/>
    <w:rsid w:val="0060071D"/>
    <w:rsid w:val="00600848"/>
    <w:rsid w:val="0060086A"/>
    <w:rsid w:val="00600A65"/>
    <w:rsid w:val="00600B93"/>
    <w:rsid w:val="00600D50"/>
    <w:rsid w:val="00600F0F"/>
    <w:rsid w:val="0060109B"/>
    <w:rsid w:val="006019CC"/>
    <w:rsid w:val="00601AF6"/>
    <w:rsid w:val="006020B2"/>
    <w:rsid w:val="00602215"/>
    <w:rsid w:val="00602398"/>
    <w:rsid w:val="006025D8"/>
    <w:rsid w:val="00602643"/>
    <w:rsid w:val="006026CF"/>
    <w:rsid w:val="006027AE"/>
    <w:rsid w:val="006027E6"/>
    <w:rsid w:val="00602840"/>
    <w:rsid w:val="00602E03"/>
    <w:rsid w:val="00602EE6"/>
    <w:rsid w:val="00603296"/>
    <w:rsid w:val="0060382D"/>
    <w:rsid w:val="0060390C"/>
    <w:rsid w:val="0060392E"/>
    <w:rsid w:val="00603A4E"/>
    <w:rsid w:val="00603B5F"/>
    <w:rsid w:val="00603BF9"/>
    <w:rsid w:val="00603C99"/>
    <w:rsid w:val="00603D2E"/>
    <w:rsid w:val="00603E3A"/>
    <w:rsid w:val="00603ECA"/>
    <w:rsid w:val="00603EE1"/>
    <w:rsid w:val="00604625"/>
    <w:rsid w:val="0060496E"/>
    <w:rsid w:val="00604AEC"/>
    <w:rsid w:val="00604CB0"/>
    <w:rsid w:val="00604E51"/>
    <w:rsid w:val="00605016"/>
    <w:rsid w:val="006051BA"/>
    <w:rsid w:val="00605253"/>
    <w:rsid w:val="00605458"/>
    <w:rsid w:val="006057C1"/>
    <w:rsid w:val="00605840"/>
    <w:rsid w:val="00605CA0"/>
    <w:rsid w:val="0060601D"/>
    <w:rsid w:val="00606264"/>
    <w:rsid w:val="00606453"/>
    <w:rsid w:val="006067C2"/>
    <w:rsid w:val="00606833"/>
    <w:rsid w:val="006069C0"/>
    <w:rsid w:val="006069C1"/>
    <w:rsid w:val="006069EB"/>
    <w:rsid w:val="00606AFD"/>
    <w:rsid w:val="00606B94"/>
    <w:rsid w:val="00606C84"/>
    <w:rsid w:val="00606DED"/>
    <w:rsid w:val="00606E4F"/>
    <w:rsid w:val="0060707E"/>
    <w:rsid w:val="00607773"/>
    <w:rsid w:val="0060784B"/>
    <w:rsid w:val="00607E66"/>
    <w:rsid w:val="00610070"/>
    <w:rsid w:val="006102C2"/>
    <w:rsid w:val="0061054A"/>
    <w:rsid w:val="006106BD"/>
    <w:rsid w:val="006108A3"/>
    <w:rsid w:val="00610BB6"/>
    <w:rsid w:val="00610E91"/>
    <w:rsid w:val="006115F2"/>
    <w:rsid w:val="0061170F"/>
    <w:rsid w:val="0061183A"/>
    <w:rsid w:val="0061187F"/>
    <w:rsid w:val="00611CD6"/>
    <w:rsid w:val="00611DF5"/>
    <w:rsid w:val="00611E91"/>
    <w:rsid w:val="006120FC"/>
    <w:rsid w:val="00612158"/>
    <w:rsid w:val="00612436"/>
    <w:rsid w:val="006127A3"/>
    <w:rsid w:val="006129DE"/>
    <w:rsid w:val="00613331"/>
    <w:rsid w:val="00613768"/>
    <w:rsid w:val="00613972"/>
    <w:rsid w:val="00613B2D"/>
    <w:rsid w:val="00614379"/>
    <w:rsid w:val="006143BD"/>
    <w:rsid w:val="00614434"/>
    <w:rsid w:val="006146A0"/>
    <w:rsid w:val="006154CF"/>
    <w:rsid w:val="006156A2"/>
    <w:rsid w:val="00615A56"/>
    <w:rsid w:val="00615B25"/>
    <w:rsid w:val="00615BB6"/>
    <w:rsid w:val="00615E42"/>
    <w:rsid w:val="0061600B"/>
    <w:rsid w:val="0061608F"/>
    <w:rsid w:val="0061622D"/>
    <w:rsid w:val="00616280"/>
    <w:rsid w:val="006166FD"/>
    <w:rsid w:val="006168DB"/>
    <w:rsid w:val="00616C60"/>
    <w:rsid w:val="006172AA"/>
    <w:rsid w:val="006173D6"/>
    <w:rsid w:val="00617708"/>
    <w:rsid w:val="00617A6D"/>
    <w:rsid w:val="00617AC0"/>
    <w:rsid w:val="00617B21"/>
    <w:rsid w:val="00617BA2"/>
    <w:rsid w:val="00617E32"/>
    <w:rsid w:val="00617EBA"/>
    <w:rsid w:val="0062018E"/>
    <w:rsid w:val="0062029B"/>
    <w:rsid w:val="00620357"/>
    <w:rsid w:val="006204F0"/>
    <w:rsid w:val="0062069A"/>
    <w:rsid w:val="006206B4"/>
    <w:rsid w:val="00620865"/>
    <w:rsid w:val="0062087E"/>
    <w:rsid w:val="00620AAD"/>
    <w:rsid w:val="00620B6F"/>
    <w:rsid w:val="00620C87"/>
    <w:rsid w:val="00620D9B"/>
    <w:rsid w:val="00620E9C"/>
    <w:rsid w:val="0062117F"/>
    <w:rsid w:val="00621248"/>
    <w:rsid w:val="006219AD"/>
    <w:rsid w:val="00621A71"/>
    <w:rsid w:val="00621ED8"/>
    <w:rsid w:val="006221AF"/>
    <w:rsid w:val="006221D0"/>
    <w:rsid w:val="0062234B"/>
    <w:rsid w:val="0062244D"/>
    <w:rsid w:val="00622529"/>
    <w:rsid w:val="006225B1"/>
    <w:rsid w:val="0062267B"/>
    <w:rsid w:val="006226F6"/>
    <w:rsid w:val="006227A8"/>
    <w:rsid w:val="006227ED"/>
    <w:rsid w:val="00622A3F"/>
    <w:rsid w:val="00622AC0"/>
    <w:rsid w:val="00622BEE"/>
    <w:rsid w:val="0062310B"/>
    <w:rsid w:val="0062355E"/>
    <w:rsid w:val="00623660"/>
    <w:rsid w:val="00623769"/>
    <w:rsid w:val="0062376A"/>
    <w:rsid w:val="006239A6"/>
    <w:rsid w:val="00623B8C"/>
    <w:rsid w:val="00623E38"/>
    <w:rsid w:val="00624086"/>
    <w:rsid w:val="00624631"/>
    <w:rsid w:val="00624DAD"/>
    <w:rsid w:val="0062504D"/>
    <w:rsid w:val="006251D4"/>
    <w:rsid w:val="0062522D"/>
    <w:rsid w:val="006253C4"/>
    <w:rsid w:val="0062551B"/>
    <w:rsid w:val="006259F7"/>
    <w:rsid w:val="00625BA5"/>
    <w:rsid w:val="00625D49"/>
    <w:rsid w:val="0062627F"/>
    <w:rsid w:val="006265B8"/>
    <w:rsid w:val="0062666B"/>
    <w:rsid w:val="00626784"/>
    <w:rsid w:val="006267B3"/>
    <w:rsid w:val="0062695F"/>
    <w:rsid w:val="00626968"/>
    <w:rsid w:val="00626F98"/>
    <w:rsid w:val="006271D8"/>
    <w:rsid w:val="006273F4"/>
    <w:rsid w:val="006275FC"/>
    <w:rsid w:val="006276CA"/>
    <w:rsid w:val="00627847"/>
    <w:rsid w:val="00627947"/>
    <w:rsid w:val="00627980"/>
    <w:rsid w:val="00627A39"/>
    <w:rsid w:val="00627B60"/>
    <w:rsid w:val="00627E98"/>
    <w:rsid w:val="00630327"/>
    <w:rsid w:val="006306A9"/>
    <w:rsid w:val="006306D4"/>
    <w:rsid w:val="006308F8"/>
    <w:rsid w:val="00630A5F"/>
    <w:rsid w:val="00630AA9"/>
    <w:rsid w:val="00630D37"/>
    <w:rsid w:val="00630D51"/>
    <w:rsid w:val="00630DF2"/>
    <w:rsid w:val="00630EEB"/>
    <w:rsid w:val="00630F07"/>
    <w:rsid w:val="00630F3C"/>
    <w:rsid w:val="00630F6A"/>
    <w:rsid w:val="0063139B"/>
    <w:rsid w:val="00631849"/>
    <w:rsid w:val="00631987"/>
    <w:rsid w:val="00631B46"/>
    <w:rsid w:val="00632048"/>
    <w:rsid w:val="006322B0"/>
    <w:rsid w:val="00632388"/>
    <w:rsid w:val="006323C7"/>
    <w:rsid w:val="00632519"/>
    <w:rsid w:val="00632C17"/>
    <w:rsid w:val="00632FCB"/>
    <w:rsid w:val="0063310B"/>
    <w:rsid w:val="006331B3"/>
    <w:rsid w:val="00633AA5"/>
    <w:rsid w:val="00633E65"/>
    <w:rsid w:val="00633EFB"/>
    <w:rsid w:val="00634077"/>
    <w:rsid w:val="006342B4"/>
    <w:rsid w:val="00634774"/>
    <w:rsid w:val="00634A44"/>
    <w:rsid w:val="00635A17"/>
    <w:rsid w:val="00635A86"/>
    <w:rsid w:val="00635B44"/>
    <w:rsid w:val="00635D1F"/>
    <w:rsid w:val="006362F7"/>
    <w:rsid w:val="006364E6"/>
    <w:rsid w:val="00636E66"/>
    <w:rsid w:val="00636F2E"/>
    <w:rsid w:val="00636FC6"/>
    <w:rsid w:val="00637084"/>
    <w:rsid w:val="006371A3"/>
    <w:rsid w:val="006379E0"/>
    <w:rsid w:val="00637A0F"/>
    <w:rsid w:val="00637AEA"/>
    <w:rsid w:val="00637BE9"/>
    <w:rsid w:val="00637F49"/>
    <w:rsid w:val="00637F54"/>
    <w:rsid w:val="00640030"/>
    <w:rsid w:val="006403DE"/>
    <w:rsid w:val="00640613"/>
    <w:rsid w:val="00640848"/>
    <w:rsid w:val="00640866"/>
    <w:rsid w:val="00640871"/>
    <w:rsid w:val="00640A20"/>
    <w:rsid w:val="00640AAD"/>
    <w:rsid w:val="00640C68"/>
    <w:rsid w:val="00641073"/>
    <w:rsid w:val="00641295"/>
    <w:rsid w:val="006413FB"/>
    <w:rsid w:val="0064168F"/>
    <w:rsid w:val="006418F0"/>
    <w:rsid w:val="00641AC9"/>
    <w:rsid w:val="00641B1C"/>
    <w:rsid w:val="00641B61"/>
    <w:rsid w:val="00641B74"/>
    <w:rsid w:val="00641BFA"/>
    <w:rsid w:val="00641CAD"/>
    <w:rsid w:val="00642045"/>
    <w:rsid w:val="0064219E"/>
    <w:rsid w:val="006421F6"/>
    <w:rsid w:val="006422DB"/>
    <w:rsid w:val="00642730"/>
    <w:rsid w:val="00642905"/>
    <w:rsid w:val="00642ED1"/>
    <w:rsid w:val="00643700"/>
    <w:rsid w:val="006437DC"/>
    <w:rsid w:val="00643A1E"/>
    <w:rsid w:val="00643E05"/>
    <w:rsid w:val="00643E38"/>
    <w:rsid w:val="006440CD"/>
    <w:rsid w:val="006440FC"/>
    <w:rsid w:val="00644108"/>
    <w:rsid w:val="0064448B"/>
    <w:rsid w:val="00644584"/>
    <w:rsid w:val="00644608"/>
    <w:rsid w:val="00644715"/>
    <w:rsid w:val="006448A1"/>
    <w:rsid w:val="0064496D"/>
    <w:rsid w:val="006449C7"/>
    <w:rsid w:val="00644C33"/>
    <w:rsid w:val="00644E20"/>
    <w:rsid w:val="00644EF4"/>
    <w:rsid w:val="006452A6"/>
    <w:rsid w:val="006455D4"/>
    <w:rsid w:val="006456B6"/>
    <w:rsid w:val="00645703"/>
    <w:rsid w:val="006457C7"/>
    <w:rsid w:val="00645A03"/>
    <w:rsid w:val="00645B26"/>
    <w:rsid w:val="00645BC6"/>
    <w:rsid w:val="00645CC8"/>
    <w:rsid w:val="00645DB2"/>
    <w:rsid w:val="00646165"/>
    <w:rsid w:val="00646D85"/>
    <w:rsid w:val="00646E94"/>
    <w:rsid w:val="00647083"/>
    <w:rsid w:val="00647490"/>
    <w:rsid w:val="00647639"/>
    <w:rsid w:val="0064771D"/>
    <w:rsid w:val="00647729"/>
    <w:rsid w:val="006477DE"/>
    <w:rsid w:val="00647801"/>
    <w:rsid w:val="00647834"/>
    <w:rsid w:val="00647B4F"/>
    <w:rsid w:val="00647D38"/>
    <w:rsid w:val="0065012A"/>
    <w:rsid w:val="006502D9"/>
    <w:rsid w:val="00650416"/>
    <w:rsid w:val="006507A2"/>
    <w:rsid w:val="006508C2"/>
    <w:rsid w:val="0065095F"/>
    <w:rsid w:val="00650B79"/>
    <w:rsid w:val="00650C2E"/>
    <w:rsid w:val="00650EAF"/>
    <w:rsid w:val="0065121C"/>
    <w:rsid w:val="006512EF"/>
    <w:rsid w:val="006513AC"/>
    <w:rsid w:val="006513EC"/>
    <w:rsid w:val="00651463"/>
    <w:rsid w:val="006517F1"/>
    <w:rsid w:val="006518C9"/>
    <w:rsid w:val="00651996"/>
    <w:rsid w:val="00651A67"/>
    <w:rsid w:val="00651CE8"/>
    <w:rsid w:val="006520F6"/>
    <w:rsid w:val="00652107"/>
    <w:rsid w:val="00652162"/>
    <w:rsid w:val="0065233F"/>
    <w:rsid w:val="006525BF"/>
    <w:rsid w:val="006525E1"/>
    <w:rsid w:val="006526BE"/>
    <w:rsid w:val="006526CB"/>
    <w:rsid w:val="006526FD"/>
    <w:rsid w:val="006527DE"/>
    <w:rsid w:val="00652B69"/>
    <w:rsid w:val="00652BB6"/>
    <w:rsid w:val="00652E54"/>
    <w:rsid w:val="00653427"/>
    <w:rsid w:val="00653736"/>
    <w:rsid w:val="006537CC"/>
    <w:rsid w:val="006538E5"/>
    <w:rsid w:val="00653C88"/>
    <w:rsid w:val="00654C45"/>
    <w:rsid w:val="0065532B"/>
    <w:rsid w:val="006556F8"/>
    <w:rsid w:val="00655709"/>
    <w:rsid w:val="00655793"/>
    <w:rsid w:val="006558DE"/>
    <w:rsid w:val="00656807"/>
    <w:rsid w:val="006569F0"/>
    <w:rsid w:val="00656A08"/>
    <w:rsid w:val="00656EE9"/>
    <w:rsid w:val="00656F7F"/>
    <w:rsid w:val="0065706E"/>
    <w:rsid w:val="006570D6"/>
    <w:rsid w:val="00657619"/>
    <w:rsid w:val="006577AE"/>
    <w:rsid w:val="00657883"/>
    <w:rsid w:val="00657B4F"/>
    <w:rsid w:val="00657D0D"/>
    <w:rsid w:val="00657E5E"/>
    <w:rsid w:val="006601D5"/>
    <w:rsid w:val="006601E2"/>
    <w:rsid w:val="00660232"/>
    <w:rsid w:val="00660453"/>
    <w:rsid w:val="00660511"/>
    <w:rsid w:val="006605A3"/>
    <w:rsid w:val="006605F6"/>
    <w:rsid w:val="00660BA2"/>
    <w:rsid w:val="006615C1"/>
    <w:rsid w:val="0066174C"/>
    <w:rsid w:val="00661848"/>
    <w:rsid w:val="00661BAE"/>
    <w:rsid w:val="00661D8D"/>
    <w:rsid w:val="0066202E"/>
    <w:rsid w:val="00662594"/>
    <w:rsid w:val="006626B7"/>
    <w:rsid w:val="006629A0"/>
    <w:rsid w:val="00662A70"/>
    <w:rsid w:val="00662F3A"/>
    <w:rsid w:val="00662FBD"/>
    <w:rsid w:val="0066303E"/>
    <w:rsid w:val="00663097"/>
    <w:rsid w:val="00663165"/>
    <w:rsid w:val="00663346"/>
    <w:rsid w:val="00663384"/>
    <w:rsid w:val="006633A9"/>
    <w:rsid w:val="006633EA"/>
    <w:rsid w:val="006635A6"/>
    <w:rsid w:val="006635D8"/>
    <w:rsid w:val="00663628"/>
    <w:rsid w:val="0066366D"/>
    <w:rsid w:val="00663913"/>
    <w:rsid w:val="00663A6D"/>
    <w:rsid w:val="00663B48"/>
    <w:rsid w:val="00663C35"/>
    <w:rsid w:val="00663F45"/>
    <w:rsid w:val="0066420E"/>
    <w:rsid w:val="00664446"/>
    <w:rsid w:val="00664644"/>
    <w:rsid w:val="00664970"/>
    <w:rsid w:val="0066498F"/>
    <w:rsid w:val="00664A64"/>
    <w:rsid w:val="00664BA5"/>
    <w:rsid w:val="00664C56"/>
    <w:rsid w:val="00664D5C"/>
    <w:rsid w:val="00664DD2"/>
    <w:rsid w:val="00664FCB"/>
    <w:rsid w:val="00665019"/>
    <w:rsid w:val="00665386"/>
    <w:rsid w:val="006654DA"/>
    <w:rsid w:val="00665631"/>
    <w:rsid w:val="00665766"/>
    <w:rsid w:val="00665A4F"/>
    <w:rsid w:val="00665A6F"/>
    <w:rsid w:val="00665AF9"/>
    <w:rsid w:val="00665B32"/>
    <w:rsid w:val="006660D0"/>
    <w:rsid w:val="00666426"/>
    <w:rsid w:val="00666903"/>
    <w:rsid w:val="00666A2F"/>
    <w:rsid w:val="00666AAA"/>
    <w:rsid w:val="00666B84"/>
    <w:rsid w:val="00666E48"/>
    <w:rsid w:val="00666F63"/>
    <w:rsid w:val="0066719A"/>
    <w:rsid w:val="00667389"/>
    <w:rsid w:val="00667505"/>
    <w:rsid w:val="00667594"/>
    <w:rsid w:val="00667C26"/>
    <w:rsid w:val="006700D4"/>
    <w:rsid w:val="006701D0"/>
    <w:rsid w:val="00670252"/>
    <w:rsid w:val="006704EA"/>
    <w:rsid w:val="006704F2"/>
    <w:rsid w:val="006705A8"/>
    <w:rsid w:val="0067077B"/>
    <w:rsid w:val="006708AB"/>
    <w:rsid w:val="00670931"/>
    <w:rsid w:val="00670EC1"/>
    <w:rsid w:val="00670F01"/>
    <w:rsid w:val="00670FC2"/>
    <w:rsid w:val="00671092"/>
    <w:rsid w:val="00671277"/>
    <w:rsid w:val="00671527"/>
    <w:rsid w:val="006716D8"/>
    <w:rsid w:val="006716E6"/>
    <w:rsid w:val="0067197C"/>
    <w:rsid w:val="006721A8"/>
    <w:rsid w:val="00672208"/>
    <w:rsid w:val="006723B2"/>
    <w:rsid w:val="006725D5"/>
    <w:rsid w:val="006725EC"/>
    <w:rsid w:val="0067268F"/>
    <w:rsid w:val="006727DF"/>
    <w:rsid w:val="00672937"/>
    <w:rsid w:val="00672E22"/>
    <w:rsid w:val="00672E5F"/>
    <w:rsid w:val="00672F88"/>
    <w:rsid w:val="006730E4"/>
    <w:rsid w:val="00673131"/>
    <w:rsid w:val="00673191"/>
    <w:rsid w:val="0067323C"/>
    <w:rsid w:val="00673527"/>
    <w:rsid w:val="006735C6"/>
    <w:rsid w:val="00673A4F"/>
    <w:rsid w:val="00673ADA"/>
    <w:rsid w:val="00673BB3"/>
    <w:rsid w:val="00673C28"/>
    <w:rsid w:val="00673DF8"/>
    <w:rsid w:val="00673F3B"/>
    <w:rsid w:val="0067407B"/>
    <w:rsid w:val="00674141"/>
    <w:rsid w:val="0067415B"/>
    <w:rsid w:val="00674193"/>
    <w:rsid w:val="0067423E"/>
    <w:rsid w:val="00674393"/>
    <w:rsid w:val="006744B6"/>
    <w:rsid w:val="0067460A"/>
    <w:rsid w:val="0067475C"/>
    <w:rsid w:val="00674764"/>
    <w:rsid w:val="00674785"/>
    <w:rsid w:val="00674860"/>
    <w:rsid w:val="006748DB"/>
    <w:rsid w:val="00674A4D"/>
    <w:rsid w:val="00674A8C"/>
    <w:rsid w:val="0067507F"/>
    <w:rsid w:val="00675231"/>
    <w:rsid w:val="00675276"/>
    <w:rsid w:val="006755B4"/>
    <w:rsid w:val="00675885"/>
    <w:rsid w:val="006758BD"/>
    <w:rsid w:val="00675990"/>
    <w:rsid w:val="00675AB1"/>
    <w:rsid w:val="00675AB6"/>
    <w:rsid w:val="00675CE9"/>
    <w:rsid w:val="00675D49"/>
    <w:rsid w:val="00676333"/>
    <w:rsid w:val="006765F0"/>
    <w:rsid w:val="0067663A"/>
    <w:rsid w:val="00676652"/>
    <w:rsid w:val="006767D9"/>
    <w:rsid w:val="00676879"/>
    <w:rsid w:val="0067687B"/>
    <w:rsid w:val="0067696D"/>
    <w:rsid w:val="0067699F"/>
    <w:rsid w:val="00676B8E"/>
    <w:rsid w:val="00676E1F"/>
    <w:rsid w:val="00676F1D"/>
    <w:rsid w:val="00676FE1"/>
    <w:rsid w:val="00677043"/>
    <w:rsid w:val="00677201"/>
    <w:rsid w:val="0067767C"/>
    <w:rsid w:val="006779C5"/>
    <w:rsid w:val="00677CF4"/>
    <w:rsid w:val="00677EA5"/>
    <w:rsid w:val="00680067"/>
    <w:rsid w:val="006800A1"/>
    <w:rsid w:val="006801DF"/>
    <w:rsid w:val="0068026D"/>
    <w:rsid w:val="0068043C"/>
    <w:rsid w:val="0068083C"/>
    <w:rsid w:val="00680B34"/>
    <w:rsid w:val="00680B3F"/>
    <w:rsid w:val="00680F29"/>
    <w:rsid w:val="00681670"/>
    <w:rsid w:val="0068176B"/>
    <w:rsid w:val="00681E41"/>
    <w:rsid w:val="006823CF"/>
    <w:rsid w:val="00682448"/>
    <w:rsid w:val="00682687"/>
    <w:rsid w:val="00682967"/>
    <w:rsid w:val="00682AC4"/>
    <w:rsid w:val="00682CA6"/>
    <w:rsid w:val="00682D5A"/>
    <w:rsid w:val="00682E59"/>
    <w:rsid w:val="006833BA"/>
    <w:rsid w:val="00683711"/>
    <w:rsid w:val="006837D6"/>
    <w:rsid w:val="00683906"/>
    <w:rsid w:val="0068392B"/>
    <w:rsid w:val="00683DD2"/>
    <w:rsid w:val="00684027"/>
    <w:rsid w:val="006840F7"/>
    <w:rsid w:val="00684181"/>
    <w:rsid w:val="006841B9"/>
    <w:rsid w:val="00684221"/>
    <w:rsid w:val="006843DC"/>
    <w:rsid w:val="00684549"/>
    <w:rsid w:val="006845CE"/>
    <w:rsid w:val="006846A1"/>
    <w:rsid w:val="0068484C"/>
    <w:rsid w:val="00684B9A"/>
    <w:rsid w:val="00684FD1"/>
    <w:rsid w:val="00685023"/>
    <w:rsid w:val="006850D1"/>
    <w:rsid w:val="0068517A"/>
    <w:rsid w:val="0068530E"/>
    <w:rsid w:val="006855A3"/>
    <w:rsid w:val="00685836"/>
    <w:rsid w:val="0068585A"/>
    <w:rsid w:val="00685866"/>
    <w:rsid w:val="00685954"/>
    <w:rsid w:val="00685955"/>
    <w:rsid w:val="006859F7"/>
    <w:rsid w:val="00685B15"/>
    <w:rsid w:val="00685CB2"/>
    <w:rsid w:val="00685F91"/>
    <w:rsid w:val="0068605C"/>
    <w:rsid w:val="00686223"/>
    <w:rsid w:val="006862B9"/>
    <w:rsid w:val="0068650C"/>
    <w:rsid w:val="00686615"/>
    <w:rsid w:val="006866F0"/>
    <w:rsid w:val="0068684B"/>
    <w:rsid w:val="00686A62"/>
    <w:rsid w:val="00686A6F"/>
    <w:rsid w:val="00686AFF"/>
    <w:rsid w:val="00686C25"/>
    <w:rsid w:val="00686D4A"/>
    <w:rsid w:val="00686D7F"/>
    <w:rsid w:val="00686E61"/>
    <w:rsid w:val="00686ECE"/>
    <w:rsid w:val="006870F5"/>
    <w:rsid w:val="00687438"/>
    <w:rsid w:val="00687506"/>
    <w:rsid w:val="006879AE"/>
    <w:rsid w:val="006879B9"/>
    <w:rsid w:val="00687AB9"/>
    <w:rsid w:val="00687D2E"/>
    <w:rsid w:val="006906D7"/>
    <w:rsid w:val="00690DD3"/>
    <w:rsid w:val="00690EBF"/>
    <w:rsid w:val="00690F49"/>
    <w:rsid w:val="006912BD"/>
    <w:rsid w:val="006912F5"/>
    <w:rsid w:val="0069162A"/>
    <w:rsid w:val="006916AD"/>
    <w:rsid w:val="006916D6"/>
    <w:rsid w:val="00691BBB"/>
    <w:rsid w:val="00691D2A"/>
    <w:rsid w:val="00691DA8"/>
    <w:rsid w:val="00691E18"/>
    <w:rsid w:val="00692026"/>
    <w:rsid w:val="0069205F"/>
    <w:rsid w:val="0069208C"/>
    <w:rsid w:val="00692475"/>
    <w:rsid w:val="00692477"/>
    <w:rsid w:val="00692577"/>
    <w:rsid w:val="00692A98"/>
    <w:rsid w:val="00692FA1"/>
    <w:rsid w:val="0069307B"/>
    <w:rsid w:val="0069346B"/>
    <w:rsid w:val="0069359A"/>
    <w:rsid w:val="0069371E"/>
    <w:rsid w:val="0069386E"/>
    <w:rsid w:val="00693A0D"/>
    <w:rsid w:val="00693BCE"/>
    <w:rsid w:val="00693BF3"/>
    <w:rsid w:val="00693EB7"/>
    <w:rsid w:val="0069406F"/>
    <w:rsid w:val="00694149"/>
    <w:rsid w:val="0069423D"/>
    <w:rsid w:val="0069434F"/>
    <w:rsid w:val="0069440B"/>
    <w:rsid w:val="0069450A"/>
    <w:rsid w:val="00694698"/>
    <w:rsid w:val="0069490E"/>
    <w:rsid w:val="00694A8F"/>
    <w:rsid w:val="00694B95"/>
    <w:rsid w:val="00694FDF"/>
    <w:rsid w:val="00695132"/>
    <w:rsid w:val="00695A92"/>
    <w:rsid w:val="00695C41"/>
    <w:rsid w:val="00695D3C"/>
    <w:rsid w:val="00695F61"/>
    <w:rsid w:val="00696222"/>
    <w:rsid w:val="0069675B"/>
    <w:rsid w:val="0069687F"/>
    <w:rsid w:val="00696B23"/>
    <w:rsid w:val="00696B26"/>
    <w:rsid w:val="00696C09"/>
    <w:rsid w:val="006970C5"/>
    <w:rsid w:val="0069726A"/>
    <w:rsid w:val="0069738C"/>
    <w:rsid w:val="0069751E"/>
    <w:rsid w:val="006975C4"/>
    <w:rsid w:val="00697813"/>
    <w:rsid w:val="00697A3D"/>
    <w:rsid w:val="00697A65"/>
    <w:rsid w:val="00697B7B"/>
    <w:rsid w:val="00697CA8"/>
    <w:rsid w:val="00697F86"/>
    <w:rsid w:val="006A0105"/>
    <w:rsid w:val="006A036B"/>
    <w:rsid w:val="006A08D7"/>
    <w:rsid w:val="006A0950"/>
    <w:rsid w:val="006A09F0"/>
    <w:rsid w:val="006A0A80"/>
    <w:rsid w:val="006A0B77"/>
    <w:rsid w:val="006A136E"/>
    <w:rsid w:val="006A1951"/>
    <w:rsid w:val="006A1A6C"/>
    <w:rsid w:val="006A1A7F"/>
    <w:rsid w:val="006A1BE0"/>
    <w:rsid w:val="006A1C3E"/>
    <w:rsid w:val="006A1E6F"/>
    <w:rsid w:val="006A21FE"/>
    <w:rsid w:val="006A2839"/>
    <w:rsid w:val="006A28AC"/>
    <w:rsid w:val="006A2CF0"/>
    <w:rsid w:val="006A2D64"/>
    <w:rsid w:val="006A3054"/>
    <w:rsid w:val="006A34B7"/>
    <w:rsid w:val="006A35C2"/>
    <w:rsid w:val="006A378D"/>
    <w:rsid w:val="006A3A0C"/>
    <w:rsid w:val="006A41A7"/>
    <w:rsid w:val="006A41B9"/>
    <w:rsid w:val="006A43AB"/>
    <w:rsid w:val="006A44C0"/>
    <w:rsid w:val="006A450A"/>
    <w:rsid w:val="006A45F1"/>
    <w:rsid w:val="006A46E4"/>
    <w:rsid w:val="006A4DDA"/>
    <w:rsid w:val="006A4F25"/>
    <w:rsid w:val="006A4F7B"/>
    <w:rsid w:val="006A4FD0"/>
    <w:rsid w:val="006A536E"/>
    <w:rsid w:val="006A5409"/>
    <w:rsid w:val="006A56A6"/>
    <w:rsid w:val="006A596A"/>
    <w:rsid w:val="006A5A45"/>
    <w:rsid w:val="006A5BAB"/>
    <w:rsid w:val="006A5D26"/>
    <w:rsid w:val="006A5FAA"/>
    <w:rsid w:val="006A622E"/>
    <w:rsid w:val="006A6287"/>
    <w:rsid w:val="006A6353"/>
    <w:rsid w:val="006A647C"/>
    <w:rsid w:val="006A667F"/>
    <w:rsid w:val="006A6858"/>
    <w:rsid w:val="006A6F3E"/>
    <w:rsid w:val="006A6F65"/>
    <w:rsid w:val="006A6FAF"/>
    <w:rsid w:val="006A7131"/>
    <w:rsid w:val="006A71CA"/>
    <w:rsid w:val="006A71E9"/>
    <w:rsid w:val="006A7350"/>
    <w:rsid w:val="006A763B"/>
    <w:rsid w:val="006A76A4"/>
    <w:rsid w:val="006A7EF5"/>
    <w:rsid w:val="006B011F"/>
    <w:rsid w:val="006B020B"/>
    <w:rsid w:val="006B043C"/>
    <w:rsid w:val="006B06A2"/>
    <w:rsid w:val="006B0763"/>
    <w:rsid w:val="006B086E"/>
    <w:rsid w:val="006B092B"/>
    <w:rsid w:val="006B0B59"/>
    <w:rsid w:val="006B0C53"/>
    <w:rsid w:val="006B1059"/>
    <w:rsid w:val="006B1106"/>
    <w:rsid w:val="006B11B2"/>
    <w:rsid w:val="006B139E"/>
    <w:rsid w:val="006B1E43"/>
    <w:rsid w:val="006B1F49"/>
    <w:rsid w:val="006B24A5"/>
    <w:rsid w:val="006B24DA"/>
    <w:rsid w:val="006B24E8"/>
    <w:rsid w:val="006B2591"/>
    <w:rsid w:val="006B25F1"/>
    <w:rsid w:val="006B27BB"/>
    <w:rsid w:val="006B2882"/>
    <w:rsid w:val="006B2895"/>
    <w:rsid w:val="006B28C5"/>
    <w:rsid w:val="006B2924"/>
    <w:rsid w:val="006B2D2C"/>
    <w:rsid w:val="006B2D39"/>
    <w:rsid w:val="006B3218"/>
    <w:rsid w:val="006B334D"/>
    <w:rsid w:val="006B3508"/>
    <w:rsid w:val="006B3FA3"/>
    <w:rsid w:val="006B40E2"/>
    <w:rsid w:val="006B4744"/>
    <w:rsid w:val="006B4B8D"/>
    <w:rsid w:val="006B4C0D"/>
    <w:rsid w:val="006B4D56"/>
    <w:rsid w:val="006B50EB"/>
    <w:rsid w:val="006B510B"/>
    <w:rsid w:val="006B52D6"/>
    <w:rsid w:val="006B545B"/>
    <w:rsid w:val="006B5524"/>
    <w:rsid w:val="006B591E"/>
    <w:rsid w:val="006B5B0C"/>
    <w:rsid w:val="006B5D05"/>
    <w:rsid w:val="006B5D4F"/>
    <w:rsid w:val="006B5E39"/>
    <w:rsid w:val="006B633D"/>
    <w:rsid w:val="006B657B"/>
    <w:rsid w:val="006B65B3"/>
    <w:rsid w:val="006B65C6"/>
    <w:rsid w:val="006B662F"/>
    <w:rsid w:val="006B6840"/>
    <w:rsid w:val="006B6E11"/>
    <w:rsid w:val="006B718E"/>
    <w:rsid w:val="006B77B4"/>
    <w:rsid w:val="006B78F7"/>
    <w:rsid w:val="006C012E"/>
    <w:rsid w:val="006C01B8"/>
    <w:rsid w:val="006C023D"/>
    <w:rsid w:val="006C0306"/>
    <w:rsid w:val="006C03F1"/>
    <w:rsid w:val="006C0BE5"/>
    <w:rsid w:val="006C0EE4"/>
    <w:rsid w:val="006C12FD"/>
    <w:rsid w:val="006C155C"/>
    <w:rsid w:val="006C16CA"/>
    <w:rsid w:val="006C17AC"/>
    <w:rsid w:val="006C18AA"/>
    <w:rsid w:val="006C1955"/>
    <w:rsid w:val="006C1A76"/>
    <w:rsid w:val="006C1E79"/>
    <w:rsid w:val="006C2243"/>
    <w:rsid w:val="006C2926"/>
    <w:rsid w:val="006C29A6"/>
    <w:rsid w:val="006C2A39"/>
    <w:rsid w:val="006C2A4A"/>
    <w:rsid w:val="006C2A9C"/>
    <w:rsid w:val="006C2CE9"/>
    <w:rsid w:val="006C32E8"/>
    <w:rsid w:val="006C333F"/>
    <w:rsid w:val="006C3715"/>
    <w:rsid w:val="006C383D"/>
    <w:rsid w:val="006C39C9"/>
    <w:rsid w:val="006C3B9C"/>
    <w:rsid w:val="006C3C8F"/>
    <w:rsid w:val="006C3D19"/>
    <w:rsid w:val="006C3E4E"/>
    <w:rsid w:val="006C47A3"/>
    <w:rsid w:val="006C4887"/>
    <w:rsid w:val="006C4B09"/>
    <w:rsid w:val="006C4B18"/>
    <w:rsid w:val="006C4BB7"/>
    <w:rsid w:val="006C4C66"/>
    <w:rsid w:val="006C5069"/>
    <w:rsid w:val="006C51D5"/>
    <w:rsid w:val="006C5266"/>
    <w:rsid w:val="006C538E"/>
    <w:rsid w:val="006C5994"/>
    <w:rsid w:val="006C5E6D"/>
    <w:rsid w:val="006C5F85"/>
    <w:rsid w:val="006C6185"/>
    <w:rsid w:val="006C6332"/>
    <w:rsid w:val="006C6501"/>
    <w:rsid w:val="006C6833"/>
    <w:rsid w:val="006C6DF6"/>
    <w:rsid w:val="006C6E6C"/>
    <w:rsid w:val="006C6EC0"/>
    <w:rsid w:val="006C6F38"/>
    <w:rsid w:val="006C6FDD"/>
    <w:rsid w:val="006C73C7"/>
    <w:rsid w:val="006C7601"/>
    <w:rsid w:val="006C769C"/>
    <w:rsid w:val="006C791D"/>
    <w:rsid w:val="006C7B7D"/>
    <w:rsid w:val="006D0077"/>
    <w:rsid w:val="006D00A4"/>
    <w:rsid w:val="006D044A"/>
    <w:rsid w:val="006D0888"/>
    <w:rsid w:val="006D0929"/>
    <w:rsid w:val="006D098C"/>
    <w:rsid w:val="006D0AA7"/>
    <w:rsid w:val="006D0C02"/>
    <w:rsid w:val="006D0E50"/>
    <w:rsid w:val="006D0F9D"/>
    <w:rsid w:val="006D1132"/>
    <w:rsid w:val="006D1157"/>
    <w:rsid w:val="006D11E9"/>
    <w:rsid w:val="006D12DC"/>
    <w:rsid w:val="006D13C6"/>
    <w:rsid w:val="006D1846"/>
    <w:rsid w:val="006D1A75"/>
    <w:rsid w:val="006D1CFF"/>
    <w:rsid w:val="006D2040"/>
    <w:rsid w:val="006D2134"/>
    <w:rsid w:val="006D22F0"/>
    <w:rsid w:val="006D262C"/>
    <w:rsid w:val="006D27F8"/>
    <w:rsid w:val="006D2915"/>
    <w:rsid w:val="006D2D4F"/>
    <w:rsid w:val="006D2DDB"/>
    <w:rsid w:val="006D2F17"/>
    <w:rsid w:val="006D355B"/>
    <w:rsid w:val="006D3722"/>
    <w:rsid w:val="006D3749"/>
    <w:rsid w:val="006D37D0"/>
    <w:rsid w:val="006D38B5"/>
    <w:rsid w:val="006D3928"/>
    <w:rsid w:val="006D39C6"/>
    <w:rsid w:val="006D3A93"/>
    <w:rsid w:val="006D3C0C"/>
    <w:rsid w:val="006D3D02"/>
    <w:rsid w:val="006D3EE8"/>
    <w:rsid w:val="006D3F2E"/>
    <w:rsid w:val="006D40FB"/>
    <w:rsid w:val="006D4191"/>
    <w:rsid w:val="006D41ED"/>
    <w:rsid w:val="006D422F"/>
    <w:rsid w:val="006D428B"/>
    <w:rsid w:val="006D43A6"/>
    <w:rsid w:val="006D4466"/>
    <w:rsid w:val="006D4687"/>
    <w:rsid w:val="006D4694"/>
    <w:rsid w:val="006D46DD"/>
    <w:rsid w:val="006D47F6"/>
    <w:rsid w:val="006D4B89"/>
    <w:rsid w:val="006D4B8B"/>
    <w:rsid w:val="006D4C17"/>
    <w:rsid w:val="006D4F8D"/>
    <w:rsid w:val="006D55DC"/>
    <w:rsid w:val="006D5CBB"/>
    <w:rsid w:val="006D5D77"/>
    <w:rsid w:val="006D5FFE"/>
    <w:rsid w:val="006D6059"/>
    <w:rsid w:val="006D6296"/>
    <w:rsid w:val="006D62AC"/>
    <w:rsid w:val="006D633D"/>
    <w:rsid w:val="006D69F0"/>
    <w:rsid w:val="006D69F2"/>
    <w:rsid w:val="006D6A25"/>
    <w:rsid w:val="006D6A5F"/>
    <w:rsid w:val="006D6BC8"/>
    <w:rsid w:val="006D6C23"/>
    <w:rsid w:val="006D6C3B"/>
    <w:rsid w:val="006D6FC9"/>
    <w:rsid w:val="006D70B7"/>
    <w:rsid w:val="006D71ED"/>
    <w:rsid w:val="006D72B3"/>
    <w:rsid w:val="006D733A"/>
    <w:rsid w:val="006D74DE"/>
    <w:rsid w:val="006D7648"/>
    <w:rsid w:val="006D7AF1"/>
    <w:rsid w:val="006D7B27"/>
    <w:rsid w:val="006D7DAF"/>
    <w:rsid w:val="006D7F1D"/>
    <w:rsid w:val="006E0192"/>
    <w:rsid w:val="006E0228"/>
    <w:rsid w:val="006E02DC"/>
    <w:rsid w:val="006E0351"/>
    <w:rsid w:val="006E04CC"/>
    <w:rsid w:val="006E04CE"/>
    <w:rsid w:val="006E05A1"/>
    <w:rsid w:val="006E0C03"/>
    <w:rsid w:val="006E0FAC"/>
    <w:rsid w:val="006E1017"/>
    <w:rsid w:val="006E12C6"/>
    <w:rsid w:val="006E15C3"/>
    <w:rsid w:val="006E15EE"/>
    <w:rsid w:val="006E16ED"/>
    <w:rsid w:val="006E1874"/>
    <w:rsid w:val="006E1E20"/>
    <w:rsid w:val="006E204C"/>
    <w:rsid w:val="006E20E1"/>
    <w:rsid w:val="006E214B"/>
    <w:rsid w:val="006E251A"/>
    <w:rsid w:val="006E277D"/>
    <w:rsid w:val="006E2849"/>
    <w:rsid w:val="006E29A6"/>
    <w:rsid w:val="006E2B89"/>
    <w:rsid w:val="006E2C8A"/>
    <w:rsid w:val="006E310C"/>
    <w:rsid w:val="006E3122"/>
    <w:rsid w:val="006E3865"/>
    <w:rsid w:val="006E39F9"/>
    <w:rsid w:val="006E3BAE"/>
    <w:rsid w:val="006E4049"/>
    <w:rsid w:val="006E40C9"/>
    <w:rsid w:val="006E4BA7"/>
    <w:rsid w:val="006E4F51"/>
    <w:rsid w:val="006E502A"/>
    <w:rsid w:val="006E5113"/>
    <w:rsid w:val="006E5675"/>
    <w:rsid w:val="006E579E"/>
    <w:rsid w:val="006E58BA"/>
    <w:rsid w:val="006E5A94"/>
    <w:rsid w:val="006E5DA9"/>
    <w:rsid w:val="006E5E2B"/>
    <w:rsid w:val="006E5F2C"/>
    <w:rsid w:val="006E6045"/>
    <w:rsid w:val="006E618A"/>
    <w:rsid w:val="006E6422"/>
    <w:rsid w:val="006E644B"/>
    <w:rsid w:val="006E67C6"/>
    <w:rsid w:val="006E6864"/>
    <w:rsid w:val="006E69EF"/>
    <w:rsid w:val="006E6F3B"/>
    <w:rsid w:val="006E6F8C"/>
    <w:rsid w:val="006E6FA1"/>
    <w:rsid w:val="006E7109"/>
    <w:rsid w:val="006E73E6"/>
    <w:rsid w:val="006E75A2"/>
    <w:rsid w:val="006E7664"/>
    <w:rsid w:val="006E7A2F"/>
    <w:rsid w:val="006E7AA2"/>
    <w:rsid w:val="006E7C97"/>
    <w:rsid w:val="006F0081"/>
    <w:rsid w:val="006F0095"/>
    <w:rsid w:val="006F01D1"/>
    <w:rsid w:val="006F0394"/>
    <w:rsid w:val="006F0D60"/>
    <w:rsid w:val="006F156D"/>
    <w:rsid w:val="006F17F5"/>
    <w:rsid w:val="006F1B52"/>
    <w:rsid w:val="006F1BB3"/>
    <w:rsid w:val="006F1D86"/>
    <w:rsid w:val="006F1F1D"/>
    <w:rsid w:val="006F2063"/>
    <w:rsid w:val="006F2136"/>
    <w:rsid w:val="006F2232"/>
    <w:rsid w:val="006F2B97"/>
    <w:rsid w:val="006F2C7F"/>
    <w:rsid w:val="006F2D4F"/>
    <w:rsid w:val="006F2DD0"/>
    <w:rsid w:val="006F2F12"/>
    <w:rsid w:val="006F3072"/>
    <w:rsid w:val="006F3079"/>
    <w:rsid w:val="006F30FD"/>
    <w:rsid w:val="006F316B"/>
    <w:rsid w:val="006F322E"/>
    <w:rsid w:val="006F327C"/>
    <w:rsid w:val="006F3501"/>
    <w:rsid w:val="006F3778"/>
    <w:rsid w:val="006F37A4"/>
    <w:rsid w:val="006F37C9"/>
    <w:rsid w:val="006F3A03"/>
    <w:rsid w:val="006F3A2B"/>
    <w:rsid w:val="006F3DB3"/>
    <w:rsid w:val="006F421C"/>
    <w:rsid w:val="006F424F"/>
    <w:rsid w:val="006F43E8"/>
    <w:rsid w:val="006F45EF"/>
    <w:rsid w:val="006F4741"/>
    <w:rsid w:val="006F4E89"/>
    <w:rsid w:val="006F50DD"/>
    <w:rsid w:val="006F51B7"/>
    <w:rsid w:val="006F5246"/>
    <w:rsid w:val="006F5683"/>
    <w:rsid w:val="006F5703"/>
    <w:rsid w:val="006F592E"/>
    <w:rsid w:val="006F5A1C"/>
    <w:rsid w:val="006F5A2F"/>
    <w:rsid w:val="006F63ED"/>
    <w:rsid w:val="006F6441"/>
    <w:rsid w:val="006F6793"/>
    <w:rsid w:val="006F689F"/>
    <w:rsid w:val="006F6AE5"/>
    <w:rsid w:val="006F7098"/>
    <w:rsid w:val="006F71FA"/>
    <w:rsid w:val="006F721B"/>
    <w:rsid w:val="006F75D7"/>
    <w:rsid w:val="006F79C7"/>
    <w:rsid w:val="006F7C66"/>
    <w:rsid w:val="006F7D84"/>
    <w:rsid w:val="006F7E65"/>
    <w:rsid w:val="006F7EAB"/>
    <w:rsid w:val="00700509"/>
    <w:rsid w:val="007006D0"/>
    <w:rsid w:val="00700A19"/>
    <w:rsid w:val="00700B7C"/>
    <w:rsid w:val="00700C86"/>
    <w:rsid w:val="00700CDD"/>
    <w:rsid w:val="00700E74"/>
    <w:rsid w:val="007010B9"/>
    <w:rsid w:val="0070115B"/>
    <w:rsid w:val="0070118A"/>
    <w:rsid w:val="00701236"/>
    <w:rsid w:val="007014D9"/>
    <w:rsid w:val="007018C2"/>
    <w:rsid w:val="007018F8"/>
    <w:rsid w:val="00701A8B"/>
    <w:rsid w:val="00701D30"/>
    <w:rsid w:val="00701D92"/>
    <w:rsid w:val="00701E49"/>
    <w:rsid w:val="00701F58"/>
    <w:rsid w:val="00701F9F"/>
    <w:rsid w:val="00702114"/>
    <w:rsid w:val="0070213F"/>
    <w:rsid w:val="00702171"/>
    <w:rsid w:val="007021B0"/>
    <w:rsid w:val="007022A9"/>
    <w:rsid w:val="007024C9"/>
    <w:rsid w:val="0070254E"/>
    <w:rsid w:val="0070257C"/>
    <w:rsid w:val="00702622"/>
    <w:rsid w:val="00702899"/>
    <w:rsid w:val="00702D95"/>
    <w:rsid w:val="0070331B"/>
    <w:rsid w:val="00703824"/>
    <w:rsid w:val="0070382C"/>
    <w:rsid w:val="00703940"/>
    <w:rsid w:val="00703A78"/>
    <w:rsid w:val="00704240"/>
    <w:rsid w:val="007042A5"/>
    <w:rsid w:val="0070446D"/>
    <w:rsid w:val="007047B1"/>
    <w:rsid w:val="007047C0"/>
    <w:rsid w:val="007047C2"/>
    <w:rsid w:val="0070495A"/>
    <w:rsid w:val="00704A9E"/>
    <w:rsid w:val="00704AAF"/>
    <w:rsid w:val="00704AE6"/>
    <w:rsid w:val="00704B5C"/>
    <w:rsid w:val="00704D7B"/>
    <w:rsid w:val="00704DB0"/>
    <w:rsid w:val="00704EF3"/>
    <w:rsid w:val="00704FE4"/>
    <w:rsid w:val="00705360"/>
    <w:rsid w:val="0070536B"/>
    <w:rsid w:val="0070547E"/>
    <w:rsid w:val="0070554E"/>
    <w:rsid w:val="007057AE"/>
    <w:rsid w:val="00705897"/>
    <w:rsid w:val="00705B0D"/>
    <w:rsid w:val="00705EAD"/>
    <w:rsid w:val="00705ED1"/>
    <w:rsid w:val="007064B5"/>
    <w:rsid w:val="00706B03"/>
    <w:rsid w:val="00706C06"/>
    <w:rsid w:val="00706FEC"/>
    <w:rsid w:val="007070FF"/>
    <w:rsid w:val="0070781D"/>
    <w:rsid w:val="007078C9"/>
    <w:rsid w:val="00707AA3"/>
    <w:rsid w:val="0071000C"/>
    <w:rsid w:val="00710300"/>
    <w:rsid w:val="007103AC"/>
    <w:rsid w:val="00710593"/>
    <w:rsid w:val="007109B4"/>
    <w:rsid w:val="00710A69"/>
    <w:rsid w:val="00710DF3"/>
    <w:rsid w:val="0071105D"/>
    <w:rsid w:val="00711326"/>
    <w:rsid w:val="00711368"/>
    <w:rsid w:val="007116FD"/>
    <w:rsid w:val="007118B8"/>
    <w:rsid w:val="007119C9"/>
    <w:rsid w:val="007119E6"/>
    <w:rsid w:val="00711AAB"/>
    <w:rsid w:val="00711F0E"/>
    <w:rsid w:val="00711F35"/>
    <w:rsid w:val="00711FDD"/>
    <w:rsid w:val="007121A3"/>
    <w:rsid w:val="00712204"/>
    <w:rsid w:val="00712208"/>
    <w:rsid w:val="007126B7"/>
    <w:rsid w:val="007129D1"/>
    <w:rsid w:val="00712B8E"/>
    <w:rsid w:val="00712C58"/>
    <w:rsid w:val="00712D5D"/>
    <w:rsid w:val="00712F06"/>
    <w:rsid w:val="00713016"/>
    <w:rsid w:val="00713081"/>
    <w:rsid w:val="007136D1"/>
    <w:rsid w:val="00713742"/>
    <w:rsid w:val="00713C43"/>
    <w:rsid w:val="00713E68"/>
    <w:rsid w:val="00713ED6"/>
    <w:rsid w:val="00713FA1"/>
    <w:rsid w:val="00714016"/>
    <w:rsid w:val="0071486A"/>
    <w:rsid w:val="00714A3B"/>
    <w:rsid w:val="00714CFE"/>
    <w:rsid w:val="00714DC3"/>
    <w:rsid w:val="00714DF9"/>
    <w:rsid w:val="00714FB6"/>
    <w:rsid w:val="00715026"/>
    <w:rsid w:val="007150A6"/>
    <w:rsid w:val="007150EB"/>
    <w:rsid w:val="00715317"/>
    <w:rsid w:val="00715336"/>
    <w:rsid w:val="007156A1"/>
    <w:rsid w:val="00715872"/>
    <w:rsid w:val="00715AF4"/>
    <w:rsid w:val="00715BD1"/>
    <w:rsid w:val="00715CA2"/>
    <w:rsid w:val="00715D3C"/>
    <w:rsid w:val="00715F1A"/>
    <w:rsid w:val="007161B9"/>
    <w:rsid w:val="007161D1"/>
    <w:rsid w:val="0071633E"/>
    <w:rsid w:val="00716695"/>
    <w:rsid w:val="007166D4"/>
    <w:rsid w:val="00716AB0"/>
    <w:rsid w:val="00716D04"/>
    <w:rsid w:val="00716E67"/>
    <w:rsid w:val="00717185"/>
    <w:rsid w:val="0071723D"/>
    <w:rsid w:val="007175A0"/>
    <w:rsid w:val="007175FD"/>
    <w:rsid w:val="007177DE"/>
    <w:rsid w:val="00717A40"/>
    <w:rsid w:val="00717A92"/>
    <w:rsid w:val="00717D08"/>
    <w:rsid w:val="00717FAE"/>
    <w:rsid w:val="00720007"/>
    <w:rsid w:val="00720074"/>
    <w:rsid w:val="007200B6"/>
    <w:rsid w:val="0072031F"/>
    <w:rsid w:val="00720524"/>
    <w:rsid w:val="007205CA"/>
    <w:rsid w:val="007205DC"/>
    <w:rsid w:val="00720A49"/>
    <w:rsid w:val="00720D11"/>
    <w:rsid w:val="00721129"/>
    <w:rsid w:val="00721380"/>
    <w:rsid w:val="00721487"/>
    <w:rsid w:val="007216AD"/>
    <w:rsid w:val="00721787"/>
    <w:rsid w:val="007217D9"/>
    <w:rsid w:val="00721C24"/>
    <w:rsid w:val="00721F78"/>
    <w:rsid w:val="0072237C"/>
    <w:rsid w:val="00722412"/>
    <w:rsid w:val="007227A7"/>
    <w:rsid w:val="007228E5"/>
    <w:rsid w:val="00722B56"/>
    <w:rsid w:val="00722BA5"/>
    <w:rsid w:val="00722D7A"/>
    <w:rsid w:val="00723154"/>
    <w:rsid w:val="007234B6"/>
    <w:rsid w:val="007234E7"/>
    <w:rsid w:val="00723525"/>
    <w:rsid w:val="007236F1"/>
    <w:rsid w:val="00723ADC"/>
    <w:rsid w:val="00723B86"/>
    <w:rsid w:val="00723E68"/>
    <w:rsid w:val="007242BD"/>
    <w:rsid w:val="0072444A"/>
    <w:rsid w:val="007244DC"/>
    <w:rsid w:val="00724560"/>
    <w:rsid w:val="00724586"/>
    <w:rsid w:val="0072468E"/>
    <w:rsid w:val="00724691"/>
    <w:rsid w:val="00724907"/>
    <w:rsid w:val="00724A2E"/>
    <w:rsid w:val="00724A5C"/>
    <w:rsid w:val="00724AD5"/>
    <w:rsid w:val="00724D8F"/>
    <w:rsid w:val="00724E6E"/>
    <w:rsid w:val="00724EE9"/>
    <w:rsid w:val="00725023"/>
    <w:rsid w:val="0072503E"/>
    <w:rsid w:val="007250A9"/>
    <w:rsid w:val="007265D5"/>
    <w:rsid w:val="00726738"/>
    <w:rsid w:val="007267AA"/>
    <w:rsid w:val="00726A28"/>
    <w:rsid w:val="00726A6D"/>
    <w:rsid w:val="00726D64"/>
    <w:rsid w:val="00726EBD"/>
    <w:rsid w:val="00727352"/>
    <w:rsid w:val="00727865"/>
    <w:rsid w:val="00727A9B"/>
    <w:rsid w:val="007301E0"/>
    <w:rsid w:val="00730353"/>
    <w:rsid w:val="00730487"/>
    <w:rsid w:val="00730558"/>
    <w:rsid w:val="00730616"/>
    <w:rsid w:val="0073074F"/>
    <w:rsid w:val="00730774"/>
    <w:rsid w:val="00730861"/>
    <w:rsid w:val="007308EA"/>
    <w:rsid w:val="00730C94"/>
    <w:rsid w:val="00730EDA"/>
    <w:rsid w:val="0073104F"/>
    <w:rsid w:val="00731053"/>
    <w:rsid w:val="007310F1"/>
    <w:rsid w:val="007312AA"/>
    <w:rsid w:val="00731426"/>
    <w:rsid w:val="007314CA"/>
    <w:rsid w:val="00731840"/>
    <w:rsid w:val="00731960"/>
    <w:rsid w:val="00731C63"/>
    <w:rsid w:val="00732049"/>
    <w:rsid w:val="00732897"/>
    <w:rsid w:val="00732B2E"/>
    <w:rsid w:val="00732DA0"/>
    <w:rsid w:val="00733201"/>
    <w:rsid w:val="00733A8B"/>
    <w:rsid w:val="00733B00"/>
    <w:rsid w:val="00733CE6"/>
    <w:rsid w:val="00733F2E"/>
    <w:rsid w:val="0073411A"/>
    <w:rsid w:val="00734304"/>
    <w:rsid w:val="00734511"/>
    <w:rsid w:val="007349B9"/>
    <w:rsid w:val="00734BC1"/>
    <w:rsid w:val="00734DCE"/>
    <w:rsid w:val="00734F1B"/>
    <w:rsid w:val="00734F21"/>
    <w:rsid w:val="007350B8"/>
    <w:rsid w:val="0073537C"/>
    <w:rsid w:val="00735464"/>
    <w:rsid w:val="0073550F"/>
    <w:rsid w:val="007357BB"/>
    <w:rsid w:val="00735C88"/>
    <w:rsid w:val="00735D9B"/>
    <w:rsid w:val="00735DBE"/>
    <w:rsid w:val="00735EDB"/>
    <w:rsid w:val="00736042"/>
    <w:rsid w:val="00736426"/>
    <w:rsid w:val="00736496"/>
    <w:rsid w:val="0073652C"/>
    <w:rsid w:val="00736671"/>
    <w:rsid w:val="007368F2"/>
    <w:rsid w:val="00736B7A"/>
    <w:rsid w:val="00736CC9"/>
    <w:rsid w:val="00736D1B"/>
    <w:rsid w:val="00736DB1"/>
    <w:rsid w:val="00736DD2"/>
    <w:rsid w:val="00737670"/>
    <w:rsid w:val="007377C9"/>
    <w:rsid w:val="0073782F"/>
    <w:rsid w:val="0073787B"/>
    <w:rsid w:val="00737C8D"/>
    <w:rsid w:val="00737D6D"/>
    <w:rsid w:val="00740303"/>
    <w:rsid w:val="0074038F"/>
    <w:rsid w:val="00740795"/>
    <w:rsid w:val="00740BA4"/>
    <w:rsid w:val="00740C88"/>
    <w:rsid w:val="00741683"/>
    <w:rsid w:val="00741776"/>
    <w:rsid w:val="00741C1E"/>
    <w:rsid w:val="00741CAC"/>
    <w:rsid w:val="00741CD0"/>
    <w:rsid w:val="00741DC6"/>
    <w:rsid w:val="00741E03"/>
    <w:rsid w:val="00741EBB"/>
    <w:rsid w:val="00741FE1"/>
    <w:rsid w:val="00742138"/>
    <w:rsid w:val="00742402"/>
    <w:rsid w:val="007426B4"/>
    <w:rsid w:val="00742741"/>
    <w:rsid w:val="007429C2"/>
    <w:rsid w:val="007429D6"/>
    <w:rsid w:val="00742D72"/>
    <w:rsid w:val="00743116"/>
    <w:rsid w:val="00743272"/>
    <w:rsid w:val="0074327E"/>
    <w:rsid w:val="007435F9"/>
    <w:rsid w:val="00743680"/>
    <w:rsid w:val="007439BD"/>
    <w:rsid w:val="00743A5A"/>
    <w:rsid w:val="00743AAB"/>
    <w:rsid w:val="00743C06"/>
    <w:rsid w:val="00743C8D"/>
    <w:rsid w:val="00743FF6"/>
    <w:rsid w:val="007446C4"/>
    <w:rsid w:val="007447E2"/>
    <w:rsid w:val="00744859"/>
    <w:rsid w:val="00744B30"/>
    <w:rsid w:val="00744CDB"/>
    <w:rsid w:val="00744D56"/>
    <w:rsid w:val="00744DFB"/>
    <w:rsid w:val="00744E09"/>
    <w:rsid w:val="00745532"/>
    <w:rsid w:val="00745560"/>
    <w:rsid w:val="00745836"/>
    <w:rsid w:val="00745D64"/>
    <w:rsid w:val="00745E9A"/>
    <w:rsid w:val="00745E9E"/>
    <w:rsid w:val="00745F0E"/>
    <w:rsid w:val="00745FE9"/>
    <w:rsid w:val="0074613F"/>
    <w:rsid w:val="007462B0"/>
    <w:rsid w:val="007467E4"/>
    <w:rsid w:val="00746A79"/>
    <w:rsid w:val="00746E30"/>
    <w:rsid w:val="00746E90"/>
    <w:rsid w:val="00746E9E"/>
    <w:rsid w:val="007470CA"/>
    <w:rsid w:val="007471C0"/>
    <w:rsid w:val="00747A5E"/>
    <w:rsid w:val="00747A75"/>
    <w:rsid w:val="00747B48"/>
    <w:rsid w:val="00747BF0"/>
    <w:rsid w:val="00747D03"/>
    <w:rsid w:val="007504B7"/>
    <w:rsid w:val="007505F1"/>
    <w:rsid w:val="007507D7"/>
    <w:rsid w:val="0075088D"/>
    <w:rsid w:val="00750936"/>
    <w:rsid w:val="00750BD4"/>
    <w:rsid w:val="00750D17"/>
    <w:rsid w:val="00750D3B"/>
    <w:rsid w:val="0075110F"/>
    <w:rsid w:val="007516BC"/>
    <w:rsid w:val="00751755"/>
    <w:rsid w:val="0075177C"/>
    <w:rsid w:val="00751963"/>
    <w:rsid w:val="00751AA9"/>
    <w:rsid w:val="00751D4B"/>
    <w:rsid w:val="007520DD"/>
    <w:rsid w:val="00752126"/>
    <w:rsid w:val="00752245"/>
    <w:rsid w:val="0075226A"/>
    <w:rsid w:val="00752323"/>
    <w:rsid w:val="0075246C"/>
    <w:rsid w:val="00752640"/>
    <w:rsid w:val="00752941"/>
    <w:rsid w:val="0075325C"/>
    <w:rsid w:val="007537C2"/>
    <w:rsid w:val="00753803"/>
    <w:rsid w:val="00753DCB"/>
    <w:rsid w:val="00753E79"/>
    <w:rsid w:val="00753FAC"/>
    <w:rsid w:val="0075444F"/>
    <w:rsid w:val="007545AC"/>
    <w:rsid w:val="00754651"/>
    <w:rsid w:val="00754709"/>
    <w:rsid w:val="00754A59"/>
    <w:rsid w:val="00754D30"/>
    <w:rsid w:val="007552CF"/>
    <w:rsid w:val="00755507"/>
    <w:rsid w:val="007559CE"/>
    <w:rsid w:val="00755B60"/>
    <w:rsid w:val="00755DAE"/>
    <w:rsid w:val="00755E66"/>
    <w:rsid w:val="00756084"/>
    <w:rsid w:val="0075626C"/>
    <w:rsid w:val="00756380"/>
    <w:rsid w:val="007565A2"/>
    <w:rsid w:val="00756A61"/>
    <w:rsid w:val="00756AC8"/>
    <w:rsid w:val="00756B7E"/>
    <w:rsid w:val="00756DE4"/>
    <w:rsid w:val="00756F6A"/>
    <w:rsid w:val="007571A3"/>
    <w:rsid w:val="007604D6"/>
    <w:rsid w:val="007605A5"/>
    <w:rsid w:val="00760915"/>
    <w:rsid w:val="00760D7F"/>
    <w:rsid w:val="00760F24"/>
    <w:rsid w:val="007610C0"/>
    <w:rsid w:val="00761ABE"/>
    <w:rsid w:val="00761B19"/>
    <w:rsid w:val="00761CA7"/>
    <w:rsid w:val="00761DED"/>
    <w:rsid w:val="00761E4C"/>
    <w:rsid w:val="0076211B"/>
    <w:rsid w:val="007621DF"/>
    <w:rsid w:val="00762224"/>
    <w:rsid w:val="00762341"/>
    <w:rsid w:val="00762436"/>
    <w:rsid w:val="00762629"/>
    <w:rsid w:val="00762AEB"/>
    <w:rsid w:val="00762B9A"/>
    <w:rsid w:val="00762D38"/>
    <w:rsid w:val="00762EBA"/>
    <w:rsid w:val="007631CA"/>
    <w:rsid w:val="007631EC"/>
    <w:rsid w:val="0076321A"/>
    <w:rsid w:val="00763253"/>
    <w:rsid w:val="007632D5"/>
    <w:rsid w:val="00763328"/>
    <w:rsid w:val="00763365"/>
    <w:rsid w:val="0076357A"/>
    <w:rsid w:val="007636F9"/>
    <w:rsid w:val="007637D2"/>
    <w:rsid w:val="00763AAF"/>
    <w:rsid w:val="00763D7A"/>
    <w:rsid w:val="00763DAE"/>
    <w:rsid w:val="00763E24"/>
    <w:rsid w:val="00763E4F"/>
    <w:rsid w:val="00763F7B"/>
    <w:rsid w:val="007640D0"/>
    <w:rsid w:val="00764240"/>
    <w:rsid w:val="0076462A"/>
    <w:rsid w:val="00764777"/>
    <w:rsid w:val="007648BB"/>
    <w:rsid w:val="007648EC"/>
    <w:rsid w:val="007649BB"/>
    <w:rsid w:val="00764DE8"/>
    <w:rsid w:val="00764E22"/>
    <w:rsid w:val="00764EC5"/>
    <w:rsid w:val="007650E6"/>
    <w:rsid w:val="007651D9"/>
    <w:rsid w:val="00765540"/>
    <w:rsid w:val="007655E8"/>
    <w:rsid w:val="0076561F"/>
    <w:rsid w:val="0076565C"/>
    <w:rsid w:val="00765778"/>
    <w:rsid w:val="007657FC"/>
    <w:rsid w:val="00765C42"/>
    <w:rsid w:val="00765D6C"/>
    <w:rsid w:val="0076603A"/>
    <w:rsid w:val="0076615D"/>
    <w:rsid w:val="007661D0"/>
    <w:rsid w:val="0076692C"/>
    <w:rsid w:val="00766BC6"/>
    <w:rsid w:val="00766D80"/>
    <w:rsid w:val="007671E2"/>
    <w:rsid w:val="007674AA"/>
    <w:rsid w:val="00767596"/>
    <w:rsid w:val="00767971"/>
    <w:rsid w:val="00767AC5"/>
    <w:rsid w:val="00767C2A"/>
    <w:rsid w:val="00767FAF"/>
    <w:rsid w:val="007701C7"/>
    <w:rsid w:val="00770259"/>
    <w:rsid w:val="007702E9"/>
    <w:rsid w:val="00770341"/>
    <w:rsid w:val="007704A8"/>
    <w:rsid w:val="00770506"/>
    <w:rsid w:val="007706EE"/>
    <w:rsid w:val="007706F0"/>
    <w:rsid w:val="00770D64"/>
    <w:rsid w:val="00770DE4"/>
    <w:rsid w:val="00770E02"/>
    <w:rsid w:val="00770EB2"/>
    <w:rsid w:val="00770EBE"/>
    <w:rsid w:val="00770F01"/>
    <w:rsid w:val="00770FAC"/>
    <w:rsid w:val="007710F8"/>
    <w:rsid w:val="0077113D"/>
    <w:rsid w:val="00771733"/>
    <w:rsid w:val="007717E8"/>
    <w:rsid w:val="00771990"/>
    <w:rsid w:val="007719A3"/>
    <w:rsid w:val="007719A4"/>
    <w:rsid w:val="00771A82"/>
    <w:rsid w:val="00771AC5"/>
    <w:rsid w:val="00771ACA"/>
    <w:rsid w:val="00771B55"/>
    <w:rsid w:val="00772020"/>
    <w:rsid w:val="007722EE"/>
    <w:rsid w:val="00772440"/>
    <w:rsid w:val="00772753"/>
    <w:rsid w:val="007729DE"/>
    <w:rsid w:val="00773169"/>
    <w:rsid w:val="007732A6"/>
    <w:rsid w:val="00773328"/>
    <w:rsid w:val="0077337F"/>
    <w:rsid w:val="007734B1"/>
    <w:rsid w:val="007734F6"/>
    <w:rsid w:val="00773564"/>
    <w:rsid w:val="007738AD"/>
    <w:rsid w:val="00773CDF"/>
    <w:rsid w:val="00773E7B"/>
    <w:rsid w:val="007740D0"/>
    <w:rsid w:val="007741B7"/>
    <w:rsid w:val="00774237"/>
    <w:rsid w:val="007742F9"/>
    <w:rsid w:val="0077482B"/>
    <w:rsid w:val="0077498E"/>
    <w:rsid w:val="00774A7F"/>
    <w:rsid w:val="00774C67"/>
    <w:rsid w:val="00774F8F"/>
    <w:rsid w:val="007750D8"/>
    <w:rsid w:val="0077512D"/>
    <w:rsid w:val="007751BB"/>
    <w:rsid w:val="007753FD"/>
    <w:rsid w:val="00775CF4"/>
    <w:rsid w:val="00775F5C"/>
    <w:rsid w:val="00775FC2"/>
    <w:rsid w:val="00775FFC"/>
    <w:rsid w:val="00776311"/>
    <w:rsid w:val="00776332"/>
    <w:rsid w:val="007764FD"/>
    <w:rsid w:val="0077660E"/>
    <w:rsid w:val="00776821"/>
    <w:rsid w:val="00776957"/>
    <w:rsid w:val="00776A8B"/>
    <w:rsid w:val="0077703A"/>
    <w:rsid w:val="007770A3"/>
    <w:rsid w:val="007771F9"/>
    <w:rsid w:val="007774D4"/>
    <w:rsid w:val="007776B6"/>
    <w:rsid w:val="007776F7"/>
    <w:rsid w:val="007779E3"/>
    <w:rsid w:val="00777BCE"/>
    <w:rsid w:val="00777C73"/>
    <w:rsid w:val="00777F3D"/>
    <w:rsid w:val="007800F7"/>
    <w:rsid w:val="00780306"/>
    <w:rsid w:val="007803FD"/>
    <w:rsid w:val="00780494"/>
    <w:rsid w:val="00780518"/>
    <w:rsid w:val="007806FB"/>
    <w:rsid w:val="0078083B"/>
    <w:rsid w:val="00780930"/>
    <w:rsid w:val="00780B84"/>
    <w:rsid w:val="00780CED"/>
    <w:rsid w:val="00781205"/>
    <w:rsid w:val="007812CE"/>
    <w:rsid w:val="007814C2"/>
    <w:rsid w:val="00781749"/>
    <w:rsid w:val="0078182F"/>
    <w:rsid w:val="00781967"/>
    <w:rsid w:val="00781BE6"/>
    <w:rsid w:val="00782164"/>
    <w:rsid w:val="007823AE"/>
    <w:rsid w:val="007827AD"/>
    <w:rsid w:val="00782C65"/>
    <w:rsid w:val="00782EDC"/>
    <w:rsid w:val="00783012"/>
    <w:rsid w:val="00783286"/>
    <w:rsid w:val="0078355D"/>
    <w:rsid w:val="0078377E"/>
    <w:rsid w:val="007837F2"/>
    <w:rsid w:val="007839A3"/>
    <w:rsid w:val="00783A19"/>
    <w:rsid w:val="00783BE5"/>
    <w:rsid w:val="00783E94"/>
    <w:rsid w:val="00784784"/>
    <w:rsid w:val="00784A11"/>
    <w:rsid w:val="00784AE4"/>
    <w:rsid w:val="00784C95"/>
    <w:rsid w:val="00784D5B"/>
    <w:rsid w:val="00784FBA"/>
    <w:rsid w:val="0078526A"/>
    <w:rsid w:val="00785547"/>
    <w:rsid w:val="007855C2"/>
    <w:rsid w:val="007857BF"/>
    <w:rsid w:val="007857CC"/>
    <w:rsid w:val="00785B6E"/>
    <w:rsid w:val="00785DE0"/>
    <w:rsid w:val="00786131"/>
    <w:rsid w:val="0078621E"/>
    <w:rsid w:val="0078651C"/>
    <w:rsid w:val="00786576"/>
    <w:rsid w:val="007867B9"/>
    <w:rsid w:val="0078687F"/>
    <w:rsid w:val="00786999"/>
    <w:rsid w:val="00786CA2"/>
    <w:rsid w:val="00786DF4"/>
    <w:rsid w:val="00787117"/>
    <w:rsid w:val="007871CF"/>
    <w:rsid w:val="00787503"/>
    <w:rsid w:val="007876F3"/>
    <w:rsid w:val="007877FD"/>
    <w:rsid w:val="00787826"/>
    <w:rsid w:val="007879C9"/>
    <w:rsid w:val="00787AC8"/>
    <w:rsid w:val="00790000"/>
    <w:rsid w:val="00790042"/>
    <w:rsid w:val="00790542"/>
    <w:rsid w:val="007905FB"/>
    <w:rsid w:val="00790724"/>
    <w:rsid w:val="007909CA"/>
    <w:rsid w:val="00790AF2"/>
    <w:rsid w:val="00790BFA"/>
    <w:rsid w:val="00790F1B"/>
    <w:rsid w:val="0079129D"/>
    <w:rsid w:val="0079193D"/>
    <w:rsid w:val="00791A57"/>
    <w:rsid w:val="00791B00"/>
    <w:rsid w:val="00791CC1"/>
    <w:rsid w:val="007920C1"/>
    <w:rsid w:val="007920F2"/>
    <w:rsid w:val="00792171"/>
    <w:rsid w:val="0079231C"/>
    <w:rsid w:val="00792383"/>
    <w:rsid w:val="00792548"/>
    <w:rsid w:val="00792583"/>
    <w:rsid w:val="0079261F"/>
    <w:rsid w:val="007927FB"/>
    <w:rsid w:val="007931D0"/>
    <w:rsid w:val="0079324B"/>
    <w:rsid w:val="00793322"/>
    <w:rsid w:val="0079343B"/>
    <w:rsid w:val="007934B1"/>
    <w:rsid w:val="00793564"/>
    <w:rsid w:val="0079358F"/>
    <w:rsid w:val="00793AE3"/>
    <w:rsid w:val="00793E3B"/>
    <w:rsid w:val="00793F1D"/>
    <w:rsid w:val="00793FD7"/>
    <w:rsid w:val="007942E5"/>
    <w:rsid w:val="00794306"/>
    <w:rsid w:val="00794360"/>
    <w:rsid w:val="007945A9"/>
    <w:rsid w:val="00794867"/>
    <w:rsid w:val="007948D1"/>
    <w:rsid w:val="00794922"/>
    <w:rsid w:val="007952A4"/>
    <w:rsid w:val="007955CB"/>
    <w:rsid w:val="007955D4"/>
    <w:rsid w:val="0079565D"/>
    <w:rsid w:val="007957A0"/>
    <w:rsid w:val="00795968"/>
    <w:rsid w:val="00795AD6"/>
    <w:rsid w:val="00795E76"/>
    <w:rsid w:val="00796243"/>
    <w:rsid w:val="007966A9"/>
    <w:rsid w:val="00796917"/>
    <w:rsid w:val="007969FD"/>
    <w:rsid w:val="007970AE"/>
    <w:rsid w:val="00797343"/>
    <w:rsid w:val="00797453"/>
    <w:rsid w:val="007974E4"/>
    <w:rsid w:val="007977BE"/>
    <w:rsid w:val="007978FA"/>
    <w:rsid w:val="00797991"/>
    <w:rsid w:val="00797B7F"/>
    <w:rsid w:val="00797F9F"/>
    <w:rsid w:val="00797FD8"/>
    <w:rsid w:val="007A0105"/>
    <w:rsid w:val="007A01FE"/>
    <w:rsid w:val="007A0315"/>
    <w:rsid w:val="007A04CF"/>
    <w:rsid w:val="007A0B72"/>
    <w:rsid w:val="007A0CB9"/>
    <w:rsid w:val="007A0D3F"/>
    <w:rsid w:val="007A1100"/>
    <w:rsid w:val="007A112E"/>
    <w:rsid w:val="007A123D"/>
    <w:rsid w:val="007A1277"/>
    <w:rsid w:val="007A1348"/>
    <w:rsid w:val="007A135F"/>
    <w:rsid w:val="007A138F"/>
    <w:rsid w:val="007A15F9"/>
    <w:rsid w:val="007A18B5"/>
    <w:rsid w:val="007A1904"/>
    <w:rsid w:val="007A1C02"/>
    <w:rsid w:val="007A1C26"/>
    <w:rsid w:val="007A1D7A"/>
    <w:rsid w:val="007A1E9B"/>
    <w:rsid w:val="007A1ECA"/>
    <w:rsid w:val="007A215E"/>
    <w:rsid w:val="007A22AD"/>
    <w:rsid w:val="007A23F0"/>
    <w:rsid w:val="007A25F7"/>
    <w:rsid w:val="007A2AEB"/>
    <w:rsid w:val="007A2FF8"/>
    <w:rsid w:val="007A3217"/>
    <w:rsid w:val="007A3297"/>
    <w:rsid w:val="007A37D6"/>
    <w:rsid w:val="007A392C"/>
    <w:rsid w:val="007A3BD4"/>
    <w:rsid w:val="007A3FB5"/>
    <w:rsid w:val="007A4012"/>
    <w:rsid w:val="007A4158"/>
    <w:rsid w:val="007A4669"/>
    <w:rsid w:val="007A4775"/>
    <w:rsid w:val="007A4C2F"/>
    <w:rsid w:val="007A4D29"/>
    <w:rsid w:val="007A51A8"/>
    <w:rsid w:val="007A5863"/>
    <w:rsid w:val="007A5B23"/>
    <w:rsid w:val="007A5BB1"/>
    <w:rsid w:val="007A5BF8"/>
    <w:rsid w:val="007A5C7E"/>
    <w:rsid w:val="007A614C"/>
    <w:rsid w:val="007A62AA"/>
    <w:rsid w:val="007A63D5"/>
    <w:rsid w:val="007A65F3"/>
    <w:rsid w:val="007A675E"/>
    <w:rsid w:val="007A69DA"/>
    <w:rsid w:val="007A6E04"/>
    <w:rsid w:val="007A70DA"/>
    <w:rsid w:val="007A714B"/>
    <w:rsid w:val="007A716A"/>
    <w:rsid w:val="007A7365"/>
    <w:rsid w:val="007A7516"/>
    <w:rsid w:val="007A77A2"/>
    <w:rsid w:val="007A7A83"/>
    <w:rsid w:val="007A7C95"/>
    <w:rsid w:val="007A7ED8"/>
    <w:rsid w:val="007A7F99"/>
    <w:rsid w:val="007B00F5"/>
    <w:rsid w:val="007B0180"/>
    <w:rsid w:val="007B0351"/>
    <w:rsid w:val="007B06DC"/>
    <w:rsid w:val="007B082A"/>
    <w:rsid w:val="007B0982"/>
    <w:rsid w:val="007B0D98"/>
    <w:rsid w:val="007B114F"/>
    <w:rsid w:val="007B12B8"/>
    <w:rsid w:val="007B1350"/>
    <w:rsid w:val="007B1596"/>
    <w:rsid w:val="007B15C0"/>
    <w:rsid w:val="007B179F"/>
    <w:rsid w:val="007B194E"/>
    <w:rsid w:val="007B19D9"/>
    <w:rsid w:val="007B1BF7"/>
    <w:rsid w:val="007B203C"/>
    <w:rsid w:val="007B2230"/>
    <w:rsid w:val="007B28A5"/>
    <w:rsid w:val="007B2AE2"/>
    <w:rsid w:val="007B2B86"/>
    <w:rsid w:val="007B2EFD"/>
    <w:rsid w:val="007B33AB"/>
    <w:rsid w:val="007B35C0"/>
    <w:rsid w:val="007B36AE"/>
    <w:rsid w:val="007B3839"/>
    <w:rsid w:val="007B3869"/>
    <w:rsid w:val="007B3948"/>
    <w:rsid w:val="007B3960"/>
    <w:rsid w:val="007B3CE1"/>
    <w:rsid w:val="007B3D0B"/>
    <w:rsid w:val="007B4032"/>
    <w:rsid w:val="007B4136"/>
    <w:rsid w:val="007B43E4"/>
    <w:rsid w:val="007B453E"/>
    <w:rsid w:val="007B473B"/>
    <w:rsid w:val="007B4830"/>
    <w:rsid w:val="007B485E"/>
    <w:rsid w:val="007B487A"/>
    <w:rsid w:val="007B4D00"/>
    <w:rsid w:val="007B4D0A"/>
    <w:rsid w:val="007B4F84"/>
    <w:rsid w:val="007B514C"/>
    <w:rsid w:val="007B5490"/>
    <w:rsid w:val="007B5C44"/>
    <w:rsid w:val="007B5CF2"/>
    <w:rsid w:val="007B5D25"/>
    <w:rsid w:val="007B6094"/>
    <w:rsid w:val="007B60ED"/>
    <w:rsid w:val="007B6347"/>
    <w:rsid w:val="007B6436"/>
    <w:rsid w:val="007B6728"/>
    <w:rsid w:val="007B679A"/>
    <w:rsid w:val="007B6911"/>
    <w:rsid w:val="007B6B57"/>
    <w:rsid w:val="007B6FFE"/>
    <w:rsid w:val="007B7123"/>
    <w:rsid w:val="007B7213"/>
    <w:rsid w:val="007B7270"/>
    <w:rsid w:val="007B7568"/>
    <w:rsid w:val="007B7584"/>
    <w:rsid w:val="007B779D"/>
    <w:rsid w:val="007B7A06"/>
    <w:rsid w:val="007B7F19"/>
    <w:rsid w:val="007B7F94"/>
    <w:rsid w:val="007B7FE2"/>
    <w:rsid w:val="007C010A"/>
    <w:rsid w:val="007C03DB"/>
    <w:rsid w:val="007C0498"/>
    <w:rsid w:val="007C0625"/>
    <w:rsid w:val="007C0870"/>
    <w:rsid w:val="007C0910"/>
    <w:rsid w:val="007C0C65"/>
    <w:rsid w:val="007C0F86"/>
    <w:rsid w:val="007C10EC"/>
    <w:rsid w:val="007C1275"/>
    <w:rsid w:val="007C12C8"/>
    <w:rsid w:val="007C19A3"/>
    <w:rsid w:val="007C1A15"/>
    <w:rsid w:val="007C1D28"/>
    <w:rsid w:val="007C2149"/>
    <w:rsid w:val="007C22F9"/>
    <w:rsid w:val="007C24C3"/>
    <w:rsid w:val="007C24FD"/>
    <w:rsid w:val="007C258F"/>
    <w:rsid w:val="007C29BD"/>
    <w:rsid w:val="007C2F08"/>
    <w:rsid w:val="007C3154"/>
    <w:rsid w:val="007C331D"/>
    <w:rsid w:val="007C33A7"/>
    <w:rsid w:val="007C37DC"/>
    <w:rsid w:val="007C3802"/>
    <w:rsid w:val="007C3A62"/>
    <w:rsid w:val="007C3A72"/>
    <w:rsid w:val="007C3B17"/>
    <w:rsid w:val="007C3EA1"/>
    <w:rsid w:val="007C40E9"/>
    <w:rsid w:val="007C4102"/>
    <w:rsid w:val="007C41D1"/>
    <w:rsid w:val="007C45FB"/>
    <w:rsid w:val="007C46D3"/>
    <w:rsid w:val="007C485C"/>
    <w:rsid w:val="007C4C14"/>
    <w:rsid w:val="007C5019"/>
    <w:rsid w:val="007C5277"/>
    <w:rsid w:val="007C558B"/>
    <w:rsid w:val="007C5EBD"/>
    <w:rsid w:val="007C60F4"/>
    <w:rsid w:val="007C61A0"/>
    <w:rsid w:val="007C61C2"/>
    <w:rsid w:val="007C6342"/>
    <w:rsid w:val="007C6799"/>
    <w:rsid w:val="007C67B7"/>
    <w:rsid w:val="007C68A4"/>
    <w:rsid w:val="007C68A6"/>
    <w:rsid w:val="007C69F5"/>
    <w:rsid w:val="007C6B3A"/>
    <w:rsid w:val="007C6E21"/>
    <w:rsid w:val="007C7154"/>
    <w:rsid w:val="007C723A"/>
    <w:rsid w:val="007C7265"/>
    <w:rsid w:val="007C7ACF"/>
    <w:rsid w:val="007C7AD6"/>
    <w:rsid w:val="007C7B51"/>
    <w:rsid w:val="007C7D22"/>
    <w:rsid w:val="007C7DF7"/>
    <w:rsid w:val="007CF606"/>
    <w:rsid w:val="007D0170"/>
    <w:rsid w:val="007D01AC"/>
    <w:rsid w:val="007D029E"/>
    <w:rsid w:val="007D033D"/>
    <w:rsid w:val="007D0534"/>
    <w:rsid w:val="007D06F6"/>
    <w:rsid w:val="007D089F"/>
    <w:rsid w:val="007D0F91"/>
    <w:rsid w:val="007D1170"/>
    <w:rsid w:val="007D121D"/>
    <w:rsid w:val="007D1277"/>
    <w:rsid w:val="007D12E8"/>
    <w:rsid w:val="007D13B8"/>
    <w:rsid w:val="007D1762"/>
    <w:rsid w:val="007D17AD"/>
    <w:rsid w:val="007D1A3F"/>
    <w:rsid w:val="007D1AB9"/>
    <w:rsid w:val="007D1E61"/>
    <w:rsid w:val="007D1E67"/>
    <w:rsid w:val="007D1F3E"/>
    <w:rsid w:val="007D20EA"/>
    <w:rsid w:val="007D2101"/>
    <w:rsid w:val="007D214F"/>
    <w:rsid w:val="007D218A"/>
    <w:rsid w:val="007D2344"/>
    <w:rsid w:val="007D238C"/>
    <w:rsid w:val="007D2665"/>
    <w:rsid w:val="007D27F4"/>
    <w:rsid w:val="007D292C"/>
    <w:rsid w:val="007D2A43"/>
    <w:rsid w:val="007D2D9A"/>
    <w:rsid w:val="007D2F52"/>
    <w:rsid w:val="007D301C"/>
    <w:rsid w:val="007D32F6"/>
    <w:rsid w:val="007D33D2"/>
    <w:rsid w:val="007D36D7"/>
    <w:rsid w:val="007D3748"/>
    <w:rsid w:val="007D3A24"/>
    <w:rsid w:val="007D3B86"/>
    <w:rsid w:val="007D3C20"/>
    <w:rsid w:val="007D3F58"/>
    <w:rsid w:val="007D400C"/>
    <w:rsid w:val="007D4134"/>
    <w:rsid w:val="007D4252"/>
    <w:rsid w:val="007D43E3"/>
    <w:rsid w:val="007D48EC"/>
    <w:rsid w:val="007D4A2E"/>
    <w:rsid w:val="007D4AEC"/>
    <w:rsid w:val="007D4C5B"/>
    <w:rsid w:val="007D4CBE"/>
    <w:rsid w:val="007D5148"/>
    <w:rsid w:val="007D51B9"/>
    <w:rsid w:val="007D5493"/>
    <w:rsid w:val="007D55E2"/>
    <w:rsid w:val="007D5662"/>
    <w:rsid w:val="007D56C8"/>
    <w:rsid w:val="007D56D8"/>
    <w:rsid w:val="007D592E"/>
    <w:rsid w:val="007D5C60"/>
    <w:rsid w:val="007D5D34"/>
    <w:rsid w:val="007D6357"/>
    <w:rsid w:val="007D64F0"/>
    <w:rsid w:val="007D6638"/>
    <w:rsid w:val="007D667E"/>
    <w:rsid w:val="007D6766"/>
    <w:rsid w:val="007D678B"/>
    <w:rsid w:val="007D68ED"/>
    <w:rsid w:val="007D6A1A"/>
    <w:rsid w:val="007D6B59"/>
    <w:rsid w:val="007D6BA8"/>
    <w:rsid w:val="007D6BBC"/>
    <w:rsid w:val="007D6ECF"/>
    <w:rsid w:val="007D6F1D"/>
    <w:rsid w:val="007D773D"/>
    <w:rsid w:val="007D77BC"/>
    <w:rsid w:val="007D7B07"/>
    <w:rsid w:val="007D7BCB"/>
    <w:rsid w:val="007D7C1B"/>
    <w:rsid w:val="007D7C83"/>
    <w:rsid w:val="007E01C9"/>
    <w:rsid w:val="007E0218"/>
    <w:rsid w:val="007E063B"/>
    <w:rsid w:val="007E0833"/>
    <w:rsid w:val="007E084D"/>
    <w:rsid w:val="007E0BC4"/>
    <w:rsid w:val="007E0D05"/>
    <w:rsid w:val="007E0D88"/>
    <w:rsid w:val="007E0E18"/>
    <w:rsid w:val="007E0FF7"/>
    <w:rsid w:val="007E10A0"/>
    <w:rsid w:val="007E15BC"/>
    <w:rsid w:val="007E16A4"/>
    <w:rsid w:val="007E17B0"/>
    <w:rsid w:val="007E1AF7"/>
    <w:rsid w:val="007E1B54"/>
    <w:rsid w:val="007E1C2F"/>
    <w:rsid w:val="007E2962"/>
    <w:rsid w:val="007E2B3F"/>
    <w:rsid w:val="007E300C"/>
    <w:rsid w:val="007E341F"/>
    <w:rsid w:val="007E3A63"/>
    <w:rsid w:val="007E3AE6"/>
    <w:rsid w:val="007E3B12"/>
    <w:rsid w:val="007E3B7C"/>
    <w:rsid w:val="007E3CB1"/>
    <w:rsid w:val="007E41F3"/>
    <w:rsid w:val="007E4260"/>
    <w:rsid w:val="007E428C"/>
    <w:rsid w:val="007E42A5"/>
    <w:rsid w:val="007E4351"/>
    <w:rsid w:val="007E4489"/>
    <w:rsid w:val="007E44EF"/>
    <w:rsid w:val="007E459B"/>
    <w:rsid w:val="007E479D"/>
    <w:rsid w:val="007E4D49"/>
    <w:rsid w:val="007E4D68"/>
    <w:rsid w:val="007E4D86"/>
    <w:rsid w:val="007E4E18"/>
    <w:rsid w:val="007E527F"/>
    <w:rsid w:val="007E531A"/>
    <w:rsid w:val="007E537D"/>
    <w:rsid w:val="007E5509"/>
    <w:rsid w:val="007E551D"/>
    <w:rsid w:val="007E56C6"/>
    <w:rsid w:val="007E580D"/>
    <w:rsid w:val="007E5C04"/>
    <w:rsid w:val="007E5C4C"/>
    <w:rsid w:val="007E5DBF"/>
    <w:rsid w:val="007E5F6C"/>
    <w:rsid w:val="007E613B"/>
    <w:rsid w:val="007E62FA"/>
    <w:rsid w:val="007E632F"/>
    <w:rsid w:val="007E6694"/>
    <w:rsid w:val="007E6944"/>
    <w:rsid w:val="007E6A85"/>
    <w:rsid w:val="007E6E59"/>
    <w:rsid w:val="007E6E98"/>
    <w:rsid w:val="007E6F51"/>
    <w:rsid w:val="007E6F60"/>
    <w:rsid w:val="007E7099"/>
    <w:rsid w:val="007E72B8"/>
    <w:rsid w:val="007E7326"/>
    <w:rsid w:val="007E7357"/>
    <w:rsid w:val="007E73C0"/>
    <w:rsid w:val="007E7438"/>
    <w:rsid w:val="007E744A"/>
    <w:rsid w:val="007E76F7"/>
    <w:rsid w:val="007E7D69"/>
    <w:rsid w:val="007E7D86"/>
    <w:rsid w:val="007E7DA2"/>
    <w:rsid w:val="007E7DDB"/>
    <w:rsid w:val="007E7F12"/>
    <w:rsid w:val="007F02F3"/>
    <w:rsid w:val="007F039A"/>
    <w:rsid w:val="007F0893"/>
    <w:rsid w:val="007F0DD2"/>
    <w:rsid w:val="007F0F93"/>
    <w:rsid w:val="007F103B"/>
    <w:rsid w:val="007F1128"/>
    <w:rsid w:val="007F11A9"/>
    <w:rsid w:val="007F13A0"/>
    <w:rsid w:val="007F145F"/>
    <w:rsid w:val="007F1669"/>
    <w:rsid w:val="007F1CF8"/>
    <w:rsid w:val="007F1D52"/>
    <w:rsid w:val="007F235B"/>
    <w:rsid w:val="007F2902"/>
    <w:rsid w:val="007F2AFC"/>
    <w:rsid w:val="007F2E84"/>
    <w:rsid w:val="007F2E99"/>
    <w:rsid w:val="007F2EED"/>
    <w:rsid w:val="007F2FC4"/>
    <w:rsid w:val="007F3010"/>
    <w:rsid w:val="007F3066"/>
    <w:rsid w:val="007F31A4"/>
    <w:rsid w:val="007F32C6"/>
    <w:rsid w:val="007F3305"/>
    <w:rsid w:val="007F3419"/>
    <w:rsid w:val="007F3505"/>
    <w:rsid w:val="007F3703"/>
    <w:rsid w:val="007F370C"/>
    <w:rsid w:val="007F3864"/>
    <w:rsid w:val="007F3B89"/>
    <w:rsid w:val="007F3BED"/>
    <w:rsid w:val="007F3C38"/>
    <w:rsid w:val="007F3C3C"/>
    <w:rsid w:val="007F444A"/>
    <w:rsid w:val="007F4608"/>
    <w:rsid w:val="007F4721"/>
    <w:rsid w:val="007F4788"/>
    <w:rsid w:val="007F48E0"/>
    <w:rsid w:val="007F4BF5"/>
    <w:rsid w:val="007F4C12"/>
    <w:rsid w:val="007F4E28"/>
    <w:rsid w:val="007F4F1D"/>
    <w:rsid w:val="007F5222"/>
    <w:rsid w:val="007F536E"/>
    <w:rsid w:val="007F546E"/>
    <w:rsid w:val="007F5702"/>
    <w:rsid w:val="007F5841"/>
    <w:rsid w:val="007F593E"/>
    <w:rsid w:val="007F598E"/>
    <w:rsid w:val="007F5D28"/>
    <w:rsid w:val="007F5DCD"/>
    <w:rsid w:val="007F5FF7"/>
    <w:rsid w:val="007F6083"/>
    <w:rsid w:val="007F62F9"/>
    <w:rsid w:val="007F6496"/>
    <w:rsid w:val="007F6561"/>
    <w:rsid w:val="007F6771"/>
    <w:rsid w:val="007F6B3E"/>
    <w:rsid w:val="007F6BB6"/>
    <w:rsid w:val="007F6E3C"/>
    <w:rsid w:val="007F6EF8"/>
    <w:rsid w:val="007F7082"/>
    <w:rsid w:val="007F719B"/>
    <w:rsid w:val="007F71D0"/>
    <w:rsid w:val="007F7385"/>
    <w:rsid w:val="007F7391"/>
    <w:rsid w:val="007F76C0"/>
    <w:rsid w:val="007F7987"/>
    <w:rsid w:val="007F7B5B"/>
    <w:rsid w:val="007F7E65"/>
    <w:rsid w:val="00800026"/>
    <w:rsid w:val="008003AE"/>
    <w:rsid w:val="00800A6C"/>
    <w:rsid w:val="008012A9"/>
    <w:rsid w:val="00801683"/>
    <w:rsid w:val="008018FC"/>
    <w:rsid w:val="00801B62"/>
    <w:rsid w:val="00801D84"/>
    <w:rsid w:val="00801EEA"/>
    <w:rsid w:val="00801F3C"/>
    <w:rsid w:val="00801FE8"/>
    <w:rsid w:val="00802132"/>
    <w:rsid w:val="00802134"/>
    <w:rsid w:val="008022DB"/>
    <w:rsid w:val="0080235C"/>
    <w:rsid w:val="00802594"/>
    <w:rsid w:val="008025A4"/>
    <w:rsid w:val="00802631"/>
    <w:rsid w:val="00802EF6"/>
    <w:rsid w:val="00802F22"/>
    <w:rsid w:val="00803098"/>
    <w:rsid w:val="00803114"/>
    <w:rsid w:val="008032DF"/>
    <w:rsid w:val="0080332B"/>
    <w:rsid w:val="008033B9"/>
    <w:rsid w:val="0080359A"/>
    <w:rsid w:val="008036B1"/>
    <w:rsid w:val="008037E8"/>
    <w:rsid w:val="008039B1"/>
    <w:rsid w:val="00803A8F"/>
    <w:rsid w:val="00803B1E"/>
    <w:rsid w:val="00803C37"/>
    <w:rsid w:val="00803F3B"/>
    <w:rsid w:val="00804602"/>
    <w:rsid w:val="008046E7"/>
    <w:rsid w:val="00804A6D"/>
    <w:rsid w:val="0080502A"/>
    <w:rsid w:val="00805488"/>
    <w:rsid w:val="00805ED4"/>
    <w:rsid w:val="00805F59"/>
    <w:rsid w:val="008060CA"/>
    <w:rsid w:val="008061B5"/>
    <w:rsid w:val="0080634D"/>
    <w:rsid w:val="008063EA"/>
    <w:rsid w:val="0080665E"/>
    <w:rsid w:val="008066E9"/>
    <w:rsid w:val="0080693F"/>
    <w:rsid w:val="00806AF6"/>
    <w:rsid w:val="00806EF2"/>
    <w:rsid w:val="00807022"/>
    <w:rsid w:val="008072B6"/>
    <w:rsid w:val="008072D5"/>
    <w:rsid w:val="008074A2"/>
    <w:rsid w:val="008076D1"/>
    <w:rsid w:val="0080794E"/>
    <w:rsid w:val="00807A66"/>
    <w:rsid w:val="00807C10"/>
    <w:rsid w:val="00807FA1"/>
    <w:rsid w:val="008100B9"/>
    <w:rsid w:val="00810377"/>
    <w:rsid w:val="00810382"/>
    <w:rsid w:val="008107C6"/>
    <w:rsid w:val="008108AD"/>
    <w:rsid w:val="008109D3"/>
    <w:rsid w:val="00810BDF"/>
    <w:rsid w:val="0081108F"/>
    <w:rsid w:val="008114BA"/>
    <w:rsid w:val="0081155D"/>
    <w:rsid w:val="00811AD4"/>
    <w:rsid w:val="00811D4D"/>
    <w:rsid w:val="00812139"/>
    <w:rsid w:val="008122FD"/>
    <w:rsid w:val="00812368"/>
    <w:rsid w:val="0081260E"/>
    <w:rsid w:val="0081262C"/>
    <w:rsid w:val="008126F1"/>
    <w:rsid w:val="008127DB"/>
    <w:rsid w:val="0081280B"/>
    <w:rsid w:val="0081283B"/>
    <w:rsid w:val="00812977"/>
    <w:rsid w:val="00812B5A"/>
    <w:rsid w:val="00812CC9"/>
    <w:rsid w:val="00812E58"/>
    <w:rsid w:val="00813186"/>
    <w:rsid w:val="00813254"/>
    <w:rsid w:val="008138B2"/>
    <w:rsid w:val="008139C1"/>
    <w:rsid w:val="00813AAB"/>
    <w:rsid w:val="00813F32"/>
    <w:rsid w:val="00813FCC"/>
    <w:rsid w:val="00814036"/>
    <w:rsid w:val="0081408A"/>
    <w:rsid w:val="00814128"/>
    <w:rsid w:val="00814274"/>
    <w:rsid w:val="0081444B"/>
    <w:rsid w:val="00814535"/>
    <w:rsid w:val="00814731"/>
    <w:rsid w:val="00814867"/>
    <w:rsid w:val="00814995"/>
    <w:rsid w:val="008149D5"/>
    <w:rsid w:val="00814AB4"/>
    <w:rsid w:val="00814FBA"/>
    <w:rsid w:val="00814FE8"/>
    <w:rsid w:val="008150B9"/>
    <w:rsid w:val="008150D6"/>
    <w:rsid w:val="00815295"/>
    <w:rsid w:val="0081534D"/>
    <w:rsid w:val="008154CB"/>
    <w:rsid w:val="008157AA"/>
    <w:rsid w:val="00815AA7"/>
    <w:rsid w:val="00816373"/>
    <w:rsid w:val="008163D2"/>
    <w:rsid w:val="0081657A"/>
    <w:rsid w:val="008165BD"/>
    <w:rsid w:val="008168C3"/>
    <w:rsid w:val="00816B5D"/>
    <w:rsid w:val="00816C50"/>
    <w:rsid w:val="00816D32"/>
    <w:rsid w:val="00816D4D"/>
    <w:rsid w:val="00816DC7"/>
    <w:rsid w:val="0081713B"/>
    <w:rsid w:val="008171FE"/>
    <w:rsid w:val="008172A2"/>
    <w:rsid w:val="008172DE"/>
    <w:rsid w:val="00817310"/>
    <w:rsid w:val="00817354"/>
    <w:rsid w:val="00817761"/>
    <w:rsid w:val="008178BA"/>
    <w:rsid w:val="00817D91"/>
    <w:rsid w:val="00817DB2"/>
    <w:rsid w:val="00817FCD"/>
    <w:rsid w:val="008201A1"/>
    <w:rsid w:val="0082032C"/>
    <w:rsid w:val="00820767"/>
    <w:rsid w:val="008207CE"/>
    <w:rsid w:val="0082096F"/>
    <w:rsid w:val="00820D68"/>
    <w:rsid w:val="00821032"/>
    <w:rsid w:val="0082112B"/>
    <w:rsid w:val="008211E9"/>
    <w:rsid w:val="00821202"/>
    <w:rsid w:val="00821808"/>
    <w:rsid w:val="008218FC"/>
    <w:rsid w:val="00821B5F"/>
    <w:rsid w:val="00821D68"/>
    <w:rsid w:val="00822210"/>
    <w:rsid w:val="00822624"/>
    <w:rsid w:val="00822676"/>
    <w:rsid w:val="00822B45"/>
    <w:rsid w:val="00822BE0"/>
    <w:rsid w:val="00822C19"/>
    <w:rsid w:val="00822E17"/>
    <w:rsid w:val="0082306F"/>
    <w:rsid w:val="0082313F"/>
    <w:rsid w:val="0082321B"/>
    <w:rsid w:val="008232C3"/>
    <w:rsid w:val="008234BD"/>
    <w:rsid w:val="00823927"/>
    <w:rsid w:val="008239C8"/>
    <w:rsid w:val="00823DA1"/>
    <w:rsid w:val="00823DF5"/>
    <w:rsid w:val="00823E95"/>
    <w:rsid w:val="00824064"/>
    <w:rsid w:val="0082430F"/>
    <w:rsid w:val="008245BF"/>
    <w:rsid w:val="0082466D"/>
    <w:rsid w:val="008246C5"/>
    <w:rsid w:val="00824A8B"/>
    <w:rsid w:val="00824BFE"/>
    <w:rsid w:val="00824D84"/>
    <w:rsid w:val="00824E57"/>
    <w:rsid w:val="00824F73"/>
    <w:rsid w:val="00825D9C"/>
    <w:rsid w:val="00825F04"/>
    <w:rsid w:val="0082635D"/>
    <w:rsid w:val="008265CD"/>
    <w:rsid w:val="008265E9"/>
    <w:rsid w:val="00826763"/>
    <w:rsid w:val="008268DA"/>
    <w:rsid w:val="00826A64"/>
    <w:rsid w:val="00826B21"/>
    <w:rsid w:val="00826F1D"/>
    <w:rsid w:val="00826F7D"/>
    <w:rsid w:val="008270FB"/>
    <w:rsid w:val="00827293"/>
    <w:rsid w:val="008272C8"/>
    <w:rsid w:val="00827430"/>
    <w:rsid w:val="008274A3"/>
    <w:rsid w:val="0082790F"/>
    <w:rsid w:val="00827FC3"/>
    <w:rsid w:val="00830233"/>
    <w:rsid w:val="0083059E"/>
    <w:rsid w:val="00830632"/>
    <w:rsid w:val="008306C4"/>
    <w:rsid w:val="0083074F"/>
    <w:rsid w:val="008307DF"/>
    <w:rsid w:val="008311F5"/>
    <w:rsid w:val="00831219"/>
    <w:rsid w:val="0083124B"/>
    <w:rsid w:val="00831814"/>
    <w:rsid w:val="008318CC"/>
    <w:rsid w:val="0083198F"/>
    <w:rsid w:val="00831B47"/>
    <w:rsid w:val="00831C34"/>
    <w:rsid w:val="00831F6E"/>
    <w:rsid w:val="008323F1"/>
    <w:rsid w:val="0083285E"/>
    <w:rsid w:val="00832988"/>
    <w:rsid w:val="00832A8C"/>
    <w:rsid w:val="00832AE6"/>
    <w:rsid w:val="00832B8C"/>
    <w:rsid w:val="00832BA9"/>
    <w:rsid w:val="00832DDA"/>
    <w:rsid w:val="00832E27"/>
    <w:rsid w:val="00832F55"/>
    <w:rsid w:val="0083306C"/>
    <w:rsid w:val="0083333C"/>
    <w:rsid w:val="00833961"/>
    <w:rsid w:val="00833AB0"/>
    <w:rsid w:val="00833B16"/>
    <w:rsid w:val="00833B30"/>
    <w:rsid w:val="00833BCF"/>
    <w:rsid w:val="00833BD0"/>
    <w:rsid w:val="00833E95"/>
    <w:rsid w:val="00833F8D"/>
    <w:rsid w:val="008340B3"/>
    <w:rsid w:val="008343E9"/>
    <w:rsid w:val="008345AE"/>
    <w:rsid w:val="00834615"/>
    <w:rsid w:val="00834620"/>
    <w:rsid w:val="00834782"/>
    <w:rsid w:val="008349B7"/>
    <w:rsid w:val="00834BFD"/>
    <w:rsid w:val="00835018"/>
    <w:rsid w:val="008353BB"/>
    <w:rsid w:val="0083561B"/>
    <w:rsid w:val="00835708"/>
    <w:rsid w:val="0083582A"/>
    <w:rsid w:val="00835A76"/>
    <w:rsid w:val="00835B54"/>
    <w:rsid w:val="00835C9F"/>
    <w:rsid w:val="00835CCB"/>
    <w:rsid w:val="00835E25"/>
    <w:rsid w:val="00836153"/>
    <w:rsid w:val="00836699"/>
    <w:rsid w:val="00836C3C"/>
    <w:rsid w:val="00836E21"/>
    <w:rsid w:val="00836F14"/>
    <w:rsid w:val="0083706B"/>
    <w:rsid w:val="00837091"/>
    <w:rsid w:val="00837458"/>
    <w:rsid w:val="0083747C"/>
    <w:rsid w:val="008377B2"/>
    <w:rsid w:val="008378A7"/>
    <w:rsid w:val="00837906"/>
    <w:rsid w:val="00837EB4"/>
    <w:rsid w:val="008402CE"/>
    <w:rsid w:val="00840B14"/>
    <w:rsid w:val="00840E75"/>
    <w:rsid w:val="00840F12"/>
    <w:rsid w:val="00841111"/>
    <w:rsid w:val="0084142F"/>
    <w:rsid w:val="00841799"/>
    <w:rsid w:val="008418C1"/>
    <w:rsid w:val="0084193C"/>
    <w:rsid w:val="00841ABB"/>
    <w:rsid w:val="00841D3E"/>
    <w:rsid w:val="0084212F"/>
    <w:rsid w:val="008422EE"/>
    <w:rsid w:val="00842393"/>
    <w:rsid w:val="0084262B"/>
    <w:rsid w:val="00842637"/>
    <w:rsid w:val="0084270B"/>
    <w:rsid w:val="00842790"/>
    <w:rsid w:val="00842AB6"/>
    <w:rsid w:val="00842BB9"/>
    <w:rsid w:val="00842BD5"/>
    <w:rsid w:val="00842DAB"/>
    <w:rsid w:val="00842E8B"/>
    <w:rsid w:val="00842F0B"/>
    <w:rsid w:val="008430F1"/>
    <w:rsid w:val="008436FD"/>
    <w:rsid w:val="00843A37"/>
    <w:rsid w:val="00843AB4"/>
    <w:rsid w:val="00843DEB"/>
    <w:rsid w:val="00843E0E"/>
    <w:rsid w:val="00843EB1"/>
    <w:rsid w:val="008441E5"/>
    <w:rsid w:val="008441FF"/>
    <w:rsid w:val="00844200"/>
    <w:rsid w:val="008445A6"/>
    <w:rsid w:val="00844743"/>
    <w:rsid w:val="00844785"/>
    <w:rsid w:val="00844850"/>
    <w:rsid w:val="00844A6C"/>
    <w:rsid w:val="00844D03"/>
    <w:rsid w:val="00844DBE"/>
    <w:rsid w:val="00844F31"/>
    <w:rsid w:val="00844F4A"/>
    <w:rsid w:val="00845105"/>
    <w:rsid w:val="008454F5"/>
    <w:rsid w:val="00845532"/>
    <w:rsid w:val="00845799"/>
    <w:rsid w:val="00845820"/>
    <w:rsid w:val="008458F2"/>
    <w:rsid w:val="00845AAC"/>
    <w:rsid w:val="00845C89"/>
    <w:rsid w:val="00845FED"/>
    <w:rsid w:val="00846111"/>
    <w:rsid w:val="008468DC"/>
    <w:rsid w:val="00846D37"/>
    <w:rsid w:val="00847052"/>
    <w:rsid w:val="0084706C"/>
    <w:rsid w:val="0084737B"/>
    <w:rsid w:val="008474B6"/>
    <w:rsid w:val="008474EB"/>
    <w:rsid w:val="0084788E"/>
    <w:rsid w:val="008478D4"/>
    <w:rsid w:val="00847B37"/>
    <w:rsid w:val="00847CC4"/>
    <w:rsid w:val="00847D61"/>
    <w:rsid w:val="00847EDF"/>
    <w:rsid w:val="00847F93"/>
    <w:rsid w:val="00847F9E"/>
    <w:rsid w:val="0085020B"/>
    <w:rsid w:val="008502B1"/>
    <w:rsid w:val="0085033E"/>
    <w:rsid w:val="00850443"/>
    <w:rsid w:val="008504E9"/>
    <w:rsid w:val="00850528"/>
    <w:rsid w:val="0085063B"/>
    <w:rsid w:val="008507CC"/>
    <w:rsid w:val="00850B12"/>
    <w:rsid w:val="00850BDC"/>
    <w:rsid w:val="0085106D"/>
    <w:rsid w:val="00851122"/>
    <w:rsid w:val="008514C8"/>
    <w:rsid w:val="00851574"/>
    <w:rsid w:val="008517DC"/>
    <w:rsid w:val="00851924"/>
    <w:rsid w:val="0085198D"/>
    <w:rsid w:val="008519CB"/>
    <w:rsid w:val="00851E81"/>
    <w:rsid w:val="00851FAD"/>
    <w:rsid w:val="00852019"/>
    <w:rsid w:val="0085206B"/>
    <w:rsid w:val="00852147"/>
    <w:rsid w:val="00852220"/>
    <w:rsid w:val="008524A8"/>
    <w:rsid w:val="00852536"/>
    <w:rsid w:val="00852562"/>
    <w:rsid w:val="008525ED"/>
    <w:rsid w:val="00852B40"/>
    <w:rsid w:val="00852BCE"/>
    <w:rsid w:val="00852C60"/>
    <w:rsid w:val="00852DBF"/>
    <w:rsid w:val="00853385"/>
    <w:rsid w:val="008533DA"/>
    <w:rsid w:val="008535DF"/>
    <w:rsid w:val="008536A0"/>
    <w:rsid w:val="0085377D"/>
    <w:rsid w:val="00853895"/>
    <w:rsid w:val="00853BF0"/>
    <w:rsid w:val="00853DBF"/>
    <w:rsid w:val="00853E74"/>
    <w:rsid w:val="00853F2F"/>
    <w:rsid w:val="00854081"/>
    <w:rsid w:val="008544EA"/>
    <w:rsid w:val="008545A3"/>
    <w:rsid w:val="00854A89"/>
    <w:rsid w:val="00854B2A"/>
    <w:rsid w:val="00854C6F"/>
    <w:rsid w:val="0085508F"/>
    <w:rsid w:val="008551B4"/>
    <w:rsid w:val="0085521A"/>
    <w:rsid w:val="008553E5"/>
    <w:rsid w:val="0085580B"/>
    <w:rsid w:val="00855882"/>
    <w:rsid w:val="00855A58"/>
    <w:rsid w:val="00855B52"/>
    <w:rsid w:val="00855B76"/>
    <w:rsid w:val="00855EE6"/>
    <w:rsid w:val="008561F4"/>
    <w:rsid w:val="008567EC"/>
    <w:rsid w:val="0085696B"/>
    <w:rsid w:val="00856B32"/>
    <w:rsid w:val="00856DF3"/>
    <w:rsid w:val="00856FE9"/>
    <w:rsid w:val="00857265"/>
    <w:rsid w:val="008572BD"/>
    <w:rsid w:val="0085792E"/>
    <w:rsid w:val="00857E35"/>
    <w:rsid w:val="00860414"/>
    <w:rsid w:val="008605CA"/>
    <w:rsid w:val="00860BB2"/>
    <w:rsid w:val="00860F2C"/>
    <w:rsid w:val="00861851"/>
    <w:rsid w:val="008618F1"/>
    <w:rsid w:val="00861A0B"/>
    <w:rsid w:val="00861E24"/>
    <w:rsid w:val="00861EEF"/>
    <w:rsid w:val="00861FAB"/>
    <w:rsid w:val="00862AFB"/>
    <w:rsid w:val="00862BD9"/>
    <w:rsid w:val="00862C55"/>
    <w:rsid w:val="00862C5C"/>
    <w:rsid w:val="00862D22"/>
    <w:rsid w:val="00862D80"/>
    <w:rsid w:val="00862E44"/>
    <w:rsid w:val="00863255"/>
    <w:rsid w:val="00863368"/>
    <w:rsid w:val="008634AD"/>
    <w:rsid w:val="00863533"/>
    <w:rsid w:val="008636D3"/>
    <w:rsid w:val="00863937"/>
    <w:rsid w:val="0086394B"/>
    <w:rsid w:val="00863CD4"/>
    <w:rsid w:val="00863D5D"/>
    <w:rsid w:val="008642A0"/>
    <w:rsid w:val="0086447D"/>
    <w:rsid w:val="00864A3B"/>
    <w:rsid w:val="008652E2"/>
    <w:rsid w:val="00865352"/>
    <w:rsid w:val="0086558C"/>
    <w:rsid w:val="00865A68"/>
    <w:rsid w:val="00865BA1"/>
    <w:rsid w:val="00866016"/>
    <w:rsid w:val="00866514"/>
    <w:rsid w:val="0086656C"/>
    <w:rsid w:val="00867016"/>
    <w:rsid w:val="00867211"/>
    <w:rsid w:val="008676A4"/>
    <w:rsid w:val="008676B4"/>
    <w:rsid w:val="00867715"/>
    <w:rsid w:val="00867973"/>
    <w:rsid w:val="00867D04"/>
    <w:rsid w:val="00867F3E"/>
    <w:rsid w:val="0087001D"/>
    <w:rsid w:val="0087022F"/>
    <w:rsid w:val="0087032D"/>
    <w:rsid w:val="00870589"/>
    <w:rsid w:val="0087096D"/>
    <w:rsid w:val="00870C07"/>
    <w:rsid w:val="00870E85"/>
    <w:rsid w:val="00870FF1"/>
    <w:rsid w:val="00870FF9"/>
    <w:rsid w:val="00871B5D"/>
    <w:rsid w:val="00871FC1"/>
    <w:rsid w:val="008724EF"/>
    <w:rsid w:val="0087269E"/>
    <w:rsid w:val="008728F0"/>
    <w:rsid w:val="0087297F"/>
    <w:rsid w:val="008729B4"/>
    <w:rsid w:val="00872A87"/>
    <w:rsid w:val="00872C48"/>
    <w:rsid w:val="00872D9E"/>
    <w:rsid w:val="00872EEA"/>
    <w:rsid w:val="00873010"/>
    <w:rsid w:val="00873053"/>
    <w:rsid w:val="008730CC"/>
    <w:rsid w:val="00873126"/>
    <w:rsid w:val="008732D1"/>
    <w:rsid w:val="00873960"/>
    <w:rsid w:val="008739A6"/>
    <w:rsid w:val="00873A4C"/>
    <w:rsid w:val="00873B0B"/>
    <w:rsid w:val="00873B45"/>
    <w:rsid w:val="00873FF7"/>
    <w:rsid w:val="008742AB"/>
    <w:rsid w:val="0087434B"/>
    <w:rsid w:val="00874482"/>
    <w:rsid w:val="0087455A"/>
    <w:rsid w:val="00874873"/>
    <w:rsid w:val="00874882"/>
    <w:rsid w:val="008748F0"/>
    <w:rsid w:val="008749B2"/>
    <w:rsid w:val="008749B5"/>
    <w:rsid w:val="00874B5C"/>
    <w:rsid w:val="00874C87"/>
    <w:rsid w:val="00874E0C"/>
    <w:rsid w:val="00875227"/>
    <w:rsid w:val="008752D5"/>
    <w:rsid w:val="00875439"/>
    <w:rsid w:val="00875549"/>
    <w:rsid w:val="008756CB"/>
    <w:rsid w:val="0087572C"/>
    <w:rsid w:val="00875898"/>
    <w:rsid w:val="008758B7"/>
    <w:rsid w:val="008758C2"/>
    <w:rsid w:val="008758C4"/>
    <w:rsid w:val="00875A57"/>
    <w:rsid w:val="00875C73"/>
    <w:rsid w:val="00875DDF"/>
    <w:rsid w:val="00876141"/>
    <w:rsid w:val="00876459"/>
    <w:rsid w:val="00876515"/>
    <w:rsid w:val="0087696B"/>
    <w:rsid w:val="00876BDC"/>
    <w:rsid w:val="00876C14"/>
    <w:rsid w:val="00876DD5"/>
    <w:rsid w:val="008771C3"/>
    <w:rsid w:val="008771DC"/>
    <w:rsid w:val="0087741F"/>
    <w:rsid w:val="0087758F"/>
    <w:rsid w:val="00877722"/>
    <w:rsid w:val="00877C2F"/>
    <w:rsid w:val="00880016"/>
    <w:rsid w:val="0088015A"/>
    <w:rsid w:val="00880433"/>
    <w:rsid w:val="00880565"/>
    <w:rsid w:val="00880632"/>
    <w:rsid w:val="00880842"/>
    <w:rsid w:val="00880B71"/>
    <w:rsid w:val="00880BFD"/>
    <w:rsid w:val="00880ECA"/>
    <w:rsid w:val="00881100"/>
    <w:rsid w:val="00881375"/>
    <w:rsid w:val="00881463"/>
    <w:rsid w:val="008818B6"/>
    <w:rsid w:val="008818F7"/>
    <w:rsid w:val="00881B4B"/>
    <w:rsid w:val="00881C1B"/>
    <w:rsid w:val="00881D22"/>
    <w:rsid w:val="00881D60"/>
    <w:rsid w:val="00881EE0"/>
    <w:rsid w:val="0088211A"/>
    <w:rsid w:val="00882231"/>
    <w:rsid w:val="00882287"/>
    <w:rsid w:val="00882778"/>
    <w:rsid w:val="00882829"/>
    <w:rsid w:val="00882847"/>
    <w:rsid w:val="00882857"/>
    <w:rsid w:val="0088294E"/>
    <w:rsid w:val="00882A84"/>
    <w:rsid w:val="00882A96"/>
    <w:rsid w:val="00882B34"/>
    <w:rsid w:val="00882CBE"/>
    <w:rsid w:val="00882D81"/>
    <w:rsid w:val="00882EBA"/>
    <w:rsid w:val="00882FC0"/>
    <w:rsid w:val="00883009"/>
    <w:rsid w:val="008830EB"/>
    <w:rsid w:val="00883B5D"/>
    <w:rsid w:val="00883CB3"/>
    <w:rsid w:val="00883F7F"/>
    <w:rsid w:val="00883FE2"/>
    <w:rsid w:val="00884134"/>
    <w:rsid w:val="00884971"/>
    <w:rsid w:val="00884A7D"/>
    <w:rsid w:val="00884AEE"/>
    <w:rsid w:val="00884E0C"/>
    <w:rsid w:val="00884FEA"/>
    <w:rsid w:val="00885459"/>
    <w:rsid w:val="008855D4"/>
    <w:rsid w:val="008858E5"/>
    <w:rsid w:val="00885F89"/>
    <w:rsid w:val="0088634E"/>
    <w:rsid w:val="008863B4"/>
    <w:rsid w:val="008863F4"/>
    <w:rsid w:val="008865B6"/>
    <w:rsid w:val="00886699"/>
    <w:rsid w:val="00886A57"/>
    <w:rsid w:val="00886ACA"/>
    <w:rsid w:val="00886AE3"/>
    <w:rsid w:val="00886F83"/>
    <w:rsid w:val="00886F8C"/>
    <w:rsid w:val="00887110"/>
    <w:rsid w:val="00887301"/>
    <w:rsid w:val="008873D4"/>
    <w:rsid w:val="008875E1"/>
    <w:rsid w:val="00887A1F"/>
    <w:rsid w:val="00887CD0"/>
    <w:rsid w:val="00887CE7"/>
    <w:rsid w:val="00887F32"/>
    <w:rsid w:val="008901D1"/>
    <w:rsid w:val="00890397"/>
    <w:rsid w:val="008903CC"/>
    <w:rsid w:val="008904DF"/>
    <w:rsid w:val="00890698"/>
    <w:rsid w:val="00890857"/>
    <w:rsid w:val="00890989"/>
    <w:rsid w:val="00890A86"/>
    <w:rsid w:val="00890D69"/>
    <w:rsid w:val="00890F4A"/>
    <w:rsid w:val="0089103D"/>
    <w:rsid w:val="008910B5"/>
    <w:rsid w:val="00891576"/>
    <w:rsid w:val="0089183C"/>
    <w:rsid w:val="00891949"/>
    <w:rsid w:val="00891B0C"/>
    <w:rsid w:val="00892216"/>
    <w:rsid w:val="0089247E"/>
    <w:rsid w:val="008925CF"/>
    <w:rsid w:val="0089265A"/>
    <w:rsid w:val="008926C1"/>
    <w:rsid w:val="008926E0"/>
    <w:rsid w:val="00892940"/>
    <w:rsid w:val="00892C87"/>
    <w:rsid w:val="00892D4F"/>
    <w:rsid w:val="00892DD0"/>
    <w:rsid w:val="00892F9A"/>
    <w:rsid w:val="0089342A"/>
    <w:rsid w:val="0089378A"/>
    <w:rsid w:val="00893A80"/>
    <w:rsid w:val="00893B00"/>
    <w:rsid w:val="00893CE6"/>
    <w:rsid w:val="00893D8A"/>
    <w:rsid w:val="00893DC9"/>
    <w:rsid w:val="008944E2"/>
    <w:rsid w:val="00894547"/>
    <w:rsid w:val="008945C9"/>
    <w:rsid w:val="00894770"/>
    <w:rsid w:val="00894821"/>
    <w:rsid w:val="00894832"/>
    <w:rsid w:val="00894865"/>
    <w:rsid w:val="00894C18"/>
    <w:rsid w:val="00894CE0"/>
    <w:rsid w:val="00894D44"/>
    <w:rsid w:val="00894F21"/>
    <w:rsid w:val="008950B9"/>
    <w:rsid w:val="0089533A"/>
    <w:rsid w:val="0089536D"/>
    <w:rsid w:val="0089538F"/>
    <w:rsid w:val="0089579D"/>
    <w:rsid w:val="00895A18"/>
    <w:rsid w:val="00895D7A"/>
    <w:rsid w:val="00895EC7"/>
    <w:rsid w:val="008961A3"/>
    <w:rsid w:val="008961E3"/>
    <w:rsid w:val="00896499"/>
    <w:rsid w:val="0089675B"/>
    <w:rsid w:val="008968E9"/>
    <w:rsid w:val="0089699D"/>
    <w:rsid w:val="00896E2D"/>
    <w:rsid w:val="00897031"/>
    <w:rsid w:val="00897224"/>
    <w:rsid w:val="008974BA"/>
    <w:rsid w:val="008974F2"/>
    <w:rsid w:val="00897567"/>
    <w:rsid w:val="008A0249"/>
    <w:rsid w:val="008A02D4"/>
    <w:rsid w:val="008A06F7"/>
    <w:rsid w:val="008A0937"/>
    <w:rsid w:val="008A0C99"/>
    <w:rsid w:val="008A0D65"/>
    <w:rsid w:val="008A0F6E"/>
    <w:rsid w:val="008A1623"/>
    <w:rsid w:val="008A1B40"/>
    <w:rsid w:val="008A1C32"/>
    <w:rsid w:val="008A1D8D"/>
    <w:rsid w:val="008A221B"/>
    <w:rsid w:val="008A22F5"/>
    <w:rsid w:val="008A234A"/>
    <w:rsid w:val="008A2511"/>
    <w:rsid w:val="008A2B25"/>
    <w:rsid w:val="008A2B54"/>
    <w:rsid w:val="008A2CD7"/>
    <w:rsid w:val="008A2CDF"/>
    <w:rsid w:val="008A2EE9"/>
    <w:rsid w:val="008A3267"/>
    <w:rsid w:val="008A33EB"/>
    <w:rsid w:val="008A34A4"/>
    <w:rsid w:val="008A35B2"/>
    <w:rsid w:val="008A3627"/>
    <w:rsid w:val="008A3900"/>
    <w:rsid w:val="008A396B"/>
    <w:rsid w:val="008A3E52"/>
    <w:rsid w:val="008A403C"/>
    <w:rsid w:val="008A40F9"/>
    <w:rsid w:val="008A42DB"/>
    <w:rsid w:val="008A4774"/>
    <w:rsid w:val="008A4A71"/>
    <w:rsid w:val="008A4D2A"/>
    <w:rsid w:val="008A4E3C"/>
    <w:rsid w:val="008A4FE2"/>
    <w:rsid w:val="008A5435"/>
    <w:rsid w:val="008A55C5"/>
    <w:rsid w:val="008A56B3"/>
    <w:rsid w:val="008A5B0F"/>
    <w:rsid w:val="008A5C31"/>
    <w:rsid w:val="008A5C8C"/>
    <w:rsid w:val="008A60DE"/>
    <w:rsid w:val="008A61BC"/>
    <w:rsid w:val="008A622D"/>
    <w:rsid w:val="008A6378"/>
    <w:rsid w:val="008A649E"/>
    <w:rsid w:val="008A6501"/>
    <w:rsid w:val="008A65A0"/>
    <w:rsid w:val="008A6691"/>
    <w:rsid w:val="008A6776"/>
    <w:rsid w:val="008A6A11"/>
    <w:rsid w:val="008A6D75"/>
    <w:rsid w:val="008A6F77"/>
    <w:rsid w:val="008A733E"/>
    <w:rsid w:val="008A7773"/>
    <w:rsid w:val="008A77FF"/>
    <w:rsid w:val="008A7896"/>
    <w:rsid w:val="008A7B76"/>
    <w:rsid w:val="008A7DFE"/>
    <w:rsid w:val="008A7E1C"/>
    <w:rsid w:val="008B03F0"/>
    <w:rsid w:val="008B0478"/>
    <w:rsid w:val="008B0566"/>
    <w:rsid w:val="008B065C"/>
    <w:rsid w:val="008B067E"/>
    <w:rsid w:val="008B0B77"/>
    <w:rsid w:val="008B11D2"/>
    <w:rsid w:val="008B1368"/>
    <w:rsid w:val="008B16CC"/>
    <w:rsid w:val="008B1985"/>
    <w:rsid w:val="008B1C99"/>
    <w:rsid w:val="008B1E12"/>
    <w:rsid w:val="008B1EDB"/>
    <w:rsid w:val="008B2747"/>
    <w:rsid w:val="008B2783"/>
    <w:rsid w:val="008B29C5"/>
    <w:rsid w:val="008B2AA6"/>
    <w:rsid w:val="008B2AB4"/>
    <w:rsid w:val="008B2D01"/>
    <w:rsid w:val="008B2DBF"/>
    <w:rsid w:val="008B2F81"/>
    <w:rsid w:val="008B33CA"/>
    <w:rsid w:val="008B3492"/>
    <w:rsid w:val="008B3527"/>
    <w:rsid w:val="008B3641"/>
    <w:rsid w:val="008B37E9"/>
    <w:rsid w:val="008B37F2"/>
    <w:rsid w:val="008B3E1A"/>
    <w:rsid w:val="008B4473"/>
    <w:rsid w:val="008B4475"/>
    <w:rsid w:val="008B44D5"/>
    <w:rsid w:val="008B4531"/>
    <w:rsid w:val="008B4A0C"/>
    <w:rsid w:val="008B4B45"/>
    <w:rsid w:val="008B4C20"/>
    <w:rsid w:val="008B4D85"/>
    <w:rsid w:val="008B4E48"/>
    <w:rsid w:val="008B4EEB"/>
    <w:rsid w:val="008B4F1A"/>
    <w:rsid w:val="008B4F5B"/>
    <w:rsid w:val="008B5271"/>
    <w:rsid w:val="008B52CB"/>
    <w:rsid w:val="008B53CB"/>
    <w:rsid w:val="008B54BF"/>
    <w:rsid w:val="008B54DC"/>
    <w:rsid w:val="008B5B09"/>
    <w:rsid w:val="008B5B10"/>
    <w:rsid w:val="008B5BC3"/>
    <w:rsid w:val="008B5F8B"/>
    <w:rsid w:val="008B634B"/>
    <w:rsid w:val="008B6400"/>
    <w:rsid w:val="008B64D6"/>
    <w:rsid w:val="008B6708"/>
    <w:rsid w:val="008B67FC"/>
    <w:rsid w:val="008B681C"/>
    <w:rsid w:val="008B6879"/>
    <w:rsid w:val="008B6A17"/>
    <w:rsid w:val="008B6B0A"/>
    <w:rsid w:val="008B6C15"/>
    <w:rsid w:val="008B6F98"/>
    <w:rsid w:val="008B7110"/>
    <w:rsid w:val="008B7641"/>
    <w:rsid w:val="008B797C"/>
    <w:rsid w:val="008B797E"/>
    <w:rsid w:val="008B7A7F"/>
    <w:rsid w:val="008B7E84"/>
    <w:rsid w:val="008C047F"/>
    <w:rsid w:val="008C0846"/>
    <w:rsid w:val="008C08EC"/>
    <w:rsid w:val="008C0BE2"/>
    <w:rsid w:val="008C0D0C"/>
    <w:rsid w:val="008C0F6B"/>
    <w:rsid w:val="008C1032"/>
    <w:rsid w:val="008C1220"/>
    <w:rsid w:val="008C12F9"/>
    <w:rsid w:val="008C1354"/>
    <w:rsid w:val="008C142E"/>
    <w:rsid w:val="008C16F9"/>
    <w:rsid w:val="008C18C1"/>
    <w:rsid w:val="008C1C00"/>
    <w:rsid w:val="008C1EB7"/>
    <w:rsid w:val="008C1F30"/>
    <w:rsid w:val="008C2207"/>
    <w:rsid w:val="008C22D0"/>
    <w:rsid w:val="008C22FF"/>
    <w:rsid w:val="008C275B"/>
    <w:rsid w:val="008C2FC2"/>
    <w:rsid w:val="008C2FE1"/>
    <w:rsid w:val="008C30DF"/>
    <w:rsid w:val="008C3226"/>
    <w:rsid w:val="008C3291"/>
    <w:rsid w:val="008C341F"/>
    <w:rsid w:val="008C3591"/>
    <w:rsid w:val="008C3EA4"/>
    <w:rsid w:val="008C426F"/>
    <w:rsid w:val="008C4872"/>
    <w:rsid w:val="008C4E1E"/>
    <w:rsid w:val="008C4F56"/>
    <w:rsid w:val="008C4F76"/>
    <w:rsid w:val="008C505F"/>
    <w:rsid w:val="008C50F7"/>
    <w:rsid w:val="008C52A3"/>
    <w:rsid w:val="008C5373"/>
    <w:rsid w:val="008C56B9"/>
    <w:rsid w:val="008C5811"/>
    <w:rsid w:val="008C58A8"/>
    <w:rsid w:val="008C58D8"/>
    <w:rsid w:val="008C5D09"/>
    <w:rsid w:val="008C5FF4"/>
    <w:rsid w:val="008C60B3"/>
    <w:rsid w:val="008C60F5"/>
    <w:rsid w:val="008C6111"/>
    <w:rsid w:val="008C63A1"/>
    <w:rsid w:val="008C6590"/>
    <w:rsid w:val="008C66B6"/>
    <w:rsid w:val="008C69F2"/>
    <w:rsid w:val="008C6F42"/>
    <w:rsid w:val="008C7179"/>
    <w:rsid w:val="008C767B"/>
    <w:rsid w:val="008C7854"/>
    <w:rsid w:val="008C7959"/>
    <w:rsid w:val="008C7B97"/>
    <w:rsid w:val="008C7D60"/>
    <w:rsid w:val="008C7F83"/>
    <w:rsid w:val="008D01D5"/>
    <w:rsid w:val="008D0241"/>
    <w:rsid w:val="008D02A2"/>
    <w:rsid w:val="008D0391"/>
    <w:rsid w:val="008D087F"/>
    <w:rsid w:val="008D089A"/>
    <w:rsid w:val="008D0A74"/>
    <w:rsid w:val="008D0AA7"/>
    <w:rsid w:val="008D0BFA"/>
    <w:rsid w:val="008D0C22"/>
    <w:rsid w:val="008D0FD2"/>
    <w:rsid w:val="008D15EE"/>
    <w:rsid w:val="008D16D2"/>
    <w:rsid w:val="008D16D6"/>
    <w:rsid w:val="008D189D"/>
    <w:rsid w:val="008D1ADA"/>
    <w:rsid w:val="008D1CFF"/>
    <w:rsid w:val="008D1DDD"/>
    <w:rsid w:val="008D1DEA"/>
    <w:rsid w:val="008D248B"/>
    <w:rsid w:val="008D2580"/>
    <w:rsid w:val="008D26E3"/>
    <w:rsid w:val="008D2C41"/>
    <w:rsid w:val="008D3397"/>
    <w:rsid w:val="008D33C4"/>
    <w:rsid w:val="008D3504"/>
    <w:rsid w:val="008D3517"/>
    <w:rsid w:val="008D353E"/>
    <w:rsid w:val="008D3712"/>
    <w:rsid w:val="008D37D6"/>
    <w:rsid w:val="008D389F"/>
    <w:rsid w:val="008D3973"/>
    <w:rsid w:val="008D3ADE"/>
    <w:rsid w:val="008D454B"/>
    <w:rsid w:val="008D4714"/>
    <w:rsid w:val="008D4AD3"/>
    <w:rsid w:val="008D4B93"/>
    <w:rsid w:val="008D4C2E"/>
    <w:rsid w:val="008D526A"/>
    <w:rsid w:val="008D5331"/>
    <w:rsid w:val="008D55CE"/>
    <w:rsid w:val="008D565F"/>
    <w:rsid w:val="008D57D6"/>
    <w:rsid w:val="008D5970"/>
    <w:rsid w:val="008D59BB"/>
    <w:rsid w:val="008D5B53"/>
    <w:rsid w:val="008D5C13"/>
    <w:rsid w:val="008D5D93"/>
    <w:rsid w:val="008D60E2"/>
    <w:rsid w:val="008D6198"/>
    <w:rsid w:val="008D62AF"/>
    <w:rsid w:val="008D636F"/>
    <w:rsid w:val="008D63A1"/>
    <w:rsid w:val="008D6765"/>
    <w:rsid w:val="008D68A4"/>
    <w:rsid w:val="008D68E5"/>
    <w:rsid w:val="008D69EA"/>
    <w:rsid w:val="008D6AAB"/>
    <w:rsid w:val="008D6D41"/>
    <w:rsid w:val="008D6E4D"/>
    <w:rsid w:val="008D6E8A"/>
    <w:rsid w:val="008D6F2D"/>
    <w:rsid w:val="008D70AE"/>
    <w:rsid w:val="008D7139"/>
    <w:rsid w:val="008D7270"/>
    <w:rsid w:val="008D72C1"/>
    <w:rsid w:val="008D773C"/>
    <w:rsid w:val="008D7749"/>
    <w:rsid w:val="008D778F"/>
    <w:rsid w:val="008D7877"/>
    <w:rsid w:val="008D7A6A"/>
    <w:rsid w:val="008D7EF7"/>
    <w:rsid w:val="008D7FC8"/>
    <w:rsid w:val="008E0093"/>
    <w:rsid w:val="008E045A"/>
    <w:rsid w:val="008E06D6"/>
    <w:rsid w:val="008E076A"/>
    <w:rsid w:val="008E0B42"/>
    <w:rsid w:val="008E0C4E"/>
    <w:rsid w:val="008E0F1E"/>
    <w:rsid w:val="008E0FAC"/>
    <w:rsid w:val="008E1196"/>
    <w:rsid w:val="008E1721"/>
    <w:rsid w:val="008E1746"/>
    <w:rsid w:val="008E1880"/>
    <w:rsid w:val="008E1B3D"/>
    <w:rsid w:val="008E1F4E"/>
    <w:rsid w:val="008E20DC"/>
    <w:rsid w:val="008E223C"/>
    <w:rsid w:val="008E268F"/>
    <w:rsid w:val="008E27EF"/>
    <w:rsid w:val="008E2B25"/>
    <w:rsid w:val="008E32C6"/>
    <w:rsid w:val="008E3445"/>
    <w:rsid w:val="008E36AD"/>
    <w:rsid w:val="008E390D"/>
    <w:rsid w:val="008E3C68"/>
    <w:rsid w:val="008E44F0"/>
    <w:rsid w:val="008E473A"/>
    <w:rsid w:val="008E494D"/>
    <w:rsid w:val="008E49C5"/>
    <w:rsid w:val="008E4C6A"/>
    <w:rsid w:val="008E4EE8"/>
    <w:rsid w:val="008E4FE3"/>
    <w:rsid w:val="008E52A7"/>
    <w:rsid w:val="008E532F"/>
    <w:rsid w:val="008E5640"/>
    <w:rsid w:val="008E58E0"/>
    <w:rsid w:val="008E5960"/>
    <w:rsid w:val="008E5AEB"/>
    <w:rsid w:val="008E5F4A"/>
    <w:rsid w:val="008E5F80"/>
    <w:rsid w:val="008E64EB"/>
    <w:rsid w:val="008E6713"/>
    <w:rsid w:val="008E683C"/>
    <w:rsid w:val="008E68B5"/>
    <w:rsid w:val="008E68E6"/>
    <w:rsid w:val="008E709B"/>
    <w:rsid w:val="008E72A9"/>
    <w:rsid w:val="008E7359"/>
    <w:rsid w:val="008E73A0"/>
    <w:rsid w:val="008E74EA"/>
    <w:rsid w:val="008E76C4"/>
    <w:rsid w:val="008E7855"/>
    <w:rsid w:val="008E7A39"/>
    <w:rsid w:val="008E7AF7"/>
    <w:rsid w:val="008E7DB7"/>
    <w:rsid w:val="008E7F63"/>
    <w:rsid w:val="008F0153"/>
    <w:rsid w:val="008F047C"/>
    <w:rsid w:val="008F04E8"/>
    <w:rsid w:val="008F06A1"/>
    <w:rsid w:val="008F07EA"/>
    <w:rsid w:val="008F10DD"/>
    <w:rsid w:val="008F1260"/>
    <w:rsid w:val="008F167F"/>
    <w:rsid w:val="008F17B0"/>
    <w:rsid w:val="008F17B3"/>
    <w:rsid w:val="008F193A"/>
    <w:rsid w:val="008F20DB"/>
    <w:rsid w:val="008F213D"/>
    <w:rsid w:val="008F2344"/>
    <w:rsid w:val="008F29C6"/>
    <w:rsid w:val="008F2A99"/>
    <w:rsid w:val="008F2D11"/>
    <w:rsid w:val="008F2D79"/>
    <w:rsid w:val="008F2E19"/>
    <w:rsid w:val="008F2E22"/>
    <w:rsid w:val="008F3079"/>
    <w:rsid w:val="008F30DC"/>
    <w:rsid w:val="008F32BC"/>
    <w:rsid w:val="008F3343"/>
    <w:rsid w:val="008F34F3"/>
    <w:rsid w:val="008F358F"/>
    <w:rsid w:val="008F3F2C"/>
    <w:rsid w:val="008F3FCF"/>
    <w:rsid w:val="008F407B"/>
    <w:rsid w:val="008F43C0"/>
    <w:rsid w:val="008F45B8"/>
    <w:rsid w:val="008F46A7"/>
    <w:rsid w:val="008F4A3F"/>
    <w:rsid w:val="008F4F8D"/>
    <w:rsid w:val="008F5507"/>
    <w:rsid w:val="008F55FC"/>
    <w:rsid w:val="008F5B07"/>
    <w:rsid w:val="008F5CF0"/>
    <w:rsid w:val="008F5DF7"/>
    <w:rsid w:val="008F5E0D"/>
    <w:rsid w:val="008F5ED6"/>
    <w:rsid w:val="008F66A5"/>
    <w:rsid w:val="008F677E"/>
    <w:rsid w:val="008F69A8"/>
    <w:rsid w:val="008F6F0E"/>
    <w:rsid w:val="008F6F5D"/>
    <w:rsid w:val="008F72EB"/>
    <w:rsid w:val="008F7347"/>
    <w:rsid w:val="008F748D"/>
    <w:rsid w:val="008F761F"/>
    <w:rsid w:val="008F76B4"/>
    <w:rsid w:val="008F77A1"/>
    <w:rsid w:val="008F7C90"/>
    <w:rsid w:val="008F7CAD"/>
    <w:rsid w:val="009002B2"/>
    <w:rsid w:val="009003DD"/>
    <w:rsid w:val="00900479"/>
    <w:rsid w:val="009007F7"/>
    <w:rsid w:val="0090087A"/>
    <w:rsid w:val="009009E2"/>
    <w:rsid w:val="009009EA"/>
    <w:rsid w:val="00900B85"/>
    <w:rsid w:val="00900D2C"/>
    <w:rsid w:val="00900E7E"/>
    <w:rsid w:val="00900F9E"/>
    <w:rsid w:val="00901183"/>
    <w:rsid w:val="009011C4"/>
    <w:rsid w:val="00901228"/>
    <w:rsid w:val="009015B2"/>
    <w:rsid w:val="00901654"/>
    <w:rsid w:val="0090175E"/>
    <w:rsid w:val="00901822"/>
    <w:rsid w:val="0090192C"/>
    <w:rsid w:val="00901B34"/>
    <w:rsid w:val="00901C4C"/>
    <w:rsid w:val="00901D39"/>
    <w:rsid w:val="00902018"/>
    <w:rsid w:val="009022A1"/>
    <w:rsid w:val="009023AC"/>
    <w:rsid w:val="009023C8"/>
    <w:rsid w:val="009023D4"/>
    <w:rsid w:val="0090250F"/>
    <w:rsid w:val="00902524"/>
    <w:rsid w:val="009027C8"/>
    <w:rsid w:val="00902A07"/>
    <w:rsid w:val="00903507"/>
    <w:rsid w:val="0090355E"/>
    <w:rsid w:val="0090366A"/>
    <w:rsid w:val="009036CF"/>
    <w:rsid w:val="00903761"/>
    <w:rsid w:val="009038C9"/>
    <w:rsid w:val="00903A62"/>
    <w:rsid w:val="00903B92"/>
    <w:rsid w:val="009040A8"/>
    <w:rsid w:val="0090414C"/>
    <w:rsid w:val="00904259"/>
    <w:rsid w:val="00904271"/>
    <w:rsid w:val="009042AC"/>
    <w:rsid w:val="009042F3"/>
    <w:rsid w:val="00904382"/>
    <w:rsid w:val="0090463F"/>
    <w:rsid w:val="00904719"/>
    <w:rsid w:val="009047AF"/>
    <w:rsid w:val="009047FD"/>
    <w:rsid w:val="009048AD"/>
    <w:rsid w:val="009049E5"/>
    <w:rsid w:val="00904AD0"/>
    <w:rsid w:val="00904B0E"/>
    <w:rsid w:val="00904CFF"/>
    <w:rsid w:val="00904F4F"/>
    <w:rsid w:val="00905278"/>
    <w:rsid w:val="00905492"/>
    <w:rsid w:val="009055DD"/>
    <w:rsid w:val="00905C44"/>
    <w:rsid w:val="00905DB4"/>
    <w:rsid w:val="00906266"/>
    <w:rsid w:val="00906376"/>
    <w:rsid w:val="009063A3"/>
    <w:rsid w:val="009063AA"/>
    <w:rsid w:val="0090678C"/>
    <w:rsid w:val="00906D2F"/>
    <w:rsid w:val="00906D40"/>
    <w:rsid w:val="00906F30"/>
    <w:rsid w:val="00907043"/>
    <w:rsid w:val="0090720D"/>
    <w:rsid w:val="00907273"/>
    <w:rsid w:val="009072C3"/>
    <w:rsid w:val="009075F3"/>
    <w:rsid w:val="00907895"/>
    <w:rsid w:val="00907919"/>
    <w:rsid w:val="009079A6"/>
    <w:rsid w:val="00907F10"/>
    <w:rsid w:val="00907F9D"/>
    <w:rsid w:val="009100F8"/>
    <w:rsid w:val="009102F5"/>
    <w:rsid w:val="009104F0"/>
    <w:rsid w:val="009105D4"/>
    <w:rsid w:val="009105D8"/>
    <w:rsid w:val="00910731"/>
    <w:rsid w:val="0091089C"/>
    <w:rsid w:val="0091094F"/>
    <w:rsid w:val="00910A41"/>
    <w:rsid w:val="00910BE0"/>
    <w:rsid w:val="009112AF"/>
    <w:rsid w:val="009112B4"/>
    <w:rsid w:val="00911302"/>
    <w:rsid w:val="0091132A"/>
    <w:rsid w:val="009115BD"/>
    <w:rsid w:val="009118A8"/>
    <w:rsid w:val="0091190B"/>
    <w:rsid w:val="00911AB3"/>
    <w:rsid w:val="00911B1D"/>
    <w:rsid w:val="00911BA2"/>
    <w:rsid w:val="00911D8A"/>
    <w:rsid w:val="00911DF6"/>
    <w:rsid w:val="0091255F"/>
    <w:rsid w:val="00912A35"/>
    <w:rsid w:val="00912A45"/>
    <w:rsid w:val="00912B7D"/>
    <w:rsid w:val="00913057"/>
    <w:rsid w:val="00913372"/>
    <w:rsid w:val="0091370B"/>
    <w:rsid w:val="0091378F"/>
    <w:rsid w:val="00913819"/>
    <w:rsid w:val="00913965"/>
    <w:rsid w:val="00913B57"/>
    <w:rsid w:val="00913C22"/>
    <w:rsid w:val="00913D1F"/>
    <w:rsid w:val="00913DC0"/>
    <w:rsid w:val="00913EA1"/>
    <w:rsid w:val="00914466"/>
    <w:rsid w:val="0091446B"/>
    <w:rsid w:val="009145B8"/>
    <w:rsid w:val="009146A5"/>
    <w:rsid w:val="009146DF"/>
    <w:rsid w:val="00914C18"/>
    <w:rsid w:val="00915629"/>
    <w:rsid w:val="00915650"/>
    <w:rsid w:val="00915779"/>
    <w:rsid w:val="0091587B"/>
    <w:rsid w:val="00915BBC"/>
    <w:rsid w:val="00915BE2"/>
    <w:rsid w:val="00915C86"/>
    <w:rsid w:val="0091606D"/>
    <w:rsid w:val="009160DC"/>
    <w:rsid w:val="00916176"/>
    <w:rsid w:val="0091623D"/>
    <w:rsid w:val="00916307"/>
    <w:rsid w:val="00916570"/>
    <w:rsid w:val="0091665B"/>
    <w:rsid w:val="00916879"/>
    <w:rsid w:val="009169D8"/>
    <w:rsid w:val="00916B77"/>
    <w:rsid w:val="00916BDB"/>
    <w:rsid w:val="00916DB8"/>
    <w:rsid w:val="00917448"/>
    <w:rsid w:val="009176B1"/>
    <w:rsid w:val="00917C5D"/>
    <w:rsid w:val="00917D95"/>
    <w:rsid w:val="00917EF4"/>
    <w:rsid w:val="009200D9"/>
    <w:rsid w:val="0092011A"/>
    <w:rsid w:val="00920389"/>
    <w:rsid w:val="0092042D"/>
    <w:rsid w:val="0092047C"/>
    <w:rsid w:val="00920813"/>
    <w:rsid w:val="00920885"/>
    <w:rsid w:val="009208BB"/>
    <w:rsid w:val="00920AD4"/>
    <w:rsid w:val="00920DBE"/>
    <w:rsid w:val="009211AC"/>
    <w:rsid w:val="009213D4"/>
    <w:rsid w:val="0092150F"/>
    <w:rsid w:val="00921840"/>
    <w:rsid w:val="00921920"/>
    <w:rsid w:val="00921B26"/>
    <w:rsid w:val="00921D07"/>
    <w:rsid w:val="00921E32"/>
    <w:rsid w:val="00921F5C"/>
    <w:rsid w:val="00921FE5"/>
    <w:rsid w:val="009222A8"/>
    <w:rsid w:val="0092234E"/>
    <w:rsid w:val="009224B4"/>
    <w:rsid w:val="009229B4"/>
    <w:rsid w:val="009229BA"/>
    <w:rsid w:val="00922AF1"/>
    <w:rsid w:val="00922C9E"/>
    <w:rsid w:val="00922CE8"/>
    <w:rsid w:val="00922F0A"/>
    <w:rsid w:val="009230EB"/>
    <w:rsid w:val="00923238"/>
    <w:rsid w:val="0092328D"/>
    <w:rsid w:val="00923372"/>
    <w:rsid w:val="009234E2"/>
    <w:rsid w:val="009237A1"/>
    <w:rsid w:val="00923AD4"/>
    <w:rsid w:val="00923B7A"/>
    <w:rsid w:val="00923DD2"/>
    <w:rsid w:val="0092430C"/>
    <w:rsid w:val="0092431B"/>
    <w:rsid w:val="00924B4C"/>
    <w:rsid w:val="00924B59"/>
    <w:rsid w:val="00924C4C"/>
    <w:rsid w:val="0092502C"/>
    <w:rsid w:val="00925160"/>
    <w:rsid w:val="00925181"/>
    <w:rsid w:val="00925316"/>
    <w:rsid w:val="00925424"/>
    <w:rsid w:val="0092587A"/>
    <w:rsid w:val="00925B56"/>
    <w:rsid w:val="00925DBA"/>
    <w:rsid w:val="0092614E"/>
    <w:rsid w:val="00926481"/>
    <w:rsid w:val="009268B9"/>
    <w:rsid w:val="00926975"/>
    <w:rsid w:val="00926BB7"/>
    <w:rsid w:val="00926CA3"/>
    <w:rsid w:val="00926CB2"/>
    <w:rsid w:val="00926CCE"/>
    <w:rsid w:val="00927075"/>
    <w:rsid w:val="009271A5"/>
    <w:rsid w:val="00927437"/>
    <w:rsid w:val="00927561"/>
    <w:rsid w:val="009276C5"/>
    <w:rsid w:val="009276F7"/>
    <w:rsid w:val="009278B0"/>
    <w:rsid w:val="00927C61"/>
    <w:rsid w:val="0093029E"/>
    <w:rsid w:val="00930409"/>
    <w:rsid w:val="009304A5"/>
    <w:rsid w:val="009306D5"/>
    <w:rsid w:val="0093077D"/>
    <w:rsid w:val="009309BF"/>
    <w:rsid w:val="00930A48"/>
    <w:rsid w:val="00930B7D"/>
    <w:rsid w:val="00930D03"/>
    <w:rsid w:val="00931259"/>
    <w:rsid w:val="009312AF"/>
    <w:rsid w:val="0093141B"/>
    <w:rsid w:val="00931670"/>
    <w:rsid w:val="00931818"/>
    <w:rsid w:val="009318C8"/>
    <w:rsid w:val="009318D5"/>
    <w:rsid w:val="00931959"/>
    <w:rsid w:val="00931A46"/>
    <w:rsid w:val="00931BEF"/>
    <w:rsid w:val="00931C71"/>
    <w:rsid w:val="00931F83"/>
    <w:rsid w:val="00932186"/>
    <w:rsid w:val="00932493"/>
    <w:rsid w:val="00932695"/>
    <w:rsid w:val="009327C7"/>
    <w:rsid w:val="00932D24"/>
    <w:rsid w:val="0093301D"/>
    <w:rsid w:val="009330CB"/>
    <w:rsid w:val="0093331C"/>
    <w:rsid w:val="0093359A"/>
    <w:rsid w:val="00933911"/>
    <w:rsid w:val="00933EA5"/>
    <w:rsid w:val="00933EA8"/>
    <w:rsid w:val="009342B0"/>
    <w:rsid w:val="009344D0"/>
    <w:rsid w:val="00934725"/>
    <w:rsid w:val="00934921"/>
    <w:rsid w:val="00934992"/>
    <w:rsid w:val="00934D72"/>
    <w:rsid w:val="00934F1E"/>
    <w:rsid w:val="009352AF"/>
    <w:rsid w:val="00935362"/>
    <w:rsid w:val="009354B0"/>
    <w:rsid w:val="00935956"/>
    <w:rsid w:val="009359A3"/>
    <w:rsid w:val="009359BE"/>
    <w:rsid w:val="00935FC1"/>
    <w:rsid w:val="009364A6"/>
    <w:rsid w:val="00936A1D"/>
    <w:rsid w:val="00936C94"/>
    <w:rsid w:val="00936EAC"/>
    <w:rsid w:val="00936FDC"/>
    <w:rsid w:val="00937645"/>
    <w:rsid w:val="0093777B"/>
    <w:rsid w:val="009377B0"/>
    <w:rsid w:val="0093783B"/>
    <w:rsid w:val="009378F1"/>
    <w:rsid w:val="00937904"/>
    <w:rsid w:val="00937A40"/>
    <w:rsid w:val="00937CB9"/>
    <w:rsid w:val="00937D9A"/>
    <w:rsid w:val="00937E17"/>
    <w:rsid w:val="00937E51"/>
    <w:rsid w:val="00937E7D"/>
    <w:rsid w:val="00937ECD"/>
    <w:rsid w:val="00937FB6"/>
    <w:rsid w:val="00940392"/>
    <w:rsid w:val="00940781"/>
    <w:rsid w:val="0094084B"/>
    <w:rsid w:val="00940A50"/>
    <w:rsid w:val="00940BF6"/>
    <w:rsid w:val="00940C35"/>
    <w:rsid w:val="00940DE9"/>
    <w:rsid w:val="00940E11"/>
    <w:rsid w:val="00940E50"/>
    <w:rsid w:val="00940EB1"/>
    <w:rsid w:val="00941007"/>
    <w:rsid w:val="00941179"/>
    <w:rsid w:val="00941250"/>
    <w:rsid w:val="00941292"/>
    <w:rsid w:val="00941296"/>
    <w:rsid w:val="009414AC"/>
    <w:rsid w:val="00941A81"/>
    <w:rsid w:val="00941AA3"/>
    <w:rsid w:val="00941C2F"/>
    <w:rsid w:val="00941D30"/>
    <w:rsid w:val="0094218E"/>
    <w:rsid w:val="0094298D"/>
    <w:rsid w:val="00942AC2"/>
    <w:rsid w:val="00942C31"/>
    <w:rsid w:val="00942C50"/>
    <w:rsid w:val="00942CBD"/>
    <w:rsid w:val="00942DB2"/>
    <w:rsid w:val="00942DC4"/>
    <w:rsid w:val="00942E2E"/>
    <w:rsid w:val="009430F6"/>
    <w:rsid w:val="00943153"/>
    <w:rsid w:val="0094331C"/>
    <w:rsid w:val="009434F1"/>
    <w:rsid w:val="009435A1"/>
    <w:rsid w:val="009437A3"/>
    <w:rsid w:val="00943A6A"/>
    <w:rsid w:val="00943ABF"/>
    <w:rsid w:val="00943E48"/>
    <w:rsid w:val="00944101"/>
    <w:rsid w:val="009445E0"/>
    <w:rsid w:val="00944650"/>
    <w:rsid w:val="00944DBC"/>
    <w:rsid w:val="00944F25"/>
    <w:rsid w:val="00944F83"/>
    <w:rsid w:val="00945019"/>
    <w:rsid w:val="009454D8"/>
    <w:rsid w:val="0094557C"/>
    <w:rsid w:val="009457F8"/>
    <w:rsid w:val="00945867"/>
    <w:rsid w:val="00945DF1"/>
    <w:rsid w:val="00945EDB"/>
    <w:rsid w:val="009460A1"/>
    <w:rsid w:val="00946202"/>
    <w:rsid w:val="0094644C"/>
    <w:rsid w:val="0094649D"/>
    <w:rsid w:val="009466B2"/>
    <w:rsid w:val="00946B22"/>
    <w:rsid w:val="0094744F"/>
    <w:rsid w:val="009474A5"/>
    <w:rsid w:val="009476E1"/>
    <w:rsid w:val="00947812"/>
    <w:rsid w:val="00947986"/>
    <w:rsid w:val="00947BF0"/>
    <w:rsid w:val="00947C03"/>
    <w:rsid w:val="00947C4E"/>
    <w:rsid w:val="00947DA5"/>
    <w:rsid w:val="00950071"/>
    <w:rsid w:val="009501BF"/>
    <w:rsid w:val="009502C3"/>
    <w:rsid w:val="00950440"/>
    <w:rsid w:val="0095063D"/>
    <w:rsid w:val="0095067B"/>
    <w:rsid w:val="009509F6"/>
    <w:rsid w:val="00950BAA"/>
    <w:rsid w:val="00950E28"/>
    <w:rsid w:val="00950E34"/>
    <w:rsid w:val="0095108C"/>
    <w:rsid w:val="00951583"/>
    <w:rsid w:val="0095177A"/>
    <w:rsid w:val="009517F3"/>
    <w:rsid w:val="0095199B"/>
    <w:rsid w:val="009519CB"/>
    <w:rsid w:val="00951A84"/>
    <w:rsid w:val="00951A93"/>
    <w:rsid w:val="00951B64"/>
    <w:rsid w:val="00951D4A"/>
    <w:rsid w:val="00951DB1"/>
    <w:rsid w:val="00951E0D"/>
    <w:rsid w:val="00951E50"/>
    <w:rsid w:val="0095210C"/>
    <w:rsid w:val="009521AB"/>
    <w:rsid w:val="00952395"/>
    <w:rsid w:val="009523BE"/>
    <w:rsid w:val="0095261C"/>
    <w:rsid w:val="009526A7"/>
    <w:rsid w:val="00952856"/>
    <w:rsid w:val="00952971"/>
    <w:rsid w:val="009529C8"/>
    <w:rsid w:val="009529D7"/>
    <w:rsid w:val="00952ACE"/>
    <w:rsid w:val="00952BB4"/>
    <w:rsid w:val="00952BF9"/>
    <w:rsid w:val="00952F03"/>
    <w:rsid w:val="00953194"/>
    <w:rsid w:val="009534F8"/>
    <w:rsid w:val="00953CD5"/>
    <w:rsid w:val="00953DA1"/>
    <w:rsid w:val="009540D8"/>
    <w:rsid w:val="00954447"/>
    <w:rsid w:val="00954560"/>
    <w:rsid w:val="00954994"/>
    <w:rsid w:val="00954BEC"/>
    <w:rsid w:val="00954C2C"/>
    <w:rsid w:val="00954E7A"/>
    <w:rsid w:val="00954EA6"/>
    <w:rsid w:val="00954EFA"/>
    <w:rsid w:val="00955030"/>
    <w:rsid w:val="009550AE"/>
    <w:rsid w:val="009550CA"/>
    <w:rsid w:val="009552C9"/>
    <w:rsid w:val="00955489"/>
    <w:rsid w:val="0095561E"/>
    <w:rsid w:val="0095565A"/>
    <w:rsid w:val="009557A4"/>
    <w:rsid w:val="009558A8"/>
    <w:rsid w:val="00955953"/>
    <w:rsid w:val="009559DD"/>
    <w:rsid w:val="00955AA5"/>
    <w:rsid w:val="00955C84"/>
    <w:rsid w:val="00955DC1"/>
    <w:rsid w:val="00955F85"/>
    <w:rsid w:val="0095605D"/>
    <w:rsid w:val="0095606D"/>
    <w:rsid w:val="0095650B"/>
    <w:rsid w:val="00956530"/>
    <w:rsid w:val="0095701A"/>
    <w:rsid w:val="00957040"/>
    <w:rsid w:val="0095713D"/>
    <w:rsid w:val="009572D3"/>
    <w:rsid w:val="00957330"/>
    <w:rsid w:val="00957343"/>
    <w:rsid w:val="0095739F"/>
    <w:rsid w:val="00957576"/>
    <w:rsid w:val="009576DE"/>
    <w:rsid w:val="009578B0"/>
    <w:rsid w:val="00957DA7"/>
    <w:rsid w:val="00960041"/>
    <w:rsid w:val="0096021D"/>
    <w:rsid w:val="00960244"/>
    <w:rsid w:val="009603B6"/>
    <w:rsid w:val="00960549"/>
    <w:rsid w:val="00960CF6"/>
    <w:rsid w:val="00960D14"/>
    <w:rsid w:val="00960D98"/>
    <w:rsid w:val="00960E78"/>
    <w:rsid w:val="00960ED6"/>
    <w:rsid w:val="0096117F"/>
    <w:rsid w:val="0096129E"/>
    <w:rsid w:val="00961323"/>
    <w:rsid w:val="0096137C"/>
    <w:rsid w:val="00961467"/>
    <w:rsid w:val="009614B3"/>
    <w:rsid w:val="009616F3"/>
    <w:rsid w:val="009617CB"/>
    <w:rsid w:val="0096183C"/>
    <w:rsid w:val="00961949"/>
    <w:rsid w:val="00961AD6"/>
    <w:rsid w:val="00961E57"/>
    <w:rsid w:val="00961F8C"/>
    <w:rsid w:val="00962295"/>
    <w:rsid w:val="009622AD"/>
    <w:rsid w:val="00962813"/>
    <w:rsid w:val="00962827"/>
    <w:rsid w:val="0096289F"/>
    <w:rsid w:val="00962FEB"/>
    <w:rsid w:val="00963121"/>
    <w:rsid w:val="00963152"/>
    <w:rsid w:val="009632AD"/>
    <w:rsid w:val="009633C7"/>
    <w:rsid w:val="00963400"/>
    <w:rsid w:val="00963428"/>
    <w:rsid w:val="00963E7B"/>
    <w:rsid w:val="00963F2A"/>
    <w:rsid w:val="00964313"/>
    <w:rsid w:val="00964504"/>
    <w:rsid w:val="00964916"/>
    <w:rsid w:val="00964BA8"/>
    <w:rsid w:val="00964C2C"/>
    <w:rsid w:val="00964E89"/>
    <w:rsid w:val="00964FC3"/>
    <w:rsid w:val="009650CA"/>
    <w:rsid w:val="00965229"/>
    <w:rsid w:val="00965249"/>
    <w:rsid w:val="0096527E"/>
    <w:rsid w:val="0096529A"/>
    <w:rsid w:val="00965355"/>
    <w:rsid w:val="009654F9"/>
    <w:rsid w:val="009658DA"/>
    <w:rsid w:val="00965C06"/>
    <w:rsid w:val="00965C1B"/>
    <w:rsid w:val="00965D0F"/>
    <w:rsid w:val="00965D2A"/>
    <w:rsid w:val="00965D63"/>
    <w:rsid w:val="00965E13"/>
    <w:rsid w:val="00965E67"/>
    <w:rsid w:val="00965F2C"/>
    <w:rsid w:val="009660D9"/>
    <w:rsid w:val="009660DF"/>
    <w:rsid w:val="00966303"/>
    <w:rsid w:val="009663D5"/>
    <w:rsid w:val="009668F9"/>
    <w:rsid w:val="00966A39"/>
    <w:rsid w:val="00966CEB"/>
    <w:rsid w:val="00966D0A"/>
    <w:rsid w:val="00966D86"/>
    <w:rsid w:val="00966FBE"/>
    <w:rsid w:val="0096712A"/>
    <w:rsid w:val="009672CD"/>
    <w:rsid w:val="00967392"/>
    <w:rsid w:val="009674BD"/>
    <w:rsid w:val="00967875"/>
    <w:rsid w:val="0096787A"/>
    <w:rsid w:val="00967B71"/>
    <w:rsid w:val="00967BB4"/>
    <w:rsid w:val="00967C46"/>
    <w:rsid w:val="00967DD4"/>
    <w:rsid w:val="00967E37"/>
    <w:rsid w:val="00967EDE"/>
    <w:rsid w:val="00967F90"/>
    <w:rsid w:val="00967FA4"/>
    <w:rsid w:val="00967FD4"/>
    <w:rsid w:val="00970034"/>
    <w:rsid w:val="00970065"/>
    <w:rsid w:val="009700D3"/>
    <w:rsid w:val="009704A2"/>
    <w:rsid w:val="009706A7"/>
    <w:rsid w:val="009706B1"/>
    <w:rsid w:val="00970BC7"/>
    <w:rsid w:val="00971048"/>
    <w:rsid w:val="009711E6"/>
    <w:rsid w:val="0097146F"/>
    <w:rsid w:val="0097194F"/>
    <w:rsid w:val="00971A2C"/>
    <w:rsid w:val="00971BF0"/>
    <w:rsid w:val="00971E13"/>
    <w:rsid w:val="00972475"/>
    <w:rsid w:val="009725BE"/>
    <w:rsid w:val="00972844"/>
    <w:rsid w:val="009729C1"/>
    <w:rsid w:val="00972AFC"/>
    <w:rsid w:val="00972B09"/>
    <w:rsid w:val="00972B0D"/>
    <w:rsid w:val="00972E2F"/>
    <w:rsid w:val="009731D6"/>
    <w:rsid w:val="009733AE"/>
    <w:rsid w:val="00973439"/>
    <w:rsid w:val="009738CA"/>
    <w:rsid w:val="00973962"/>
    <w:rsid w:val="00973D7F"/>
    <w:rsid w:val="00973EF7"/>
    <w:rsid w:val="0097404B"/>
    <w:rsid w:val="00974353"/>
    <w:rsid w:val="009743B8"/>
    <w:rsid w:val="0097466D"/>
    <w:rsid w:val="009746AE"/>
    <w:rsid w:val="00974908"/>
    <w:rsid w:val="0097490A"/>
    <w:rsid w:val="009749DD"/>
    <w:rsid w:val="00974B04"/>
    <w:rsid w:val="00974B06"/>
    <w:rsid w:val="00974F3D"/>
    <w:rsid w:val="00974F91"/>
    <w:rsid w:val="00975338"/>
    <w:rsid w:val="0097544C"/>
    <w:rsid w:val="0097550D"/>
    <w:rsid w:val="00975A3E"/>
    <w:rsid w:val="00975A54"/>
    <w:rsid w:val="00975AB8"/>
    <w:rsid w:val="00975D94"/>
    <w:rsid w:val="00975E45"/>
    <w:rsid w:val="009760FD"/>
    <w:rsid w:val="009764CC"/>
    <w:rsid w:val="00976552"/>
    <w:rsid w:val="00976923"/>
    <w:rsid w:val="00976A6E"/>
    <w:rsid w:val="00976CB6"/>
    <w:rsid w:val="00976EEF"/>
    <w:rsid w:val="0097702B"/>
    <w:rsid w:val="00977099"/>
    <w:rsid w:val="009771F3"/>
    <w:rsid w:val="009775F2"/>
    <w:rsid w:val="009777E8"/>
    <w:rsid w:val="00977938"/>
    <w:rsid w:val="009779AE"/>
    <w:rsid w:val="009779CA"/>
    <w:rsid w:val="00977C1C"/>
    <w:rsid w:val="00977FF1"/>
    <w:rsid w:val="00980023"/>
    <w:rsid w:val="00980269"/>
    <w:rsid w:val="009804BD"/>
    <w:rsid w:val="009809CE"/>
    <w:rsid w:val="00980AF2"/>
    <w:rsid w:val="00980D56"/>
    <w:rsid w:val="00980DE0"/>
    <w:rsid w:val="00980F51"/>
    <w:rsid w:val="009813EC"/>
    <w:rsid w:val="009816FF"/>
    <w:rsid w:val="00981726"/>
    <w:rsid w:val="009818CB"/>
    <w:rsid w:val="009818D6"/>
    <w:rsid w:val="009819C5"/>
    <w:rsid w:val="009819E4"/>
    <w:rsid w:val="00981BEB"/>
    <w:rsid w:val="00981F3A"/>
    <w:rsid w:val="00981F65"/>
    <w:rsid w:val="0098201F"/>
    <w:rsid w:val="00982048"/>
    <w:rsid w:val="0098229E"/>
    <w:rsid w:val="00982435"/>
    <w:rsid w:val="00982677"/>
    <w:rsid w:val="00982783"/>
    <w:rsid w:val="00982857"/>
    <w:rsid w:val="0098293C"/>
    <w:rsid w:val="00982ABF"/>
    <w:rsid w:val="00982B56"/>
    <w:rsid w:val="00982C21"/>
    <w:rsid w:val="00982EBE"/>
    <w:rsid w:val="00982F1F"/>
    <w:rsid w:val="0098327C"/>
    <w:rsid w:val="00983387"/>
    <w:rsid w:val="0098356D"/>
    <w:rsid w:val="009836CA"/>
    <w:rsid w:val="00983882"/>
    <w:rsid w:val="00983AFA"/>
    <w:rsid w:val="00983D84"/>
    <w:rsid w:val="009841B3"/>
    <w:rsid w:val="00984265"/>
    <w:rsid w:val="0098442A"/>
    <w:rsid w:val="00984459"/>
    <w:rsid w:val="009845D0"/>
    <w:rsid w:val="009849EC"/>
    <w:rsid w:val="00984AC8"/>
    <w:rsid w:val="00984CCF"/>
    <w:rsid w:val="00984D5F"/>
    <w:rsid w:val="00984EEB"/>
    <w:rsid w:val="00985047"/>
    <w:rsid w:val="00985457"/>
    <w:rsid w:val="00985526"/>
    <w:rsid w:val="009856B8"/>
    <w:rsid w:val="00985A31"/>
    <w:rsid w:val="00985C9A"/>
    <w:rsid w:val="00985D5C"/>
    <w:rsid w:val="00985D5D"/>
    <w:rsid w:val="00985E51"/>
    <w:rsid w:val="00985F6F"/>
    <w:rsid w:val="00986104"/>
    <w:rsid w:val="00986650"/>
    <w:rsid w:val="0098687E"/>
    <w:rsid w:val="00986A1B"/>
    <w:rsid w:val="00986A5F"/>
    <w:rsid w:val="00986A91"/>
    <w:rsid w:val="00986C67"/>
    <w:rsid w:val="00986DE7"/>
    <w:rsid w:val="00986F5F"/>
    <w:rsid w:val="00986F9E"/>
    <w:rsid w:val="00987025"/>
    <w:rsid w:val="009871AA"/>
    <w:rsid w:val="009871DB"/>
    <w:rsid w:val="0098729D"/>
    <w:rsid w:val="00987819"/>
    <w:rsid w:val="0098790D"/>
    <w:rsid w:val="00987995"/>
    <w:rsid w:val="009879BD"/>
    <w:rsid w:val="00987C8A"/>
    <w:rsid w:val="00987DD1"/>
    <w:rsid w:val="0099001D"/>
    <w:rsid w:val="00990129"/>
    <w:rsid w:val="0099014F"/>
    <w:rsid w:val="0099022E"/>
    <w:rsid w:val="00990258"/>
    <w:rsid w:val="00990581"/>
    <w:rsid w:val="00990780"/>
    <w:rsid w:val="009907F8"/>
    <w:rsid w:val="0099087D"/>
    <w:rsid w:val="00990B92"/>
    <w:rsid w:val="00990C22"/>
    <w:rsid w:val="00990FD5"/>
    <w:rsid w:val="0099125D"/>
    <w:rsid w:val="00991659"/>
    <w:rsid w:val="009916D9"/>
    <w:rsid w:val="009917D5"/>
    <w:rsid w:val="00991836"/>
    <w:rsid w:val="0099187F"/>
    <w:rsid w:val="009918B8"/>
    <w:rsid w:val="00991CBB"/>
    <w:rsid w:val="00991F87"/>
    <w:rsid w:val="00992190"/>
    <w:rsid w:val="00992432"/>
    <w:rsid w:val="0099249F"/>
    <w:rsid w:val="009925EF"/>
    <w:rsid w:val="00992CA4"/>
    <w:rsid w:val="00992E9E"/>
    <w:rsid w:val="00993127"/>
    <w:rsid w:val="00993534"/>
    <w:rsid w:val="00993698"/>
    <w:rsid w:val="009936A0"/>
    <w:rsid w:val="009936DE"/>
    <w:rsid w:val="00993794"/>
    <w:rsid w:val="00993878"/>
    <w:rsid w:val="00993926"/>
    <w:rsid w:val="00993E83"/>
    <w:rsid w:val="00994025"/>
    <w:rsid w:val="009940FE"/>
    <w:rsid w:val="00994233"/>
    <w:rsid w:val="009945E1"/>
    <w:rsid w:val="0099469A"/>
    <w:rsid w:val="00994770"/>
    <w:rsid w:val="0099484E"/>
    <w:rsid w:val="00994A52"/>
    <w:rsid w:val="00994BD9"/>
    <w:rsid w:val="00994C46"/>
    <w:rsid w:val="009950BD"/>
    <w:rsid w:val="00995210"/>
    <w:rsid w:val="00995999"/>
    <w:rsid w:val="00995AF2"/>
    <w:rsid w:val="00995CBE"/>
    <w:rsid w:val="00995D7C"/>
    <w:rsid w:val="00995D86"/>
    <w:rsid w:val="00995DB0"/>
    <w:rsid w:val="00996225"/>
    <w:rsid w:val="0099630E"/>
    <w:rsid w:val="0099671E"/>
    <w:rsid w:val="00996EB2"/>
    <w:rsid w:val="00996F58"/>
    <w:rsid w:val="00996F5F"/>
    <w:rsid w:val="009971F0"/>
    <w:rsid w:val="009972A3"/>
    <w:rsid w:val="00997519"/>
    <w:rsid w:val="00997539"/>
    <w:rsid w:val="009978D1"/>
    <w:rsid w:val="00997972"/>
    <w:rsid w:val="00997C12"/>
    <w:rsid w:val="00997C5C"/>
    <w:rsid w:val="00997D6F"/>
    <w:rsid w:val="009A000F"/>
    <w:rsid w:val="009A0095"/>
    <w:rsid w:val="009A0108"/>
    <w:rsid w:val="009A012F"/>
    <w:rsid w:val="009A01C8"/>
    <w:rsid w:val="009A01FE"/>
    <w:rsid w:val="009A0268"/>
    <w:rsid w:val="009A02D2"/>
    <w:rsid w:val="009A0419"/>
    <w:rsid w:val="009A0438"/>
    <w:rsid w:val="009A08E9"/>
    <w:rsid w:val="009A094C"/>
    <w:rsid w:val="009A0E7A"/>
    <w:rsid w:val="009A1249"/>
    <w:rsid w:val="009A15E4"/>
    <w:rsid w:val="009A18CC"/>
    <w:rsid w:val="009A19D5"/>
    <w:rsid w:val="009A1D22"/>
    <w:rsid w:val="009A2128"/>
    <w:rsid w:val="009A23AA"/>
    <w:rsid w:val="009A23F0"/>
    <w:rsid w:val="009A2750"/>
    <w:rsid w:val="009A292A"/>
    <w:rsid w:val="009A2BEE"/>
    <w:rsid w:val="009A2C61"/>
    <w:rsid w:val="009A2CB3"/>
    <w:rsid w:val="009A2F96"/>
    <w:rsid w:val="009A307C"/>
    <w:rsid w:val="009A320F"/>
    <w:rsid w:val="009A3405"/>
    <w:rsid w:val="009A35C7"/>
    <w:rsid w:val="009A3699"/>
    <w:rsid w:val="009A395D"/>
    <w:rsid w:val="009A3AAF"/>
    <w:rsid w:val="009A404B"/>
    <w:rsid w:val="009A408B"/>
    <w:rsid w:val="009A420B"/>
    <w:rsid w:val="009A436C"/>
    <w:rsid w:val="009A4660"/>
    <w:rsid w:val="009A46A7"/>
    <w:rsid w:val="009A4934"/>
    <w:rsid w:val="009A4A04"/>
    <w:rsid w:val="009A4AC2"/>
    <w:rsid w:val="009A4B20"/>
    <w:rsid w:val="009A4D72"/>
    <w:rsid w:val="009A4DAB"/>
    <w:rsid w:val="009A519F"/>
    <w:rsid w:val="009A53A5"/>
    <w:rsid w:val="009A53A7"/>
    <w:rsid w:val="009A55DD"/>
    <w:rsid w:val="009A5660"/>
    <w:rsid w:val="009A5B39"/>
    <w:rsid w:val="009A629C"/>
    <w:rsid w:val="009A64C5"/>
    <w:rsid w:val="009A6542"/>
    <w:rsid w:val="009A663C"/>
    <w:rsid w:val="009A6727"/>
    <w:rsid w:val="009A6A6E"/>
    <w:rsid w:val="009A717C"/>
    <w:rsid w:val="009A7285"/>
    <w:rsid w:val="009A73A9"/>
    <w:rsid w:val="009A77C9"/>
    <w:rsid w:val="009A790B"/>
    <w:rsid w:val="009A7A17"/>
    <w:rsid w:val="009A7AE7"/>
    <w:rsid w:val="009A7CBF"/>
    <w:rsid w:val="009A7DD6"/>
    <w:rsid w:val="009A7E47"/>
    <w:rsid w:val="009A7F4C"/>
    <w:rsid w:val="009A7F78"/>
    <w:rsid w:val="009A7F7A"/>
    <w:rsid w:val="009B0026"/>
    <w:rsid w:val="009B02E8"/>
    <w:rsid w:val="009B05A2"/>
    <w:rsid w:val="009B087C"/>
    <w:rsid w:val="009B0A89"/>
    <w:rsid w:val="009B0C1E"/>
    <w:rsid w:val="009B0C52"/>
    <w:rsid w:val="009B0EF9"/>
    <w:rsid w:val="009B0F42"/>
    <w:rsid w:val="009B1087"/>
    <w:rsid w:val="009B147B"/>
    <w:rsid w:val="009B16AC"/>
    <w:rsid w:val="009B1D54"/>
    <w:rsid w:val="009B1E0A"/>
    <w:rsid w:val="009B2AD3"/>
    <w:rsid w:val="009B2E12"/>
    <w:rsid w:val="009B3184"/>
    <w:rsid w:val="009B325A"/>
    <w:rsid w:val="009B325B"/>
    <w:rsid w:val="009B3286"/>
    <w:rsid w:val="009B34C1"/>
    <w:rsid w:val="009B367C"/>
    <w:rsid w:val="009B3C0C"/>
    <w:rsid w:val="009B3EC4"/>
    <w:rsid w:val="009B3FAC"/>
    <w:rsid w:val="009B3FDE"/>
    <w:rsid w:val="009B4059"/>
    <w:rsid w:val="009B4398"/>
    <w:rsid w:val="009B4516"/>
    <w:rsid w:val="009B4619"/>
    <w:rsid w:val="009B462A"/>
    <w:rsid w:val="009B476A"/>
    <w:rsid w:val="009B4A22"/>
    <w:rsid w:val="009B4ABA"/>
    <w:rsid w:val="009B52A9"/>
    <w:rsid w:val="009B53E1"/>
    <w:rsid w:val="009B54C3"/>
    <w:rsid w:val="009B54E4"/>
    <w:rsid w:val="009B5729"/>
    <w:rsid w:val="009B5769"/>
    <w:rsid w:val="009B590F"/>
    <w:rsid w:val="009B5E83"/>
    <w:rsid w:val="009B5F66"/>
    <w:rsid w:val="009B66D5"/>
    <w:rsid w:val="009B67CA"/>
    <w:rsid w:val="009B68F0"/>
    <w:rsid w:val="009B6B96"/>
    <w:rsid w:val="009B6C19"/>
    <w:rsid w:val="009B6C66"/>
    <w:rsid w:val="009B6DC2"/>
    <w:rsid w:val="009B70C5"/>
    <w:rsid w:val="009B7309"/>
    <w:rsid w:val="009B733C"/>
    <w:rsid w:val="009B749D"/>
    <w:rsid w:val="009B74CB"/>
    <w:rsid w:val="009B79A6"/>
    <w:rsid w:val="009B7DDB"/>
    <w:rsid w:val="009B7E77"/>
    <w:rsid w:val="009C0093"/>
    <w:rsid w:val="009C00DC"/>
    <w:rsid w:val="009C011C"/>
    <w:rsid w:val="009C01EE"/>
    <w:rsid w:val="009C04FD"/>
    <w:rsid w:val="009C0863"/>
    <w:rsid w:val="009C0CC0"/>
    <w:rsid w:val="009C0E18"/>
    <w:rsid w:val="009C0EC9"/>
    <w:rsid w:val="009C1625"/>
    <w:rsid w:val="009C1651"/>
    <w:rsid w:val="009C16CD"/>
    <w:rsid w:val="009C1F0A"/>
    <w:rsid w:val="009C20A5"/>
    <w:rsid w:val="009C2593"/>
    <w:rsid w:val="009C29A8"/>
    <w:rsid w:val="009C2B56"/>
    <w:rsid w:val="009C3012"/>
    <w:rsid w:val="009C30C7"/>
    <w:rsid w:val="009C3197"/>
    <w:rsid w:val="009C360D"/>
    <w:rsid w:val="009C38EA"/>
    <w:rsid w:val="009C398D"/>
    <w:rsid w:val="009C3B1B"/>
    <w:rsid w:val="009C3C7C"/>
    <w:rsid w:val="009C3C86"/>
    <w:rsid w:val="009C3E60"/>
    <w:rsid w:val="009C42E1"/>
    <w:rsid w:val="009C46D0"/>
    <w:rsid w:val="009C47F2"/>
    <w:rsid w:val="009C4DAE"/>
    <w:rsid w:val="009C4E13"/>
    <w:rsid w:val="009C517A"/>
    <w:rsid w:val="009C5199"/>
    <w:rsid w:val="009C559A"/>
    <w:rsid w:val="009C5629"/>
    <w:rsid w:val="009C5866"/>
    <w:rsid w:val="009C5A14"/>
    <w:rsid w:val="009C5AE9"/>
    <w:rsid w:val="009C5CA1"/>
    <w:rsid w:val="009C62ED"/>
    <w:rsid w:val="009C669C"/>
    <w:rsid w:val="009C6879"/>
    <w:rsid w:val="009C68E9"/>
    <w:rsid w:val="009C6A08"/>
    <w:rsid w:val="009C6A3D"/>
    <w:rsid w:val="009C6DC1"/>
    <w:rsid w:val="009C6EB6"/>
    <w:rsid w:val="009C6F1C"/>
    <w:rsid w:val="009C750E"/>
    <w:rsid w:val="009C76A2"/>
    <w:rsid w:val="009C76BA"/>
    <w:rsid w:val="009C7895"/>
    <w:rsid w:val="009C7AF9"/>
    <w:rsid w:val="009C7B3B"/>
    <w:rsid w:val="009C7B7C"/>
    <w:rsid w:val="009C7C91"/>
    <w:rsid w:val="009C7EF8"/>
    <w:rsid w:val="009C7F14"/>
    <w:rsid w:val="009C7F7D"/>
    <w:rsid w:val="009D01CE"/>
    <w:rsid w:val="009D01EE"/>
    <w:rsid w:val="009D0373"/>
    <w:rsid w:val="009D03A4"/>
    <w:rsid w:val="009D0432"/>
    <w:rsid w:val="009D049D"/>
    <w:rsid w:val="009D04B3"/>
    <w:rsid w:val="009D052E"/>
    <w:rsid w:val="009D079D"/>
    <w:rsid w:val="009D0915"/>
    <w:rsid w:val="009D0F24"/>
    <w:rsid w:val="009D10D9"/>
    <w:rsid w:val="009D14DB"/>
    <w:rsid w:val="009D17B3"/>
    <w:rsid w:val="009D1B25"/>
    <w:rsid w:val="009D1B5D"/>
    <w:rsid w:val="009D1F06"/>
    <w:rsid w:val="009D1F75"/>
    <w:rsid w:val="009D234E"/>
    <w:rsid w:val="009D236F"/>
    <w:rsid w:val="009D2417"/>
    <w:rsid w:val="009D244C"/>
    <w:rsid w:val="009D2461"/>
    <w:rsid w:val="009D25D1"/>
    <w:rsid w:val="009D264F"/>
    <w:rsid w:val="009D27E8"/>
    <w:rsid w:val="009D2821"/>
    <w:rsid w:val="009D291F"/>
    <w:rsid w:val="009D29CC"/>
    <w:rsid w:val="009D2A22"/>
    <w:rsid w:val="009D2B18"/>
    <w:rsid w:val="009D2D5A"/>
    <w:rsid w:val="009D2D65"/>
    <w:rsid w:val="009D2E69"/>
    <w:rsid w:val="009D302F"/>
    <w:rsid w:val="009D3082"/>
    <w:rsid w:val="009D32C1"/>
    <w:rsid w:val="009D35E3"/>
    <w:rsid w:val="009D3A65"/>
    <w:rsid w:val="009D3A9D"/>
    <w:rsid w:val="009D3EB4"/>
    <w:rsid w:val="009D3ECE"/>
    <w:rsid w:val="009D40C9"/>
    <w:rsid w:val="009D43D6"/>
    <w:rsid w:val="009D44DD"/>
    <w:rsid w:val="009D469C"/>
    <w:rsid w:val="009D4760"/>
    <w:rsid w:val="009D480D"/>
    <w:rsid w:val="009D4848"/>
    <w:rsid w:val="009D4895"/>
    <w:rsid w:val="009D48FB"/>
    <w:rsid w:val="009D4EF5"/>
    <w:rsid w:val="009D4F26"/>
    <w:rsid w:val="009D4F91"/>
    <w:rsid w:val="009D5416"/>
    <w:rsid w:val="009D54EC"/>
    <w:rsid w:val="009D54EF"/>
    <w:rsid w:val="009D56BF"/>
    <w:rsid w:val="009D5844"/>
    <w:rsid w:val="009D5A41"/>
    <w:rsid w:val="009D5D8F"/>
    <w:rsid w:val="009D5DFA"/>
    <w:rsid w:val="009D5E35"/>
    <w:rsid w:val="009D5F31"/>
    <w:rsid w:val="009D61F0"/>
    <w:rsid w:val="009D647C"/>
    <w:rsid w:val="009D67DF"/>
    <w:rsid w:val="009D6CD3"/>
    <w:rsid w:val="009D6D09"/>
    <w:rsid w:val="009D6F3D"/>
    <w:rsid w:val="009D70BD"/>
    <w:rsid w:val="009D7875"/>
    <w:rsid w:val="009D78C0"/>
    <w:rsid w:val="009D7908"/>
    <w:rsid w:val="009D7984"/>
    <w:rsid w:val="009D7A80"/>
    <w:rsid w:val="009D7BCB"/>
    <w:rsid w:val="009D7C77"/>
    <w:rsid w:val="009D7DB5"/>
    <w:rsid w:val="009D7EF0"/>
    <w:rsid w:val="009E00AC"/>
    <w:rsid w:val="009E00E3"/>
    <w:rsid w:val="009E011B"/>
    <w:rsid w:val="009E0519"/>
    <w:rsid w:val="009E0907"/>
    <w:rsid w:val="009E092A"/>
    <w:rsid w:val="009E09DD"/>
    <w:rsid w:val="009E0A96"/>
    <w:rsid w:val="009E0C3C"/>
    <w:rsid w:val="009E0DBA"/>
    <w:rsid w:val="009E11DF"/>
    <w:rsid w:val="009E1207"/>
    <w:rsid w:val="009E12BB"/>
    <w:rsid w:val="009E1339"/>
    <w:rsid w:val="009E13E1"/>
    <w:rsid w:val="009E148A"/>
    <w:rsid w:val="009E18AB"/>
    <w:rsid w:val="009E1E85"/>
    <w:rsid w:val="009E1F3F"/>
    <w:rsid w:val="009E1FE6"/>
    <w:rsid w:val="009E22E2"/>
    <w:rsid w:val="009E2344"/>
    <w:rsid w:val="009E235C"/>
    <w:rsid w:val="009E26EE"/>
    <w:rsid w:val="009E27B2"/>
    <w:rsid w:val="009E2967"/>
    <w:rsid w:val="009E2A11"/>
    <w:rsid w:val="009E2FA3"/>
    <w:rsid w:val="009E31FF"/>
    <w:rsid w:val="009E364F"/>
    <w:rsid w:val="009E3755"/>
    <w:rsid w:val="009E3A88"/>
    <w:rsid w:val="009E3CD2"/>
    <w:rsid w:val="009E3E12"/>
    <w:rsid w:val="009E3E7D"/>
    <w:rsid w:val="009E3FA3"/>
    <w:rsid w:val="009E40E6"/>
    <w:rsid w:val="009E40EB"/>
    <w:rsid w:val="009E4172"/>
    <w:rsid w:val="009E41EF"/>
    <w:rsid w:val="009E475B"/>
    <w:rsid w:val="009E47BA"/>
    <w:rsid w:val="009E4B98"/>
    <w:rsid w:val="009E50BF"/>
    <w:rsid w:val="009E5402"/>
    <w:rsid w:val="009E548A"/>
    <w:rsid w:val="009E55BB"/>
    <w:rsid w:val="009E570E"/>
    <w:rsid w:val="009E5729"/>
    <w:rsid w:val="009E5945"/>
    <w:rsid w:val="009E59C3"/>
    <w:rsid w:val="009E59FC"/>
    <w:rsid w:val="009E64A3"/>
    <w:rsid w:val="009E64B4"/>
    <w:rsid w:val="009E6629"/>
    <w:rsid w:val="009E696F"/>
    <w:rsid w:val="009E6AA7"/>
    <w:rsid w:val="009E6B3D"/>
    <w:rsid w:val="009E6F00"/>
    <w:rsid w:val="009E717B"/>
    <w:rsid w:val="009E7260"/>
    <w:rsid w:val="009E748A"/>
    <w:rsid w:val="009E7732"/>
    <w:rsid w:val="009E7782"/>
    <w:rsid w:val="009E79DC"/>
    <w:rsid w:val="009E7A59"/>
    <w:rsid w:val="009E7D40"/>
    <w:rsid w:val="009E7DFD"/>
    <w:rsid w:val="009F00BB"/>
    <w:rsid w:val="009F08A5"/>
    <w:rsid w:val="009F0AA6"/>
    <w:rsid w:val="009F0F5A"/>
    <w:rsid w:val="009F0FB1"/>
    <w:rsid w:val="009F1105"/>
    <w:rsid w:val="009F13AB"/>
    <w:rsid w:val="009F1657"/>
    <w:rsid w:val="009F18A2"/>
    <w:rsid w:val="009F18EE"/>
    <w:rsid w:val="009F1D26"/>
    <w:rsid w:val="009F1D74"/>
    <w:rsid w:val="009F1FE9"/>
    <w:rsid w:val="009F22C0"/>
    <w:rsid w:val="009F259B"/>
    <w:rsid w:val="009F25B6"/>
    <w:rsid w:val="009F25D6"/>
    <w:rsid w:val="009F26C9"/>
    <w:rsid w:val="009F2805"/>
    <w:rsid w:val="009F2897"/>
    <w:rsid w:val="009F2BFF"/>
    <w:rsid w:val="009F2C53"/>
    <w:rsid w:val="009F2D06"/>
    <w:rsid w:val="009F2E10"/>
    <w:rsid w:val="009F2ED4"/>
    <w:rsid w:val="009F326D"/>
    <w:rsid w:val="009F36DE"/>
    <w:rsid w:val="009F36E1"/>
    <w:rsid w:val="009F3DD1"/>
    <w:rsid w:val="009F3EC4"/>
    <w:rsid w:val="009F3F01"/>
    <w:rsid w:val="009F41F1"/>
    <w:rsid w:val="009F45F0"/>
    <w:rsid w:val="009F48F8"/>
    <w:rsid w:val="009F49A8"/>
    <w:rsid w:val="009F4CA8"/>
    <w:rsid w:val="009F5386"/>
    <w:rsid w:val="009F5763"/>
    <w:rsid w:val="009F58BD"/>
    <w:rsid w:val="009F5AA7"/>
    <w:rsid w:val="009F5AE6"/>
    <w:rsid w:val="009F5B43"/>
    <w:rsid w:val="009F5CB1"/>
    <w:rsid w:val="009F5E84"/>
    <w:rsid w:val="009F65C4"/>
    <w:rsid w:val="009F65FD"/>
    <w:rsid w:val="009F673C"/>
    <w:rsid w:val="009F69F2"/>
    <w:rsid w:val="009F6B5A"/>
    <w:rsid w:val="009F6BA5"/>
    <w:rsid w:val="009F6BE9"/>
    <w:rsid w:val="009F6F17"/>
    <w:rsid w:val="009F6FB9"/>
    <w:rsid w:val="009F712B"/>
    <w:rsid w:val="009F720B"/>
    <w:rsid w:val="009F7283"/>
    <w:rsid w:val="009F76B3"/>
    <w:rsid w:val="009F795B"/>
    <w:rsid w:val="009F7AA2"/>
    <w:rsid w:val="009F7C39"/>
    <w:rsid w:val="009F7C40"/>
    <w:rsid w:val="009F7CB6"/>
    <w:rsid w:val="009F7D4D"/>
    <w:rsid w:val="009F7DA7"/>
    <w:rsid w:val="009F7DB0"/>
    <w:rsid w:val="009F7DD1"/>
    <w:rsid w:val="009F7FB4"/>
    <w:rsid w:val="00A001CD"/>
    <w:rsid w:val="00A00285"/>
    <w:rsid w:val="00A002E4"/>
    <w:rsid w:val="00A003CC"/>
    <w:rsid w:val="00A00A6E"/>
    <w:rsid w:val="00A00ABA"/>
    <w:rsid w:val="00A00B67"/>
    <w:rsid w:val="00A00CEC"/>
    <w:rsid w:val="00A00F3C"/>
    <w:rsid w:val="00A01364"/>
    <w:rsid w:val="00A0150B"/>
    <w:rsid w:val="00A01831"/>
    <w:rsid w:val="00A01982"/>
    <w:rsid w:val="00A019F3"/>
    <w:rsid w:val="00A01A8F"/>
    <w:rsid w:val="00A01BEB"/>
    <w:rsid w:val="00A01F74"/>
    <w:rsid w:val="00A023EF"/>
    <w:rsid w:val="00A02465"/>
    <w:rsid w:val="00A024E6"/>
    <w:rsid w:val="00A02500"/>
    <w:rsid w:val="00A02568"/>
    <w:rsid w:val="00A0261B"/>
    <w:rsid w:val="00A02A42"/>
    <w:rsid w:val="00A02A43"/>
    <w:rsid w:val="00A02B64"/>
    <w:rsid w:val="00A02BA0"/>
    <w:rsid w:val="00A02DA8"/>
    <w:rsid w:val="00A02E97"/>
    <w:rsid w:val="00A0330A"/>
    <w:rsid w:val="00A0357E"/>
    <w:rsid w:val="00A037F3"/>
    <w:rsid w:val="00A038A8"/>
    <w:rsid w:val="00A0390F"/>
    <w:rsid w:val="00A03DA2"/>
    <w:rsid w:val="00A03EC6"/>
    <w:rsid w:val="00A03F19"/>
    <w:rsid w:val="00A03F8A"/>
    <w:rsid w:val="00A03FAC"/>
    <w:rsid w:val="00A0403D"/>
    <w:rsid w:val="00A04461"/>
    <w:rsid w:val="00A0446D"/>
    <w:rsid w:val="00A044FD"/>
    <w:rsid w:val="00A045BA"/>
    <w:rsid w:val="00A04C01"/>
    <w:rsid w:val="00A04C79"/>
    <w:rsid w:val="00A04D25"/>
    <w:rsid w:val="00A04D39"/>
    <w:rsid w:val="00A04EF3"/>
    <w:rsid w:val="00A05066"/>
    <w:rsid w:val="00A0509C"/>
    <w:rsid w:val="00A050C1"/>
    <w:rsid w:val="00A050EF"/>
    <w:rsid w:val="00A0519E"/>
    <w:rsid w:val="00A0530D"/>
    <w:rsid w:val="00A0554C"/>
    <w:rsid w:val="00A055FB"/>
    <w:rsid w:val="00A05C67"/>
    <w:rsid w:val="00A05ECC"/>
    <w:rsid w:val="00A05EDB"/>
    <w:rsid w:val="00A06219"/>
    <w:rsid w:val="00A0624C"/>
    <w:rsid w:val="00A068DD"/>
    <w:rsid w:val="00A06BCE"/>
    <w:rsid w:val="00A06E94"/>
    <w:rsid w:val="00A07023"/>
    <w:rsid w:val="00A0724F"/>
    <w:rsid w:val="00A075BD"/>
    <w:rsid w:val="00A0779B"/>
    <w:rsid w:val="00A0792F"/>
    <w:rsid w:val="00A07B3E"/>
    <w:rsid w:val="00A07BCF"/>
    <w:rsid w:val="00A10171"/>
    <w:rsid w:val="00A10423"/>
    <w:rsid w:val="00A10450"/>
    <w:rsid w:val="00A104ED"/>
    <w:rsid w:val="00A1074F"/>
    <w:rsid w:val="00A10819"/>
    <w:rsid w:val="00A1088E"/>
    <w:rsid w:val="00A108FA"/>
    <w:rsid w:val="00A10965"/>
    <w:rsid w:val="00A10C16"/>
    <w:rsid w:val="00A10C72"/>
    <w:rsid w:val="00A10ED8"/>
    <w:rsid w:val="00A10F60"/>
    <w:rsid w:val="00A10FC2"/>
    <w:rsid w:val="00A11156"/>
    <w:rsid w:val="00A1119B"/>
    <w:rsid w:val="00A1157E"/>
    <w:rsid w:val="00A11634"/>
    <w:rsid w:val="00A11C1E"/>
    <w:rsid w:val="00A11C68"/>
    <w:rsid w:val="00A11D5C"/>
    <w:rsid w:val="00A11D8D"/>
    <w:rsid w:val="00A120AE"/>
    <w:rsid w:val="00A1247B"/>
    <w:rsid w:val="00A127B8"/>
    <w:rsid w:val="00A12865"/>
    <w:rsid w:val="00A12BDD"/>
    <w:rsid w:val="00A12D4E"/>
    <w:rsid w:val="00A12FB2"/>
    <w:rsid w:val="00A13361"/>
    <w:rsid w:val="00A1347E"/>
    <w:rsid w:val="00A13684"/>
    <w:rsid w:val="00A1392C"/>
    <w:rsid w:val="00A13AD4"/>
    <w:rsid w:val="00A13B2F"/>
    <w:rsid w:val="00A13B9C"/>
    <w:rsid w:val="00A13C49"/>
    <w:rsid w:val="00A13E20"/>
    <w:rsid w:val="00A1405C"/>
    <w:rsid w:val="00A14B8A"/>
    <w:rsid w:val="00A14CB9"/>
    <w:rsid w:val="00A14CE2"/>
    <w:rsid w:val="00A14D02"/>
    <w:rsid w:val="00A14E28"/>
    <w:rsid w:val="00A15061"/>
    <w:rsid w:val="00A151C5"/>
    <w:rsid w:val="00A1520B"/>
    <w:rsid w:val="00A152DB"/>
    <w:rsid w:val="00A15660"/>
    <w:rsid w:val="00A15670"/>
    <w:rsid w:val="00A15673"/>
    <w:rsid w:val="00A157F2"/>
    <w:rsid w:val="00A15990"/>
    <w:rsid w:val="00A15B23"/>
    <w:rsid w:val="00A160C9"/>
    <w:rsid w:val="00A1617D"/>
    <w:rsid w:val="00A161A3"/>
    <w:rsid w:val="00A162D4"/>
    <w:rsid w:val="00A163D8"/>
    <w:rsid w:val="00A16505"/>
    <w:rsid w:val="00A1670D"/>
    <w:rsid w:val="00A1689C"/>
    <w:rsid w:val="00A168BD"/>
    <w:rsid w:val="00A16BEB"/>
    <w:rsid w:val="00A16C36"/>
    <w:rsid w:val="00A16CFF"/>
    <w:rsid w:val="00A16EC4"/>
    <w:rsid w:val="00A17309"/>
    <w:rsid w:val="00A17349"/>
    <w:rsid w:val="00A1737C"/>
    <w:rsid w:val="00A1774B"/>
    <w:rsid w:val="00A17B1E"/>
    <w:rsid w:val="00A2018F"/>
    <w:rsid w:val="00A20335"/>
    <w:rsid w:val="00A2062E"/>
    <w:rsid w:val="00A2065D"/>
    <w:rsid w:val="00A206B5"/>
    <w:rsid w:val="00A20C10"/>
    <w:rsid w:val="00A20E92"/>
    <w:rsid w:val="00A20F26"/>
    <w:rsid w:val="00A20F27"/>
    <w:rsid w:val="00A213FA"/>
    <w:rsid w:val="00A21EC4"/>
    <w:rsid w:val="00A21EE4"/>
    <w:rsid w:val="00A21F8C"/>
    <w:rsid w:val="00A21FC1"/>
    <w:rsid w:val="00A222FE"/>
    <w:rsid w:val="00A22474"/>
    <w:rsid w:val="00A22575"/>
    <w:rsid w:val="00A22659"/>
    <w:rsid w:val="00A22865"/>
    <w:rsid w:val="00A228E8"/>
    <w:rsid w:val="00A22DB6"/>
    <w:rsid w:val="00A22E54"/>
    <w:rsid w:val="00A22FFC"/>
    <w:rsid w:val="00A231CE"/>
    <w:rsid w:val="00A236B2"/>
    <w:rsid w:val="00A237BD"/>
    <w:rsid w:val="00A23855"/>
    <w:rsid w:val="00A239A7"/>
    <w:rsid w:val="00A23DE0"/>
    <w:rsid w:val="00A240DA"/>
    <w:rsid w:val="00A24453"/>
    <w:rsid w:val="00A24521"/>
    <w:rsid w:val="00A2470C"/>
    <w:rsid w:val="00A24BD7"/>
    <w:rsid w:val="00A24C39"/>
    <w:rsid w:val="00A24F3F"/>
    <w:rsid w:val="00A250B6"/>
    <w:rsid w:val="00A25167"/>
    <w:rsid w:val="00A25371"/>
    <w:rsid w:val="00A2590A"/>
    <w:rsid w:val="00A25924"/>
    <w:rsid w:val="00A25937"/>
    <w:rsid w:val="00A2597D"/>
    <w:rsid w:val="00A25C1E"/>
    <w:rsid w:val="00A25E6E"/>
    <w:rsid w:val="00A26026"/>
    <w:rsid w:val="00A2611E"/>
    <w:rsid w:val="00A2614C"/>
    <w:rsid w:val="00A262FD"/>
    <w:rsid w:val="00A26871"/>
    <w:rsid w:val="00A268E5"/>
    <w:rsid w:val="00A269C9"/>
    <w:rsid w:val="00A26C31"/>
    <w:rsid w:val="00A26C43"/>
    <w:rsid w:val="00A26DFF"/>
    <w:rsid w:val="00A26EF4"/>
    <w:rsid w:val="00A26F06"/>
    <w:rsid w:val="00A27089"/>
    <w:rsid w:val="00A2721D"/>
    <w:rsid w:val="00A27354"/>
    <w:rsid w:val="00A273B1"/>
    <w:rsid w:val="00A27436"/>
    <w:rsid w:val="00A2751D"/>
    <w:rsid w:val="00A276DE"/>
    <w:rsid w:val="00A277CC"/>
    <w:rsid w:val="00A27862"/>
    <w:rsid w:val="00A2789C"/>
    <w:rsid w:val="00A27A63"/>
    <w:rsid w:val="00A27D32"/>
    <w:rsid w:val="00A27E36"/>
    <w:rsid w:val="00A27F18"/>
    <w:rsid w:val="00A301E2"/>
    <w:rsid w:val="00A30243"/>
    <w:rsid w:val="00A3038B"/>
    <w:rsid w:val="00A304CC"/>
    <w:rsid w:val="00A30529"/>
    <w:rsid w:val="00A30600"/>
    <w:rsid w:val="00A308A5"/>
    <w:rsid w:val="00A3137B"/>
    <w:rsid w:val="00A3154E"/>
    <w:rsid w:val="00A317AB"/>
    <w:rsid w:val="00A31A79"/>
    <w:rsid w:val="00A31A9D"/>
    <w:rsid w:val="00A3211F"/>
    <w:rsid w:val="00A32138"/>
    <w:rsid w:val="00A321CC"/>
    <w:rsid w:val="00A325B8"/>
    <w:rsid w:val="00A33061"/>
    <w:rsid w:val="00A330BB"/>
    <w:rsid w:val="00A33147"/>
    <w:rsid w:val="00A335E7"/>
    <w:rsid w:val="00A3399F"/>
    <w:rsid w:val="00A33C55"/>
    <w:rsid w:val="00A33D96"/>
    <w:rsid w:val="00A3411D"/>
    <w:rsid w:val="00A342A3"/>
    <w:rsid w:val="00A34507"/>
    <w:rsid w:val="00A3472F"/>
    <w:rsid w:val="00A34740"/>
    <w:rsid w:val="00A3476E"/>
    <w:rsid w:val="00A347BE"/>
    <w:rsid w:val="00A3489E"/>
    <w:rsid w:val="00A34B6D"/>
    <w:rsid w:val="00A34D41"/>
    <w:rsid w:val="00A34E3B"/>
    <w:rsid w:val="00A35167"/>
    <w:rsid w:val="00A357AE"/>
    <w:rsid w:val="00A35BE6"/>
    <w:rsid w:val="00A35CDA"/>
    <w:rsid w:val="00A35E21"/>
    <w:rsid w:val="00A36421"/>
    <w:rsid w:val="00A36685"/>
    <w:rsid w:val="00A3671C"/>
    <w:rsid w:val="00A36C52"/>
    <w:rsid w:val="00A36CF1"/>
    <w:rsid w:val="00A37556"/>
    <w:rsid w:val="00A3760C"/>
    <w:rsid w:val="00A377E7"/>
    <w:rsid w:val="00A378D0"/>
    <w:rsid w:val="00A37A4F"/>
    <w:rsid w:val="00A37B25"/>
    <w:rsid w:val="00A37CD5"/>
    <w:rsid w:val="00A37EAC"/>
    <w:rsid w:val="00A37FB2"/>
    <w:rsid w:val="00A405A0"/>
    <w:rsid w:val="00A406E7"/>
    <w:rsid w:val="00A4088B"/>
    <w:rsid w:val="00A40D90"/>
    <w:rsid w:val="00A40E79"/>
    <w:rsid w:val="00A4109E"/>
    <w:rsid w:val="00A41281"/>
    <w:rsid w:val="00A41331"/>
    <w:rsid w:val="00A414B0"/>
    <w:rsid w:val="00A4150D"/>
    <w:rsid w:val="00A4183C"/>
    <w:rsid w:val="00A41AD1"/>
    <w:rsid w:val="00A41AEE"/>
    <w:rsid w:val="00A41D4F"/>
    <w:rsid w:val="00A41EB0"/>
    <w:rsid w:val="00A42024"/>
    <w:rsid w:val="00A4208D"/>
    <w:rsid w:val="00A42127"/>
    <w:rsid w:val="00A421A3"/>
    <w:rsid w:val="00A422C2"/>
    <w:rsid w:val="00A42354"/>
    <w:rsid w:val="00A4245F"/>
    <w:rsid w:val="00A424C3"/>
    <w:rsid w:val="00A424E7"/>
    <w:rsid w:val="00A4252D"/>
    <w:rsid w:val="00A42E96"/>
    <w:rsid w:val="00A433FE"/>
    <w:rsid w:val="00A43407"/>
    <w:rsid w:val="00A43879"/>
    <w:rsid w:val="00A43918"/>
    <w:rsid w:val="00A43D5D"/>
    <w:rsid w:val="00A440DD"/>
    <w:rsid w:val="00A4420C"/>
    <w:rsid w:val="00A443AE"/>
    <w:rsid w:val="00A44681"/>
    <w:rsid w:val="00A447FC"/>
    <w:rsid w:val="00A448EC"/>
    <w:rsid w:val="00A44CE9"/>
    <w:rsid w:val="00A44F17"/>
    <w:rsid w:val="00A451C0"/>
    <w:rsid w:val="00A4529D"/>
    <w:rsid w:val="00A452B8"/>
    <w:rsid w:val="00A452C6"/>
    <w:rsid w:val="00A455C3"/>
    <w:rsid w:val="00A45A8B"/>
    <w:rsid w:val="00A45C1D"/>
    <w:rsid w:val="00A4604E"/>
    <w:rsid w:val="00A46065"/>
    <w:rsid w:val="00A4616C"/>
    <w:rsid w:val="00A46A33"/>
    <w:rsid w:val="00A46D0A"/>
    <w:rsid w:val="00A46DAC"/>
    <w:rsid w:val="00A46E48"/>
    <w:rsid w:val="00A470D9"/>
    <w:rsid w:val="00A473D7"/>
    <w:rsid w:val="00A4761A"/>
    <w:rsid w:val="00A47942"/>
    <w:rsid w:val="00A47C5D"/>
    <w:rsid w:val="00A47D54"/>
    <w:rsid w:val="00A47DB4"/>
    <w:rsid w:val="00A47EE5"/>
    <w:rsid w:val="00A5010A"/>
    <w:rsid w:val="00A5041C"/>
    <w:rsid w:val="00A506B1"/>
    <w:rsid w:val="00A507F6"/>
    <w:rsid w:val="00A509A8"/>
    <w:rsid w:val="00A50C3A"/>
    <w:rsid w:val="00A50C61"/>
    <w:rsid w:val="00A51012"/>
    <w:rsid w:val="00A5115D"/>
    <w:rsid w:val="00A511C0"/>
    <w:rsid w:val="00A511F6"/>
    <w:rsid w:val="00A5121A"/>
    <w:rsid w:val="00A512CB"/>
    <w:rsid w:val="00A51402"/>
    <w:rsid w:val="00A5146C"/>
    <w:rsid w:val="00A51522"/>
    <w:rsid w:val="00A51578"/>
    <w:rsid w:val="00A516F1"/>
    <w:rsid w:val="00A518B7"/>
    <w:rsid w:val="00A5199E"/>
    <w:rsid w:val="00A51C1A"/>
    <w:rsid w:val="00A51C9A"/>
    <w:rsid w:val="00A52375"/>
    <w:rsid w:val="00A523AC"/>
    <w:rsid w:val="00A523B4"/>
    <w:rsid w:val="00A5258E"/>
    <w:rsid w:val="00A52599"/>
    <w:rsid w:val="00A52622"/>
    <w:rsid w:val="00A52B8C"/>
    <w:rsid w:val="00A52C48"/>
    <w:rsid w:val="00A52CA8"/>
    <w:rsid w:val="00A52E02"/>
    <w:rsid w:val="00A5300A"/>
    <w:rsid w:val="00A5311B"/>
    <w:rsid w:val="00A535DB"/>
    <w:rsid w:val="00A53B3D"/>
    <w:rsid w:val="00A53C3B"/>
    <w:rsid w:val="00A53DB5"/>
    <w:rsid w:val="00A53DD0"/>
    <w:rsid w:val="00A53F04"/>
    <w:rsid w:val="00A544CE"/>
    <w:rsid w:val="00A544D5"/>
    <w:rsid w:val="00A55187"/>
    <w:rsid w:val="00A555C9"/>
    <w:rsid w:val="00A555F2"/>
    <w:rsid w:val="00A5578A"/>
    <w:rsid w:val="00A55844"/>
    <w:rsid w:val="00A5598E"/>
    <w:rsid w:val="00A559CE"/>
    <w:rsid w:val="00A55ACC"/>
    <w:rsid w:val="00A55B28"/>
    <w:rsid w:val="00A55C8A"/>
    <w:rsid w:val="00A55F3C"/>
    <w:rsid w:val="00A5605F"/>
    <w:rsid w:val="00A56190"/>
    <w:rsid w:val="00A56520"/>
    <w:rsid w:val="00A565D5"/>
    <w:rsid w:val="00A566DC"/>
    <w:rsid w:val="00A566DE"/>
    <w:rsid w:val="00A5692A"/>
    <w:rsid w:val="00A56A1B"/>
    <w:rsid w:val="00A56BD1"/>
    <w:rsid w:val="00A56DFC"/>
    <w:rsid w:val="00A5700F"/>
    <w:rsid w:val="00A5711F"/>
    <w:rsid w:val="00A578C7"/>
    <w:rsid w:val="00A578F5"/>
    <w:rsid w:val="00A57A07"/>
    <w:rsid w:val="00A57D74"/>
    <w:rsid w:val="00A60078"/>
    <w:rsid w:val="00A60ADD"/>
    <w:rsid w:val="00A60C27"/>
    <w:rsid w:val="00A60C8A"/>
    <w:rsid w:val="00A60E2E"/>
    <w:rsid w:val="00A60E4F"/>
    <w:rsid w:val="00A61087"/>
    <w:rsid w:val="00A61918"/>
    <w:rsid w:val="00A61972"/>
    <w:rsid w:val="00A619BA"/>
    <w:rsid w:val="00A619C8"/>
    <w:rsid w:val="00A61CBA"/>
    <w:rsid w:val="00A61D09"/>
    <w:rsid w:val="00A61EC9"/>
    <w:rsid w:val="00A62161"/>
    <w:rsid w:val="00A62326"/>
    <w:rsid w:val="00A62437"/>
    <w:rsid w:val="00A63065"/>
    <w:rsid w:val="00A63156"/>
    <w:rsid w:val="00A63939"/>
    <w:rsid w:val="00A639F2"/>
    <w:rsid w:val="00A63A14"/>
    <w:rsid w:val="00A63D07"/>
    <w:rsid w:val="00A64241"/>
    <w:rsid w:val="00A6469D"/>
    <w:rsid w:val="00A64845"/>
    <w:rsid w:val="00A64A73"/>
    <w:rsid w:val="00A64E9B"/>
    <w:rsid w:val="00A64F35"/>
    <w:rsid w:val="00A65179"/>
    <w:rsid w:val="00A6520F"/>
    <w:rsid w:val="00A652B9"/>
    <w:rsid w:val="00A6530A"/>
    <w:rsid w:val="00A65399"/>
    <w:rsid w:val="00A65423"/>
    <w:rsid w:val="00A65442"/>
    <w:rsid w:val="00A65614"/>
    <w:rsid w:val="00A6574F"/>
    <w:rsid w:val="00A65A92"/>
    <w:rsid w:val="00A65C0E"/>
    <w:rsid w:val="00A65C2C"/>
    <w:rsid w:val="00A65C35"/>
    <w:rsid w:val="00A65D78"/>
    <w:rsid w:val="00A65EE9"/>
    <w:rsid w:val="00A65FA0"/>
    <w:rsid w:val="00A65FD9"/>
    <w:rsid w:val="00A667B1"/>
    <w:rsid w:val="00A66860"/>
    <w:rsid w:val="00A668B9"/>
    <w:rsid w:val="00A66B2A"/>
    <w:rsid w:val="00A66D37"/>
    <w:rsid w:val="00A66F41"/>
    <w:rsid w:val="00A66FD0"/>
    <w:rsid w:val="00A670B6"/>
    <w:rsid w:val="00A67251"/>
    <w:rsid w:val="00A67308"/>
    <w:rsid w:val="00A67690"/>
    <w:rsid w:val="00A6792E"/>
    <w:rsid w:val="00A67ABD"/>
    <w:rsid w:val="00A67AC6"/>
    <w:rsid w:val="00A67B57"/>
    <w:rsid w:val="00A67E00"/>
    <w:rsid w:val="00A67E59"/>
    <w:rsid w:val="00A7014E"/>
    <w:rsid w:val="00A70526"/>
    <w:rsid w:val="00A7056A"/>
    <w:rsid w:val="00A7060B"/>
    <w:rsid w:val="00A706EA"/>
    <w:rsid w:val="00A708D0"/>
    <w:rsid w:val="00A70D66"/>
    <w:rsid w:val="00A70DF7"/>
    <w:rsid w:val="00A70FDB"/>
    <w:rsid w:val="00A7113F"/>
    <w:rsid w:val="00A71288"/>
    <w:rsid w:val="00A7145F"/>
    <w:rsid w:val="00A714E3"/>
    <w:rsid w:val="00A718F9"/>
    <w:rsid w:val="00A71A86"/>
    <w:rsid w:val="00A71B1F"/>
    <w:rsid w:val="00A71C03"/>
    <w:rsid w:val="00A71EC3"/>
    <w:rsid w:val="00A7236C"/>
    <w:rsid w:val="00A724F3"/>
    <w:rsid w:val="00A726C3"/>
    <w:rsid w:val="00A72902"/>
    <w:rsid w:val="00A730BB"/>
    <w:rsid w:val="00A73227"/>
    <w:rsid w:val="00A7333D"/>
    <w:rsid w:val="00A7350E"/>
    <w:rsid w:val="00A737C3"/>
    <w:rsid w:val="00A73AE9"/>
    <w:rsid w:val="00A73B82"/>
    <w:rsid w:val="00A73ECE"/>
    <w:rsid w:val="00A73F2A"/>
    <w:rsid w:val="00A7440A"/>
    <w:rsid w:val="00A7476B"/>
    <w:rsid w:val="00A748D7"/>
    <w:rsid w:val="00A74904"/>
    <w:rsid w:val="00A74941"/>
    <w:rsid w:val="00A74E88"/>
    <w:rsid w:val="00A7532D"/>
    <w:rsid w:val="00A75374"/>
    <w:rsid w:val="00A754E9"/>
    <w:rsid w:val="00A7553E"/>
    <w:rsid w:val="00A7555E"/>
    <w:rsid w:val="00A755E4"/>
    <w:rsid w:val="00A75DAB"/>
    <w:rsid w:val="00A76064"/>
    <w:rsid w:val="00A769EF"/>
    <w:rsid w:val="00A76B5A"/>
    <w:rsid w:val="00A76C64"/>
    <w:rsid w:val="00A76F62"/>
    <w:rsid w:val="00A76F89"/>
    <w:rsid w:val="00A76F93"/>
    <w:rsid w:val="00A779F6"/>
    <w:rsid w:val="00A77B37"/>
    <w:rsid w:val="00A77B64"/>
    <w:rsid w:val="00A77B74"/>
    <w:rsid w:val="00A77CA8"/>
    <w:rsid w:val="00A77CFD"/>
    <w:rsid w:val="00A77DBA"/>
    <w:rsid w:val="00A800F9"/>
    <w:rsid w:val="00A80204"/>
    <w:rsid w:val="00A8030E"/>
    <w:rsid w:val="00A80402"/>
    <w:rsid w:val="00A80518"/>
    <w:rsid w:val="00A80BEB"/>
    <w:rsid w:val="00A80E99"/>
    <w:rsid w:val="00A80FF7"/>
    <w:rsid w:val="00A810FE"/>
    <w:rsid w:val="00A813DA"/>
    <w:rsid w:val="00A81442"/>
    <w:rsid w:val="00A81495"/>
    <w:rsid w:val="00A81910"/>
    <w:rsid w:val="00A81A6C"/>
    <w:rsid w:val="00A81C2E"/>
    <w:rsid w:val="00A81D86"/>
    <w:rsid w:val="00A81D8D"/>
    <w:rsid w:val="00A81E5C"/>
    <w:rsid w:val="00A81E8D"/>
    <w:rsid w:val="00A8253C"/>
    <w:rsid w:val="00A82675"/>
    <w:rsid w:val="00A82890"/>
    <w:rsid w:val="00A82AC8"/>
    <w:rsid w:val="00A82DE9"/>
    <w:rsid w:val="00A82EDB"/>
    <w:rsid w:val="00A82F32"/>
    <w:rsid w:val="00A82F8C"/>
    <w:rsid w:val="00A830A7"/>
    <w:rsid w:val="00A835CD"/>
    <w:rsid w:val="00A83697"/>
    <w:rsid w:val="00A836B9"/>
    <w:rsid w:val="00A83710"/>
    <w:rsid w:val="00A83873"/>
    <w:rsid w:val="00A8393D"/>
    <w:rsid w:val="00A83A74"/>
    <w:rsid w:val="00A84178"/>
    <w:rsid w:val="00A843E8"/>
    <w:rsid w:val="00A84AFA"/>
    <w:rsid w:val="00A84B3E"/>
    <w:rsid w:val="00A84C26"/>
    <w:rsid w:val="00A84CD7"/>
    <w:rsid w:val="00A84F09"/>
    <w:rsid w:val="00A84F5F"/>
    <w:rsid w:val="00A8532F"/>
    <w:rsid w:val="00A855B8"/>
    <w:rsid w:val="00A85991"/>
    <w:rsid w:val="00A85C3B"/>
    <w:rsid w:val="00A85C68"/>
    <w:rsid w:val="00A85D15"/>
    <w:rsid w:val="00A85E31"/>
    <w:rsid w:val="00A85E58"/>
    <w:rsid w:val="00A8609A"/>
    <w:rsid w:val="00A86236"/>
    <w:rsid w:val="00A865A9"/>
    <w:rsid w:val="00A865CA"/>
    <w:rsid w:val="00A865E5"/>
    <w:rsid w:val="00A86654"/>
    <w:rsid w:val="00A867C3"/>
    <w:rsid w:val="00A867F4"/>
    <w:rsid w:val="00A86AC3"/>
    <w:rsid w:val="00A86E2F"/>
    <w:rsid w:val="00A86F4B"/>
    <w:rsid w:val="00A8713B"/>
    <w:rsid w:val="00A87304"/>
    <w:rsid w:val="00A87653"/>
    <w:rsid w:val="00A876C2"/>
    <w:rsid w:val="00A876C3"/>
    <w:rsid w:val="00A877E6"/>
    <w:rsid w:val="00A879B9"/>
    <w:rsid w:val="00A902CD"/>
    <w:rsid w:val="00A902DF"/>
    <w:rsid w:val="00A90404"/>
    <w:rsid w:val="00A90492"/>
    <w:rsid w:val="00A90661"/>
    <w:rsid w:val="00A9091D"/>
    <w:rsid w:val="00A909EC"/>
    <w:rsid w:val="00A90C67"/>
    <w:rsid w:val="00A90CE9"/>
    <w:rsid w:val="00A90D3E"/>
    <w:rsid w:val="00A90EE5"/>
    <w:rsid w:val="00A910BF"/>
    <w:rsid w:val="00A9136E"/>
    <w:rsid w:val="00A91425"/>
    <w:rsid w:val="00A9148A"/>
    <w:rsid w:val="00A915C3"/>
    <w:rsid w:val="00A916B1"/>
    <w:rsid w:val="00A91820"/>
    <w:rsid w:val="00A919E1"/>
    <w:rsid w:val="00A91A27"/>
    <w:rsid w:val="00A91EEE"/>
    <w:rsid w:val="00A921D2"/>
    <w:rsid w:val="00A92361"/>
    <w:rsid w:val="00A92428"/>
    <w:rsid w:val="00A9243F"/>
    <w:rsid w:val="00A9246E"/>
    <w:rsid w:val="00A92A02"/>
    <w:rsid w:val="00A92A4D"/>
    <w:rsid w:val="00A92B9D"/>
    <w:rsid w:val="00A92CF2"/>
    <w:rsid w:val="00A92FFE"/>
    <w:rsid w:val="00A9313A"/>
    <w:rsid w:val="00A93575"/>
    <w:rsid w:val="00A935EF"/>
    <w:rsid w:val="00A93845"/>
    <w:rsid w:val="00A93A40"/>
    <w:rsid w:val="00A93BBC"/>
    <w:rsid w:val="00A93CE4"/>
    <w:rsid w:val="00A93ED7"/>
    <w:rsid w:val="00A93FAB"/>
    <w:rsid w:val="00A94860"/>
    <w:rsid w:val="00A948EC"/>
    <w:rsid w:val="00A948FC"/>
    <w:rsid w:val="00A949FE"/>
    <w:rsid w:val="00A94B11"/>
    <w:rsid w:val="00A951D9"/>
    <w:rsid w:val="00A95849"/>
    <w:rsid w:val="00A9595A"/>
    <w:rsid w:val="00A95BA0"/>
    <w:rsid w:val="00A95D0D"/>
    <w:rsid w:val="00A95D30"/>
    <w:rsid w:val="00A95ED7"/>
    <w:rsid w:val="00A9615F"/>
    <w:rsid w:val="00A96358"/>
    <w:rsid w:val="00A96703"/>
    <w:rsid w:val="00A9674B"/>
    <w:rsid w:val="00A96ADA"/>
    <w:rsid w:val="00A96B43"/>
    <w:rsid w:val="00A96EF0"/>
    <w:rsid w:val="00A971E4"/>
    <w:rsid w:val="00A97254"/>
    <w:rsid w:val="00A973F5"/>
    <w:rsid w:val="00A97400"/>
    <w:rsid w:val="00A97613"/>
    <w:rsid w:val="00A97C34"/>
    <w:rsid w:val="00A97C8F"/>
    <w:rsid w:val="00A97D08"/>
    <w:rsid w:val="00A97E7B"/>
    <w:rsid w:val="00AA00F9"/>
    <w:rsid w:val="00AA0108"/>
    <w:rsid w:val="00AA043E"/>
    <w:rsid w:val="00AA0738"/>
    <w:rsid w:val="00AA0FCF"/>
    <w:rsid w:val="00AA1213"/>
    <w:rsid w:val="00AA12BD"/>
    <w:rsid w:val="00AA1527"/>
    <w:rsid w:val="00AA160D"/>
    <w:rsid w:val="00AA1758"/>
    <w:rsid w:val="00AA187A"/>
    <w:rsid w:val="00AA18AE"/>
    <w:rsid w:val="00AA1BED"/>
    <w:rsid w:val="00AA1C12"/>
    <w:rsid w:val="00AA1C18"/>
    <w:rsid w:val="00AA1C2E"/>
    <w:rsid w:val="00AA21EB"/>
    <w:rsid w:val="00AA23A3"/>
    <w:rsid w:val="00AA23AD"/>
    <w:rsid w:val="00AA27ED"/>
    <w:rsid w:val="00AA2D5C"/>
    <w:rsid w:val="00AA2E9A"/>
    <w:rsid w:val="00AA2F1B"/>
    <w:rsid w:val="00AA307E"/>
    <w:rsid w:val="00AA31BE"/>
    <w:rsid w:val="00AA33B0"/>
    <w:rsid w:val="00AA33FE"/>
    <w:rsid w:val="00AA361F"/>
    <w:rsid w:val="00AA3665"/>
    <w:rsid w:val="00AA389E"/>
    <w:rsid w:val="00AA393F"/>
    <w:rsid w:val="00AA3A4F"/>
    <w:rsid w:val="00AA3B41"/>
    <w:rsid w:val="00AA3BDC"/>
    <w:rsid w:val="00AA3C83"/>
    <w:rsid w:val="00AA3CAF"/>
    <w:rsid w:val="00AA3F12"/>
    <w:rsid w:val="00AA3FCB"/>
    <w:rsid w:val="00AA3FDF"/>
    <w:rsid w:val="00AA41A1"/>
    <w:rsid w:val="00AA41C5"/>
    <w:rsid w:val="00AA43E6"/>
    <w:rsid w:val="00AA4982"/>
    <w:rsid w:val="00AA4A9B"/>
    <w:rsid w:val="00AA4B59"/>
    <w:rsid w:val="00AA4BE2"/>
    <w:rsid w:val="00AA4DB4"/>
    <w:rsid w:val="00AA4F12"/>
    <w:rsid w:val="00AA5872"/>
    <w:rsid w:val="00AA58EC"/>
    <w:rsid w:val="00AA5A33"/>
    <w:rsid w:val="00AA5A8C"/>
    <w:rsid w:val="00AA5AB7"/>
    <w:rsid w:val="00AA5CAC"/>
    <w:rsid w:val="00AA5D66"/>
    <w:rsid w:val="00AA5DB9"/>
    <w:rsid w:val="00AA5EC0"/>
    <w:rsid w:val="00AA5EE6"/>
    <w:rsid w:val="00AA60B6"/>
    <w:rsid w:val="00AA61F9"/>
    <w:rsid w:val="00AA635C"/>
    <w:rsid w:val="00AA640E"/>
    <w:rsid w:val="00AA6815"/>
    <w:rsid w:val="00AA6DC6"/>
    <w:rsid w:val="00AA6E02"/>
    <w:rsid w:val="00AA6EC7"/>
    <w:rsid w:val="00AA6FC6"/>
    <w:rsid w:val="00AA712E"/>
    <w:rsid w:val="00AA7423"/>
    <w:rsid w:val="00AA770A"/>
    <w:rsid w:val="00AA77E3"/>
    <w:rsid w:val="00AA7A6E"/>
    <w:rsid w:val="00AA7D86"/>
    <w:rsid w:val="00AA7F88"/>
    <w:rsid w:val="00AB0103"/>
    <w:rsid w:val="00AB012E"/>
    <w:rsid w:val="00AB0179"/>
    <w:rsid w:val="00AB0215"/>
    <w:rsid w:val="00AB036C"/>
    <w:rsid w:val="00AB0434"/>
    <w:rsid w:val="00AB0581"/>
    <w:rsid w:val="00AB05D4"/>
    <w:rsid w:val="00AB07DA"/>
    <w:rsid w:val="00AB0C03"/>
    <w:rsid w:val="00AB1036"/>
    <w:rsid w:val="00AB1107"/>
    <w:rsid w:val="00AB1165"/>
    <w:rsid w:val="00AB1189"/>
    <w:rsid w:val="00AB11E7"/>
    <w:rsid w:val="00AB12BC"/>
    <w:rsid w:val="00AB14AB"/>
    <w:rsid w:val="00AB187D"/>
    <w:rsid w:val="00AB19FE"/>
    <w:rsid w:val="00AB1A2D"/>
    <w:rsid w:val="00AB1C0E"/>
    <w:rsid w:val="00AB2068"/>
    <w:rsid w:val="00AB20F0"/>
    <w:rsid w:val="00AB27CF"/>
    <w:rsid w:val="00AB297D"/>
    <w:rsid w:val="00AB2A54"/>
    <w:rsid w:val="00AB2CDE"/>
    <w:rsid w:val="00AB2E4C"/>
    <w:rsid w:val="00AB3019"/>
    <w:rsid w:val="00AB3149"/>
    <w:rsid w:val="00AB3168"/>
    <w:rsid w:val="00AB3218"/>
    <w:rsid w:val="00AB3247"/>
    <w:rsid w:val="00AB351F"/>
    <w:rsid w:val="00AB353F"/>
    <w:rsid w:val="00AB3588"/>
    <w:rsid w:val="00AB3640"/>
    <w:rsid w:val="00AB369D"/>
    <w:rsid w:val="00AB37D3"/>
    <w:rsid w:val="00AB380E"/>
    <w:rsid w:val="00AB398D"/>
    <w:rsid w:val="00AB3999"/>
    <w:rsid w:val="00AB3AC1"/>
    <w:rsid w:val="00AB3B28"/>
    <w:rsid w:val="00AB3B41"/>
    <w:rsid w:val="00AB3CFE"/>
    <w:rsid w:val="00AB3D8E"/>
    <w:rsid w:val="00AB3FA2"/>
    <w:rsid w:val="00AB3FD1"/>
    <w:rsid w:val="00AB4098"/>
    <w:rsid w:val="00AB40B7"/>
    <w:rsid w:val="00AB42D2"/>
    <w:rsid w:val="00AB444F"/>
    <w:rsid w:val="00AB451E"/>
    <w:rsid w:val="00AB484C"/>
    <w:rsid w:val="00AB51FD"/>
    <w:rsid w:val="00AB5239"/>
    <w:rsid w:val="00AB53A5"/>
    <w:rsid w:val="00AB547D"/>
    <w:rsid w:val="00AB551D"/>
    <w:rsid w:val="00AB5759"/>
    <w:rsid w:val="00AB5957"/>
    <w:rsid w:val="00AB59FE"/>
    <w:rsid w:val="00AB5BED"/>
    <w:rsid w:val="00AB5CA4"/>
    <w:rsid w:val="00AB5D63"/>
    <w:rsid w:val="00AB62AB"/>
    <w:rsid w:val="00AB650B"/>
    <w:rsid w:val="00AB657E"/>
    <w:rsid w:val="00AB6A9D"/>
    <w:rsid w:val="00AB6B66"/>
    <w:rsid w:val="00AB6D48"/>
    <w:rsid w:val="00AB6E6D"/>
    <w:rsid w:val="00AB7342"/>
    <w:rsid w:val="00AB7A08"/>
    <w:rsid w:val="00AB7DFA"/>
    <w:rsid w:val="00AB7F05"/>
    <w:rsid w:val="00AC0006"/>
    <w:rsid w:val="00AC0EA6"/>
    <w:rsid w:val="00AC0F2E"/>
    <w:rsid w:val="00AC1245"/>
    <w:rsid w:val="00AC124D"/>
    <w:rsid w:val="00AC1474"/>
    <w:rsid w:val="00AC16E9"/>
    <w:rsid w:val="00AC1DAE"/>
    <w:rsid w:val="00AC1E7F"/>
    <w:rsid w:val="00AC204D"/>
    <w:rsid w:val="00AC208A"/>
    <w:rsid w:val="00AC2127"/>
    <w:rsid w:val="00AC22A6"/>
    <w:rsid w:val="00AC2372"/>
    <w:rsid w:val="00AC2485"/>
    <w:rsid w:val="00AC270D"/>
    <w:rsid w:val="00AC280F"/>
    <w:rsid w:val="00AC290A"/>
    <w:rsid w:val="00AC2956"/>
    <w:rsid w:val="00AC2BC5"/>
    <w:rsid w:val="00AC2BC8"/>
    <w:rsid w:val="00AC2D6D"/>
    <w:rsid w:val="00AC33FC"/>
    <w:rsid w:val="00AC3414"/>
    <w:rsid w:val="00AC3567"/>
    <w:rsid w:val="00AC35B4"/>
    <w:rsid w:val="00AC375F"/>
    <w:rsid w:val="00AC3A15"/>
    <w:rsid w:val="00AC3AB5"/>
    <w:rsid w:val="00AC3EBF"/>
    <w:rsid w:val="00AC4012"/>
    <w:rsid w:val="00AC40D4"/>
    <w:rsid w:val="00AC4157"/>
    <w:rsid w:val="00AC4384"/>
    <w:rsid w:val="00AC44A5"/>
    <w:rsid w:val="00AC44D4"/>
    <w:rsid w:val="00AC46C5"/>
    <w:rsid w:val="00AC4865"/>
    <w:rsid w:val="00AC487A"/>
    <w:rsid w:val="00AC492D"/>
    <w:rsid w:val="00AC4D04"/>
    <w:rsid w:val="00AC4EC3"/>
    <w:rsid w:val="00AC5035"/>
    <w:rsid w:val="00AC54AB"/>
    <w:rsid w:val="00AC5555"/>
    <w:rsid w:val="00AC5556"/>
    <w:rsid w:val="00AC5755"/>
    <w:rsid w:val="00AC5DB4"/>
    <w:rsid w:val="00AC6179"/>
    <w:rsid w:val="00AC6208"/>
    <w:rsid w:val="00AC67FA"/>
    <w:rsid w:val="00AC68FB"/>
    <w:rsid w:val="00AC6D62"/>
    <w:rsid w:val="00AC6E21"/>
    <w:rsid w:val="00AC6E6C"/>
    <w:rsid w:val="00AC6FE7"/>
    <w:rsid w:val="00AC701E"/>
    <w:rsid w:val="00AC735D"/>
    <w:rsid w:val="00AC741A"/>
    <w:rsid w:val="00AC75E1"/>
    <w:rsid w:val="00AC7657"/>
    <w:rsid w:val="00AC79C0"/>
    <w:rsid w:val="00AC7B1A"/>
    <w:rsid w:val="00AC7B48"/>
    <w:rsid w:val="00AC7EC5"/>
    <w:rsid w:val="00AD0035"/>
    <w:rsid w:val="00AD01F7"/>
    <w:rsid w:val="00AD02EC"/>
    <w:rsid w:val="00AD0480"/>
    <w:rsid w:val="00AD082F"/>
    <w:rsid w:val="00AD0986"/>
    <w:rsid w:val="00AD0CB0"/>
    <w:rsid w:val="00AD0F4F"/>
    <w:rsid w:val="00AD118B"/>
    <w:rsid w:val="00AD11B3"/>
    <w:rsid w:val="00AD168D"/>
    <w:rsid w:val="00AD1A30"/>
    <w:rsid w:val="00AD1AB1"/>
    <w:rsid w:val="00AD1EB1"/>
    <w:rsid w:val="00AD2082"/>
    <w:rsid w:val="00AD2409"/>
    <w:rsid w:val="00AD254C"/>
    <w:rsid w:val="00AD271F"/>
    <w:rsid w:val="00AD28EF"/>
    <w:rsid w:val="00AD2BEE"/>
    <w:rsid w:val="00AD2D6F"/>
    <w:rsid w:val="00AD2FDB"/>
    <w:rsid w:val="00AD3483"/>
    <w:rsid w:val="00AD36F9"/>
    <w:rsid w:val="00AD394F"/>
    <w:rsid w:val="00AD3AA3"/>
    <w:rsid w:val="00AD3B66"/>
    <w:rsid w:val="00AD3BCD"/>
    <w:rsid w:val="00AD3E41"/>
    <w:rsid w:val="00AD3F5D"/>
    <w:rsid w:val="00AD49DE"/>
    <w:rsid w:val="00AD4BC4"/>
    <w:rsid w:val="00AD4E16"/>
    <w:rsid w:val="00AD528D"/>
    <w:rsid w:val="00AD53BD"/>
    <w:rsid w:val="00AD5411"/>
    <w:rsid w:val="00AD56C2"/>
    <w:rsid w:val="00AD6101"/>
    <w:rsid w:val="00AD647B"/>
    <w:rsid w:val="00AD64C4"/>
    <w:rsid w:val="00AD6612"/>
    <w:rsid w:val="00AD67CC"/>
    <w:rsid w:val="00AD6806"/>
    <w:rsid w:val="00AD6976"/>
    <w:rsid w:val="00AD6C7E"/>
    <w:rsid w:val="00AD6CF7"/>
    <w:rsid w:val="00AD6E32"/>
    <w:rsid w:val="00AD6E6D"/>
    <w:rsid w:val="00AD7211"/>
    <w:rsid w:val="00AD7239"/>
    <w:rsid w:val="00AD7515"/>
    <w:rsid w:val="00AD7731"/>
    <w:rsid w:val="00AD7903"/>
    <w:rsid w:val="00AE037B"/>
    <w:rsid w:val="00AE0ADA"/>
    <w:rsid w:val="00AE0C9D"/>
    <w:rsid w:val="00AE0CA0"/>
    <w:rsid w:val="00AE1264"/>
    <w:rsid w:val="00AE1328"/>
    <w:rsid w:val="00AE13AE"/>
    <w:rsid w:val="00AE14B9"/>
    <w:rsid w:val="00AE14E1"/>
    <w:rsid w:val="00AE1620"/>
    <w:rsid w:val="00AE1CF5"/>
    <w:rsid w:val="00AE1E0E"/>
    <w:rsid w:val="00AE1FC5"/>
    <w:rsid w:val="00AE21A6"/>
    <w:rsid w:val="00AE2476"/>
    <w:rsid w:val="00AE2C28"/>
    <w:rsid w:val="00AE2CB3"/>
    <w:rsid w:val="00AE2E25"/>
    <w:rsid w:val="00AE2E91"/>
    <w:rsid w:val="00AE2F70"/>
    <w:rsid w:val="00AE312B"/>
    <w:rsid w:val="00AE34F7"/>
    <w:rsid w:val="00AE37D4"/>
    <w:rsid w:val="00AE3E2C"/>
    <w:rsid w:val="00AE408B"/>
    <w:rsid w:val="00AE40EB"/>
    <w:rsid w:val="00AE469B"/>
    <w:rsid w:val="00AE4A7C"/>
    <w:rsid w:val="00AE4CDD"/>
    <w:rsid w:val="00AE4CF4"/>
    <w:rsid w:val="00AE4EE1"/>
    <w:rsid w:val="00AE4F8D"/>
    <w:rsid w:val="00AE513A"/>
    <w:rsid w:val="00AE516E"/>
    <w:rsid w:val="00AE5175"/>
    <w:rsid w:val="00AE535D"/>
    <w:rsid w:val="00AE542B"/>
    <w:rsid w:val="00AE56C4"/>
    <w:rsid w:val="00AE59E3"/>
    <w:rsid w:val="00AE5C18"/>
    <w:rsid w:val="00AE609F"/>
    <w:rsid w:val="00AE6391"/>
    <w:rsid w:val="00AE672F"/>
    <w:rsid w:val="00AE676C"/>
    <w:rsid w:val="00AE6D96"/>
    <w:rsid w:val="00AE7080"/>
    <w:rsid w:val="00AE7131"/>
    <w:rsid w:val="00AE73B2"/>
    <w:rsid w:val="00AE7643"/>
    <w:rsid w:val="00AE7655"/>
    <w:rsid w:val="00AE78C2"/>
    <w:rsid w:val="00AE79BD"/>
    <w:rsid w:val="00AE7AC9"/>
    <w:rsid w:val="00AE7E26"/>
    <w:rsid w:val="00AE7ECE"/>
    <w:rsid w:val="00AF0287"/>
    <w:rsid w:val="00AF0338"/>
    <w:rsid w:val="00AF034B"/>
    <w:rsid w:val="00AF040D"/>
    <w:rsid w:val="00AF06F7"/>
    <w:rsid w:val="00AF079F"/>
    <w:rsid w:val="00AF07FF"/>
    <w:rsid w:val="00AF080C"/>
    <w:rsid w:val="00AF13FE"/>
    <w:rsid w:val="00AF1835"/>
    <w:rsid w:val="00AF1913"/>
    <w:rsid w:val="00AF1A42"/>
    <w:rsid w:val="00AF1B37"/>
    <w:rsid w:val="00AF1B95"/>
    <w:rsid w:val="00AF1D07"/>
    <w:rsid w:val="00AF1DF3"/>
    <w:rsid w:val="00AF1E7A"/>
    <w:rsid w:val="00AF2356"/>
    <w:rsid w:val="00AF2390"/>
    <w:rsid w:val="00AF2B56"/>
    <w:rsid w:val="00AF2BAE"/>
    <w:rsid w:val="00AF2DD5"/>
    <w:rsid w:val="00AF30AF"/>
    <w:rsid w:val="00AF32A1"/>
    <w:rsid w:val="00AF35E8"/>
    <w:rsid w:val="00AF3654"/>
    <w:rsid w:val="00AF36B4"/>
    <w:rsid w:val="00AF3A8B"/>
    <w:rsid w:val="00AF3D81"/>
    <w:rsid w:val="00AF409A"/>
    <w:rsid w:val="00AF48A6"/>
    <w:rsid w:val="00AF4955"/>
    <w:rsid w:val="00AF4BAB"/>
    <w:rsid w:val="00AF4CF5"/>
    <w:rsid w:val="00AF4D6C"/>
    <w:rsid w:val="00AF4E28"/>
    <w:rsid w:val="00AF4FE2"/>
    <w:rsid w:val="00AF5152"/>
    <w:rsid w:val="00AF5162"/>
    <w:rsid w:val="00AF5217"/>
    <w:rsid w:val="00AF5378"/>
    <w:rsid w:val="00AF5807"/>
    <w:rsid w:val="00AF5828"/>
    <w:rsid w:val="00AF58BD"/>
    <w:rsid w:val="00AF5F5C"/>
    <w:rsid w:val="00AF615D"/>
    <w:rsid w:val="00AF61A6"/>
    <w:rsid w:val="00AF6349"/>
    <w:rsid w:val="00AF6376"/>
    <w:rsid w:val="00AF65C7"/>
    <w:rsid w:val="00AF6846"/>
    <w:rsid w:val="00AF6863"/>
    <w:rsid w:val="00AF6B13"/>
    <w:rsid w:val="00AF6C11"/>
    <w:rsid w:val="00AF6C19"/>
    <w:rsid w:val="00AF6C76"/>
    <w:rsid w:val="00AF6D13"/>
    <w:rsid w:val="00AF6EE7"/>
    <w:rsid w:val="00AF6F20"/>
    <w:rsid w:val="00AF7038"/>
    <w:rsid w:val="00AF7043"/>
    <w:rsid w:val="00AF72F3"/>
    <w:rsid w:val="00AF738E"/>
    <w:rsid w:val="00AF7658"/>
    <w:rsid w:val="00AF7741"/>
    <w:rsid w:val="00AF7B03"/>
    <w:rsid w:val="00AF7CA1"/>
    <w:rsid w:val="00AF7D06"/>
    <w:rsid w:val="00AF7D51"/>
    <w:rsid w:val="00AF7D93"/>
    <w:rsid w:val="00AF7E7D"/>
    <w:rsid w:val="00B001CF"/>
    <w:rsid w:val="00B0093B"/>
    <w:rsid w:val="00B00B44"/>
    <w:rsid w:val="00B00CB6"/>
    <w:rsid w:val="00B0115E"/>
    <w:rsid w:val="00B01285"/>
    <w:rsid w:val="00B0149A"/>
    <w:rsid w:val="00B0150C"/>
    <w:rsid w:val="00B015D7"/>
    <w:rsid w:val="00B01A93"/>
    <w:rsid w:val="00B01C52"/>
    <w:rsid w:val="00B01C82"/>
    <w:rsid w:val="00B01DEA"/>
    <w:rsid w:val="00B021ED"/>
    <w:rsid w:val="00B025A6"/>
    <w:rsid w:val="00B025DF"/>
    <w:rsid w:val="00B0262B"/>
    <w:rsid w:val="00B0269B"/>
    <w:rsid w:val="00B02735"/>
    <w:rsid w:val="00B02737"/>
    <w:rsid w:val="00B02CAC"/>
    <w:rsid w:val="00B02E70"/>
    <w:rsid w:val="00B02F1B"/>
    <w:rsid w:val="00B030B7"/>
    <w:rsid w:val="00B03110"/>
    <w:rsid w:val="00B031A2"/>
    <w:rsid w:val="00B03678"/>
    <w:rsid w:val="00B037FE"/>
    <w:rsid w:val="00B03963"/>
    <w:rsid w:val="00B03FC6"/>
    <w:rsid w:val="00B03FE7"/>
    <w:rsid w:val="00B04289"/>
    <w:rsid w:val="00B04651"/>
    <w:rsid w:val="00B04893"/>
    <w:rsid w:val="00B04AC6"/>
    <w:rsid w:val="00B04B64"/>
    <w:rsid w:val="00B04FE9"/>
    <w:rsid w:val="00B05153"/>
    <w:rsid w:val="00B05538"/>
    <w:rsid w:val="00B05A12"/>
    <w:rsid w:val="00B05A27"/>
    <w:rsid w:val="00B05C4A"/>
    <w:rsid w:val="00B05CC6"/>
    <w:rsid w:val="00B05CFC"/>
    <w:rsid w:val="00B05D0D"/>
    <w:rsid w:val="00B05F44"/>
    <w:rsid w:val="00B05FB7"/>
    <w:rsid w:val="00B0602D"/>
    <w:rsid w:val="00B06038"/>
    <w:rsid w:val="00B0622C"/>
    <w:rsid w:val="00B0625F"/>
    <w:rsid w:val="00B06578"/>
    <w:rsid w:val="00B06A14"/>
    <w:rsid w:val="00B06A4E"/>
    <w:rsid w:val="00B06ACB"/>
    <w:rsid w:val="00B06C32"/>
    <w:rsid w:val="00B06EC3"/>
    <w:rsid w:val="00B07178"/>
    <w:rsid w:val="00B07213"/>
    <w:rsid w:val="00B07259"/>
    <w:rsid w:val="00B0762A"/>
    <w:rsid w:val="00B0775C"/>
    <w:rsid w:val="00B07A48"/>
    <w:rsid w:val="00B07A4A"/>
    <w:rsid w:val="00B07B2B"/>
    <w:rsid w:val="00B07E74"/>
    <w:rsid w:val="00B07F00"/>
    <w:rsid w:val="00B07FDE"/>
    <w:rsid w:val="00B10092"/>
    <w:rsid w:val="00B10278"/>
    <w:rsid w:val="00B10294"/>
    <w:rsid w:val="00B1093B"/>
    <w:rsid w:val="00B10C22"/>
    <w:rsid w:val="00B11505"/>
    <w:rsid w:val="00B117C6"/>
    <w:rsid w:val="00B117F7"/>
    <w:rsid w:val="00B11994"/>
    <w:rsid w:val="00B11A32"/>
    <w:rsid w:val="00B11ADE"/>
    <w:rsid w:val="00B12034"/>
    <w:rsid w:val="00B122DD"/>
    <w:rsid w:val="00B128A1"/>
    <w:rsid w:val="00B129D3"/>
    <w:rsid w:val="00B12B56"/>
    <w:rsid w:val="00B12B73"/>
    <w:rsid w:val="00B12BB1"/>
    <w:rsid w:val="00B12C5F"/>
    <w:rsid w:val="00B13003"/>
    <w:rsid w:val="00B130C4"/>
    <w:rsid w:val="00B131FE"/>
    <w:rsid w:val="00B13634"/>
    <w:rsid w:val="00B13675"/>
    <w:rsid w:val="00B13A17"/>
    <w:rsid w:val="00B13AA2"/>
    <w:rsid w:val="00B13D84"/>
    <w:rsid w:val="00B1406D"/>
    <w:rsid w:val="00B14369"/>
    <w:rsid w:val="00B14456"/>
    <w:rsid w:val="00B146E7"/>
    <w:rsid w:val="00B14761"/>
    <w:rsid w:val="00B147A4"/>
    <w:rsid w:val="00B147E8"/>
    <w:rsid w:val="00B149AF"/>
    <w:rsid w:val="00B14A73"/>
    <w:rsid w:val="00B14B67"/>
    <w:rsid w:val="00B14C24"/>
    <w:rsid w:val="00B14DB2"/>
    <w:rsid w:val="00B14ED1"/>
    <w:rsid w:val="00B153BC"/>
    <w:rsid w:val="00B15745"/>
    <w:rsid w:val="00B15847"/>
    <w:rsid w:val="00B1589A"/>
    <w:rsid w:val="00B159E1"/>
    <w:rsid w:val="00B15DD1"/>
    <w:rsid w:val="00B15F9D"/>
    <w:rsid w:val="00B164D4"/>
    <w:rsid w:val="00B16770"/>
    <w:rsid w:val="00B16784"/>
    <w:rsid w:val="00B167C9"/>
    <w:rsid w:val="00B16856"/>
    <w:rsid w:val="00B168ED"/>
    <w:rsid w:val="00B16CD1"/>
    <w:rsid w:val="00B16D06"/>
    <w:rsid w:val="00B16E71"/>
    <w:rsid w:val="00B16E92"/>
    <w:rsid w:val="00B17522"/>
    <w:rsid w:val="00B1773E"/>
    <w:rsid w:val="00B17757"/>
    <w:rsid w:val="00B17995"/>
    <w:rsid w:val="00B17A95"/>
    <w:rsid w:val="00B17AA9"/>
    <w:rsid w:val="00B17BB5"/>
    <w:rsid w:val="00B17C50"/>
    <w:rsid w:val="00B17CD0"/>
    <w:rsid w:val="00B17D32"/>
    <w:rsid w:val="00B17DA5"/>
    <w:rsid w:val="00B202B3"/>
    <w:rsid w:val="00B202CB"/>
    <w:rsid w:val="00B203C3"/>
    <w:rsid w:val="00B203FA"/>
    <w:rsid w:val="00B204D0"/>
    <w:rsid w:val="00B20710"/>
    <w:rsid w:val="00B208CE"/>
    <w:rsid w:val="00B20C7F"/>
    <w:rsid w:val="00B20F13"/>
    <w:rsid w:val="00B20F9F"/>
    <w:rsid w:val="00B21291"/>
    <w:rsid w:val="00B213E9"/>
    <w:rsid w:val="00B2140F"/>
    <w:rsid w:val="00B2145F"/>
    <w:rsid w:val="00B2159A"/>
    <w:rsid w:val="00B215B2"/>
    <w:rsid w:val="00B217C6"/>
    <w:rsid w:val="00B217F7"/>
    <w:rsid w:val="00B219A6"/>
    <w:rsid w:val="00B21B82"/>
    <w:rsid w:val="00B21D04"/>
    <w:rsid w:val="00B21FB4"/>
    <w:rsid w:val="00B221F3"/>
    <w:rsid w:val="00B22424"/>
    <w:rsid w:val="00B22665"/>
    <w:rsid w:val="00B226A9"/>
    <w:rsid w:val="00B228D6"/>
    <w:rsid w:val="00B228E5"/>
    <w:rsid w:val="00B22941"/>
    <w:rsid w:val="00B229D0"/>
    <w:rsid w:val="00B22E98"/>
    <w:rsid w:val="00B22FC4"/>
    <w:rsid w:val="00B2302A"/>
    <w:rsid w:val="00B230AD"/>
    <w:rsid w:val="00B23450"/>
    <w:rsid w:val="00B2353C"/>
    <w:rsid w:val="00B2358A"/>
    <w:rsid w:val="00B235BF"/>
    <w:rsid w:val="00B237E8"/>
    <w:rsid w:val="00B237F0"/>
    <w:rsid w:val="00B2390F"/>
    <w:rsid w:val="00B2395A"/>
    <w:rsid w:val="00B23A93"/>
    <w:rsid w:val="00B23E42"/>
    <w:rsid w:val="00B240A1"/>
    <w:rsid w:val="00B24142"/>
    <w:rsid w:val="00B24267"/>
    <w:rsid w:val="00B244A7"/>
    <w:rsid w:val="00B24899"/>
    <w:rsid w:val="00B2495D"/>
    <w:rsid w:val="00B24A83"/>
    <w:rsid w:val="00B24BAD"/>
    <w:rsid w:val="00B24DD0"/>
    <w:rsid w:val="00B24E37"/>
    <w:rsid w:val="00B253CE"/>
    <w:rsid w:val="00B2548F"/>
    <w:rsid w:val="00B25509"/>
    <w:rsid w:val="00B257F1"/>
    <w:rsid w:val="00B258CD"/>
    <w:rsid w:val="00B25A61"/>
    <w:rsid w:val="00B25E53"/>
    <w:rsid w:val="00B25F84"/>
    <w:rsid w:val="00B25FE1"/>
    <w:rsid w:val="00B26124"/>
    <w:rsid w:val="00B26132"/>
    <w:rsid w:val="00B26296"/>
    <w:rsid w:val="00B26452"/>
    <w:rsid w:val="00B26AAB"/>
    <w:rsid w:val="00B26AAE"/>
    <w:rsid w:val="00B26BE0"/>
    <w:rsid w:val="00B26C2B"/>
    <w:rsid w:val="00B26CB2"/>
    <w:rsid w:val="00B26CD7"/>
    <w:rsid w:val="00B26F0B"/>
    <w:rsid w:val="00B26F39"/>
    <w:rsid w:val="00B275D4"/>
    <w:rsid w:val="00B275E4"/>
    <w:rsid w:val="00B27779"/>
    <w:rsid w:val="00B27A06"/>
    <w:rsid w:val="00B27A8B"/>
    <w:rsid w:val="00B27F6C"/>
    <w:rsid w:val="00B3021C"/>
    <w:rsid w:val="00B304D7"/>
    <w:rsid w:val="00B30560"/>
    <w:rsid w:val="00B3057D"/>
    <w:rsid w:val="00B306A5"/>
    <w:rsid w:val="00B30857"/>
    <w:rsid w:val="00B30B27"/>
    <w:rsid w:val="00B30F68"/>
    <w:rsid w:val="00B3115B"/>
    <w:rsid w:val="00B317E9"/>
    <w:rsid w:val="00B3184F"/>
    <w:rsid w:val="00B31B0F"/>
    <w:rsid w:val="00B31B85"/>
    <w:rsid w:val="00B31F88"/>
    <w:rsid w:val="00B32055"/>
    <w:rsid w:val="00B320F9"/>
    <w:rsid w:val="00B3259C"/>
    <w:rsid w:val="00B325E1"/>
    <w:rsid w:val="00B32696"/>
    <w:rsid w:val="00B326B7"/>
    <w:rsid w:val="00B328CB"/>
    <w:rsid w:val="00B32A13"/>
    <w:rsid w:val="00B32D5B"/>
    <w:rsid w:val="00B32DC8"/>
    <w:rsid w:val="00B33320"/>
    <w:rsid w:val="00B339AD"/>
    <w:rsid w:val="00B33B04"/>
    <w:rsid w:val="00B33B92"/>
    <w:rsid w:val="00B33C03"/>
    <w:rsid w:val="00B33C42"/>
    <w:rsid w:val="00B33F80"/>
    <w:rsid w:val="00B34147"/>
    <w:rsid w:val="00B34177"/>
    <w:rsid w:val="00B342BC"/>
    <w:rsid w:val="00B3451C"/>
    <w:rsid w:val="00B347A6"/>
    <w:rsid w:val="00B347D5"/>
    <w:rsid w:val="00B34891"/>
    <w:rsid w:val="00B34BD8"/>
    <w:rsid w:val="00B34C93"/>
    <w:rsid w:val="00B34E8A"/>
    <w:rsid w:val="00B34FF9"/>
    <w:rsid w:val="00B351A6"/>
    <w:rsid w:val="00B3567A"/>
    <w:rsid w:val="00B358B6"/>
    <w:rsid w:val="00B35B84"/>
    <w:rsid w:val="00B35D0D"/>
    <w:rsid w:val="00B35D1F"/>
    <w:rsid w:val="00B35DED"/>
    <w:rsid w:val="00B36254"/>
    <w:rsid w:val="00B36962"/>
    <w:rsid w:val="00B36B00"/>
    <w:rsid w:val="00B36BC0"/>
    <w:rsid w:val="00B36C2F"/>
    <w:rsid w:val="00B36CD9"/>
    <w:rsid w:val="00B36FFF"/>
    <w:rsid w:val="00B37025"/>
    <w:rsid w:val="00B37038"/>
    <w:rsid w:val="00B372B6"/>
    <w:rsid w:val="00B37447"/>
    <w:rsid w:val="00B37461"/>
    <w:rsid w:val="00B376B1"/>
    <w:rsid w:val="00B378C0"/>
    <w:rsid w:val="00B37B19"/>
    <w:rsid w:val="00B37B9E"/>
    <w:rsid w:val="00B37BF1"/>
    <w:rsid w:val="00B37D84"/>
    <w:rsid w:val="00B37E3A"/>
    <w:rsid w:val="00B40097"/>
    <w:rsid w:val="00B40363"/>
    <w:rsid w:val="00B4037C"/>
    <w:rsid w:val="00B40682"/>
    <w:rsid w:val="00B407EE"/>
    <w:rsid w:val="00B40807"/>
    <w:rsid w:val="00B408C3"/>
    <w:rsid w:val="00B40E10"/>
    <w:rsid w:val="00B40E92"/>
    <w:rsid w:val="00B40F93"/>
    <w:rsid w:val="00B411F2"/>
    <w:rsid w:val="00B41496"/>
    <w:rsid w:val="00B41563"/>
    <w:rsid w:val="00B415F4"/>
    <w:rsid w:val="00B4160C"/>
    <w:rsid w:val="00B416D3"/>
    <w:rsid w:val="00B418C1"/>
    <w:rsid w:val="00B419B8"/>
    <w:rsid w:val="00B419F9"/>
    <w:rsid w:val="00B41A18"/>
    <w:rsid w:val="00B420DF"/>
    <w:rsid w:val="00B42118"/>
    <w:rsid w:val="00B42128"/>
    <w:rsid w:val="00B42562"/>
    <w:rsid w:val="00B42567"/>
    <w:rsid w:val="00B42AAA"/>
    <w:rsid w:val="00B42BF3"/>
    <w:rsid w:val="00B42C7C"/>
    <w:rsid w:val="00B42DC2"/>
    <w:rsid w:val="00B42DDA"/>
    <w:rsid w:val="00B42EF4"/>
    <w:rsid w:val="00B4317E"/>
    <w:rsid w:val="00B431D3"/>
    <w:rsid w:val="00B433B7"/>
    <w:rsid w:val="00B433EA"/>
    <w:rsid w:val="00B4346C"/>
    <w:rsid w:val="00B4354E"/>
    <w:rsid w:val="00B43553"/>
    <w:rsid w:val="00B436E6"/>
    <w:rsid w:val="00B439BD"/>
    <w:rsid w:val="00B43A03"/>
    <w:rsid w:val="00B43AB9"/>
    <w:rsid w:val="00B43D5F"/>
    <w:rsid w:val="00B43DC8"/>
    <w:rsid w:val="00B44052"/>
    <w:rsid w:val="00B44254"/>
    <w:rsid w:val="00B445C4"/>
    <w:rsid w:val="00B4462F"/>
    <w:rsid w:val="00B4477A"/>
    <w:rsid w:val="00B4483A"/>
    <w:rsid w:val="00B449D4"/>
    <w:rsid w:val="00B44A21"/>
    <w:rsid w:val="00B44ADE"/>
    <w:rsid w:val="00B44E21"/>
    <w:rsid w:val="00B44E2A"/>
    <w:rsid w:val="00B44E9B"/>
    <w:rsid w:val="00B45007"/>
    <w:rsid w:val="00B453CD"/>
    <w:rsid w:val="00B4545C"/>
    <w:rsid w:val="00B45574"/>
    <w:rsid w:val="00B45738"/>
    <w:rsid w:val="00B457ED"/>
    <w:rsid w:val="00B45809"/>
    <w:rsid w:val="00B4580D"/>
    <w:rsid w:val="00B459BC"/>
    <w:rsid w:val="00B45ADD"/>
    <w:rsid w:val="00B45D72"/>
    <w:rsid w:val="00B45F2F"/>
    <w:rsid w:val="00B46025"/>
    <w:rsid w:val="00B463A3"/>
    <w:rsid w:val="00B46C43"/>
    <w:rsid w:val="00B46EBB"/>
    <w:rsid w:val="00B470F2"/>
    <w:rsid w:val="00B47427"/>
    <w:rsid w:val="00B47520"/>
    <w:rsid w:val="00B47795"/>
    <w:rsid w:val="00B47C46"/>
    <w:rsid w:val="00B47E9C"/>
    <w:rsid w:val="00B502AC"/>
    <w:rsid w:val="00B50392"/>
    <w:rsid w:val="00B50581"/>
    <w:rsid w:val="00B505C2"/>
    <w:rsid w:val="00B50BE3"/>
    <w:rsid w:val="00B50C5A"/>
    <w:rsid w:val="00B50FA7"/>
    <w:rsid w:val="00B51191"/>
    <w:rsid w:val="00B51228"/>
    <w:rsid w:val="00B51252"/>
    <w:rsid w:val="00B513FD"/>
    <w:rsid w:val="00B5140B"/>
    <w:rsid w:val="00B51794"/>
    <w:rsid w:val="00B518D1"/>
    <w:rsid w:val="00B519F3"/>
    <w:rsid w:val="00B51B58"/>
    <w:rsid w:val="00B51BB8"/>
    <w:rsid w:val="00B51E26"/>
    <w:rsid w:val="00B51EFB"/>
    <w:rsid w:val="00B5227B"/>
    <w:rsid w:val="00B5234F"/>
    <w:rsid w:val="00B527B6"/>
    <w:rsid w:val="00B52954"/>
    <w:rsid w:val="00B52C49"/>
    <w:rsid w:val="00B52D8C"/>
    <w:rsid w:val="00B52E70"/>
    <w:rsid w:val="00B5308E"/>
    <w:rsid w:val="00B530CD"/>
    <w:rsid w:val="00B530EA"/>
    <w:rsid w:val="00B531D1"/>
    <w:rsid w:val="00B532FF"/>
    <w:rsid w:val="00B53506"/>
    <w:rsid w:val="00B53757"/>
    <w:rsid w:val="00B53E39"/>
    <w:rsid w:val="00B53EC4"/>
    <w:rsid w:val="00B5412F"/>
    <w:rsid w:val="00B544A2"/>
    <w:rsid w:val="00B54515"/>
    <w:rsid w:val="00B546E3"/>
    <w:rsid w:val="00B54B82"/>
    <w:rsid w:val="00B54F65"/>
    <w:rsid w:val="00B552B9"/>
    <w:rsid w:val="00B55440"/>
    <w:rsid w:val="00B55481"/>
    <w:rsid w:val="00B55516"/>
    <w:rsid w:val="00B559E8"/>
    <w:rsid w:val="00B55ADA"/>
    <w:rsid w:val="00B55C13"/>
    <w:rsid w:val="00B55C40"/>
    <w:rsid w:val="00B55E19"/>
    <w:rsid w:val="00B55E1D"/>
    <w:rsid w:val="00B55FC1"/>
    <w:rsid w:val="00B561B2"/>
    <w:rsid w:val="00B562A3"/>
    <w:rsid w:val="00B56420"/>
    <w:rsid w:val="00B5647C"/>
    <w:rsid w:val="00B565B5"/>
    <w:rsid w:val="00B565D2"/>
    <w:rsid w:val="00B566F4"/>
    <w:rsid w:val="00B56B10"/>
    <w:rsid w:val="00B56C12"/>
    <w:rsid w:val="00B56C1A"/>
    <w:rsid w:val="00B56C51"/>
    <w:rsid w:val="00B56D8B"/>
    <w:rsid w:val="00B5709B"/>
    <w:rsid w:val="00B57577"/>
    <w:rsid w:val="00B575EF"/>
    <w:rsid w:val="00B57928"/>
    <w:rsid w:val="00B57BBE"/>
    <w:rsid w:val="00B57BD3"/>
    <w:rsid w:val="00B57D7A"/>
    <w:rsid w:val="00B57E6C"/>
    <w:rsid w:val="00B601C0"/>
    <w:rsid w:val="00B60376"/>
    <w:rsid w:val="00B603F3"/>
    <w:rsid w:val="00B60426"/>
    <w:rsid w:val="00B6045E"/>
    <w:rsid w:val="00B607B2"/>
    <w:rsid w:val="00B60852"/>
    <w:rsid w:val="00B608E2"/>
    <w:rsid w:val="00B60BC1"/>
    <w:rsid w:val="00B60D4E"/>
    <w:rsid w:val="00B60DB8"/>
    <w:rsid w:val="00B60FE4"/>
    <w:rsid w:val="00B6116E"/>
    <w:rsid w:val="00B61290"/>
    <w:rsid w:val="00B613E5"/>
    <w:rsid w:val="00B61754"/>
    <w:rsid w:val="00B617A8"/>
    <w:rsid w:val="00B61C52"/>
    <w:rsid w:val="00B61CD0"/>
    <w:rsid w:val="00B61F37"/>
    <w:rsid w:val="00B62061"/>
    <w:rsid w:val="00B6230D"/>
    <w:rsid w:val="00B6265C"/>
    <w:rsid w:val="00B62738"/>
    <w:rsid w:val="00B62770"/>
    <w:rsid w:val="00B62A7B"/>
    <w:rsid w:val="00B62B10"/>
    <w:rsid w:val="00B62ED3"/>
    <w:rsid w:val="00B6329B"/>
    <w:rsid w:val="00B63319"/>
    <w:rsid w:val="00B633A4"/>
    <w:rsid w:val="00B63AA8"/>
    <w:rsid w:val="00B63D30"/>
    <w:rsid w:val="00B63E18"/>
    <w:rsid w:val="00B64085"/>
    <w:rsid w:val="00B64180"/>
    <w:rsid w:val="00B641DF"/>
    <w:rsid w:val="00B646A3"/>
    <w:rsid w:val="00B6495B"/>
    <w:rsid w:val="00B64A3C"/>
    <w:rsid w:val="00B64AED"/>
    <w:rsid w:val="00B64BB9"/>
    <w:rsid w:val="00B64C94"/>
    <w:rsid w:val="00B64CD8"/>
    <w:rsid w:val="00B64D2B"/>
    <w:rsid w:val="00B64DB7"/>
    <w:rsid w:val="00B64E85"/>
    <w:rsid w:val="00B64EE2"/>
    <w:rsid w:val="00B6519A"/>
    <w:rsid w:val="00B652F7"/>
    <w:rsid w:val="00B65800"/>
    <w:rsid w:val="00B65A19"/>
    <w:rsid w:val="00B65BAE"/>
    <w:rsid w:val="00B65CB3"/>
    <w:rsid w:val="00B65D44"/>
    <w:rsid w:val="00B65FB0"/>
    <w:rsid w:val="00B6617C"/>
    <w:rsid w:val="00B6692B"/>
    <w:rsid w:val="00B66B01"/>
    <w:rsid w:val="00B66C8C"/>
    <w:rsid w:val="00B66F0C"/>
    <w:rsid w:val="00B670FF"/>
    <w:rsid w:val="00B6712B"/>
    <w:rsid w:val="00B671CD"/>
    <w:rsid w:val="00B67232"/>
    <w:rsid w:val="00B67396"/>
    <w:rsid w:val="00B67540"/>
    <w:rsid w:val="00B67725"/>
    <w:rsid w:val="00B67904"/>
    <w:rsid w:val="00B67A49"/>
    <w:rsid w:val="00B67BB7"/>
    <w:rsid w:val="00B67CAC"/>
    <w:rsid w:val="00B67D64"/>
    <w:rsid w:val="00B67E9A"/>
    <w:rsid w:val="00B67F3A"/>
    <w:rsid w:val="00B700C2"/>
    <w:rsid w:val="00B702BA"/>
    <w:rsid w:val="00B702D5"/>
    <w:rsid w:val="00B707CB"/>
    <w:rsid w:val="00B70815"/>
    <w:rsid w:val="00B7083E"/>
    <w:rsid w:val="00B70A9B"/>
    <w:rsid w:val="00B70C56"/>
    <w:rsid w:val="00B70C9A"/>
    <w:rsid w:val="00B70D67"/>
    <w:rsid w:val="00B70EC5"/>
    <w:rsid w:val="00B70F7A"/>
    <w:rsid w:val="00B710A8"/>
    <w:rsid w:val="00B716C7"/>
    <w:rsid w:val="00B71844"/>
    <w:rsid w:val="00B71C6C"/>
    <w:rsid w:val="00B72014"/>
    <w:rsid w:val="00B72142"/>
    <w:rsid w:val="00B72262"/>
    <w:rsid w:val="00B7238D"/>
    <w:rsid w:val="00B72518"/>
    <w:rsid w:val="00B72545"/>
    <w:rsid w:val="00B7258B"/>
    <w:rsid w:val="00B72896"/>
    <w:rsid w:val="00B72A58"/>
    <w:rsid w:val="00B72AC4"/>
    <w:rsid w:val="00B72D6C"/>
    <w:rsid w:val="00B72D81"/>
    <w:rsid w:val="00B72E24"/>
    <w:rsid w:val="00B730C2"/>
    <w:rsid w:val="00B730E5"/>
    <w:rsid w:val="00B7321F"/>
    <w:rsid w:val="00B732C0"/>
    <w:rsid w:val="00B735AE"/>
    <w:rsid w:val="00B738D3"/>
    <w:rsid w:val="00B73FF6"/>
    <w:rsid w:val="00B740E0"/>
    <w:rsid w:val="00B74656"/>
    <w:rsid w:val="00B747CB"/>
    <w:rsid w:val="00B74A67"/>
    <w:rsid w:val="00B74C5D"/>
    <w:rsid w:val="00B74EA6"/>
    <w:rsid w:val="00B74EC2"/>
    <w:rsid w:val="00B750B7"/>
    <w:rsid w:val="00B751D6"/>
    <w:rsid w:val="00B752EF"/>
    <w:rsid w:val="00B755C1"/>
    <w:rsid w:val="00B758C2"/>
    <w:rsid w:val="00B759DC"/>
    <w:rsid w:val="00B75B2A"/>
    <w:rsid w:val="00B75B47"/>
    <w:rsid w:val="00B75C8D"/>
    <w:rsid w:val="00B75E5C"/>
    <w:rsid w:val="00B75EF0"/>
    <w:rsid w:val="00B75FFB"/>
    <w:rsid w:val="00B76095"/>
    <w:rsid w:val="00B762AD"/>
    <w:rsid w:val="00B763D2"/>
    <w:rsid w:val="00B764DE"/>
    <w:rsid w:val="00B76650"/>
    <w:rsid w:val="00B7688E"/>
    <w:rsid w:val="00B76A8B"/>
    <w:rsid w:val="00B77209"/>
    <w:rsid w:val="00B77365"/>
    <w:rsid w:val="00B775D6"/>
    <w:rsid w:val="00B77673"/>
    <w:rsid w:val="00B776A2"/>
    <w:rsid w:val="00B7791F"/>
    <w:rsid w:val="00B77A84"/>
    <w:rsid w:val="00B77B0A"/>
    <w:rsid w:val="00B77B18"/>
    <w:rsid w:val="00B77C4E"/>
    <w:rsid w:val="00B77FFD"/>
    <w:rsid w:val="00B8027F"/>
    <w:rsid w:val="00B8074B"/>
    <w:rsid w:val="00B809FA"/>
    <w:rsid w:val="00B80AF4"/>
    <w:rsid w:val="00B80BD6"/>
    <w:rsid w:val="00B8111F"/>
    <w:rsid w:val="00B81497"/>
    <w:rsid w:val="00B81597"/>
    <w:rsid w:val="00B81A03"/>
    <w:rsid w:val="00B82331"/>
    <w:rsid w:val="00B8274B"/>
    <w:rsid w:val="00B82F5B"/>
    <w:rsid w:val="00B82FDA"/>
    <w:rsid w:val="00B8312F"/>
    <w:rsid w:val="00B83141"/>
    <w:rsid w:val="00B83169"/>
    <w:rsid w:val="00B83443"/>
    <w:rsid w:val="00B834AC"/>
    <w:rsid w:val="00B835A5"/>
    <w:rsid w:val="00B83661"/>
    <w:rsid w:val="00B83B60"/>
    <w:rsid w:val="00B83B81"/>
    <w:rsid w:val="00B83E35"/>
    <w:rsid w:val="00B83F22"/>
    <w:rsid w:val="00B84153"/>
    <w:rsid w:val="00B84411"/>
    <w:rsid w:val="00B846AC"/>
    <w:rsid w:val="00B84B91"/>
    <w:rsid w:val="00B84C65"/>
    <w:rsid w:val="00B85B93"/>
    <w:rsid w:val="00B85C35"/>
    <w:rsid w:val="00B85E98"/>
    <w:rsid w:val="00B85FA4"/>
    <w:rsid w:val="00B860BA"/>
    <w:rsid w:val="00B8625C"/>
    <w:rsid w:val="00B863B3"/>
    <w:rsid w:val="00B864EF"/>
    <w:rsid w:val="00B86834"/>
    <w:rsid w:val="00B86982"/>
    <w:rsid w:val="00B86C14"/>
    <w:rsid w:val="00B87109"/>
    <w:rsid w:val="00B871DF"/>
    <w:rsid w:val="00B87364"/>
    <w:rsid w:val="00B876F7"/>
    <w:rsid w:val="00B87701"/>
    <w:rsid w:val="00B8798F"/>
    <w:rsid w:val="00B879F0"/>
    <w:rsid w:val="00B87A93"/>
    <w:rsid w:val="00B87B70"/>
    <w:rsid w:val="00B87D66"/>
    <w:rsid w:val="00B905B3"/>
    <w:rsid w:val="00B905EC"/>
    <w:rsid w:val="00B90690"/>
    <w:rsid w:val="00B90945"/>
    <w:rsid w:val="00B90BDE"/>
    <w:rsid w:val="00B90DCC"/>
    <w:rsid w:val="00B9122D"/>
    <w:rsid w:val="00B91291"/>
    <w:rsid w:val="00B912D6"/>
    <w:rsid w:val="00B9148D"/>
    <w:rsid w:val="00B91598"/>
    <w:rsid w:val="00B915EB"/>
    <w:rsid w:val="00B91618"/>
    <w:rsid w:val="00B91971"/>
    <w:rsid w:val="00B91CFA"/>
    <w:rsid w:val="00B91D97"/>
    <w:rsid w:val="00B91F38"/>
    <w:rsid w:val="00B92195"/>
    <w:rsid w:val="00B92330"/>
    <w:rsid w:val="00B923A0"/>
    <w:rsid w:val="00B924AF"/>
    <w:rsid w:val="00B927AF"/>
    <w:rsid w:val="00B92C58"/>
    <w:rsid w:val="00B92DC5"/>
    <w:rsid w:val="00B92DCE"/>
    <w:rsid w:val="00B930A4"/>
    <w:rsid w:val="00B937EB"/>
    <w:rsid w:val="00B93E80"/>
    <w:rsid w:val="00B93F16"/>
    <w:rsid w:val="00B93FDF"/>
    <w:rsid w:val="00B94115"/>
    <w:rsid w:val="00B941F9"/>
    <w:rsid w:val="00B947F6"/>
    <w:rsid w:val="00B94946"/>
    <w:rsid w:val="00B94A0C"/>
    <w:rsid w:val="00B94F19"/>
    <w:rsid w:val="00B950ED"/>
    <w:rsid w:val="00B95161"/>
    <w:rsid w:val="00B952DF"/>
    <w:rsid w:val="00B95551"/>
    <w:rsid w:val="00B95603"/>
    <w:rsid w:val="00B956A9"/>
    <w:rsid w:val="00B958DB"/>
    <w:rsid w:val="00B95915"/>
    <w:rsid w:val="00B95969"/>
    <w:rsid w:val="00B95AFB"/>
    <w:rsid w:val="00B960AB"/>
    <w:rsid w:val="00B96166"/>
    <w:rsid w:val="00B96343"/>
    <w:rsid w:val="00B9650E"/>
    <w:rsid w:val="00B9670A"/>
    <w:rsid w:val="00B96C1A"/>
    <w:rsid w:val="00B96C6A"/>
    <w:rsid w:val="00B97396"/>
    <w:rsid w:val="00B973AF"/>
    <w:rsid w:val="00B9761E"/>
    <w:rsid w:val="00B977BF"/>
    <w:rsid w:val="00B97864"/>
    <w:rsid w:val="00B9789E"/>
    <w:rsid w:val="00B97E6B"/>
    <w:rsid w:val="00BA026D"/>
    <w:rsid w:val="00BA0930"/>
    <w:rsid w:val="00BA0D9A"/>
    <w:rsid w:val="00BA100C"/>
    <w:rsid w:val="00BA11DD"/>
    <w:rsid w:val="00BA1520"/>
    <w:rsid w:val="00BA182A"/>
    <w:rsid w:val="00BA1860"/>
    <w:rsid w:val="00BA1C16"/>
    <w:rsid w:val="00BA1D85"/>
    <w:rsid w:val="00BA1F3E"/>
    <w:rsid w:val="00BA207D"/>
    <w:rsid w:val="00BA2698"/>
    <w:rsid w:val="00BA2934"/>
    <w:rsid w:val="00BA2A06"/>
    <w:rsid w:val="00BA2C92"/>
    <w:rsid w:val="00BA2F5D"/>
    <w:rsid w:val="00BA320E"/>
    <w:rsid w:val="00BA34C1"/>
    <w:rsid w:val="00BA3654"/>
    <w:rsid w:val="00BA3692"/>
    <w:rsid w:val="00BA3835"/>
    <w:rsid w:val="00BA38BC"/>
    <w:rsid w:val="00BA38D4"/>
    <w:rsid w:val="00BA3E24"/>
    <w:rsid w:val="00BA3E7F"/>
    <w:rsid w:val="00BA3F0A"/>
    <w:rsid w:val="00BA3FA5"/>
    <w:rsid w:val="00BA41E3"/>
    <w:rsid w:val="00BA4346"/>
    <w:rsid w:val="00BA43F6"/>
    <w:rsid w:val="00BA46D0"/>
    <w:rsid w:val="00BA4B55"/>
    <w:rsid w:val="00BA4C56"/>
    <w:rsid w:val="00BA4D3C"/>
    <w:rsid w:val="00BA5211"/>
    <w:rsid w:val="00BA540C"/>
    <w:rsid w:val="00BA5444"/>
    <w:rsid w:val="00BA5880"/>
    <w:rsid w:val="00BA596D"/>
    <w:rsid w:val="00BA5BF6"/>
    <w:rsid w:val="00BA648D"/>
    <w:rsid w:val="00BA64B7"/>
    <w:rsid w:val="00BA64FD"/>
    <w:rsid w:val="00BA6507"/>
    <w:rsid w:val="00BA6E10"/>
    <w:rsid w:val="00BA7294"/>
    <w:rsid w:val="00BA75CC"/>
    <w:rsid w:val="00BA75EA"/>
    <w:rsid w:val="00BA766A"/>
    <w:rsid w:val="00BA7C7C"/>
    <w:rsid w:val="00BA7CC5"/>
    <w:rsid w:val="00BA7D07"/>
    <w:rsid w:val="00BB0239"/>
    <w:rsid w:val="00BB035C"/>
    <w:rsid w:val="00BB0721"/>
    <w:rsid w:val="00BB0BE3"/>
    <w:rsid w:val="00BB0C1F"/>
    <w:rsid w:val="00BB0DF9"/>
    <w:rsid w:val="00BB0E4C"/>
    <w:rsid w:val="00BB0F58"/>
    <w:rsid w:val="00BB1194"/>
    <w:rsid w:val="00BB1270"/>
    <w:rsid w:val="00BB12D3"/>
    <w:rsid w:val="00BB1333"/>
    <w:rsid w:val="00BB14FC"/>
    <w:rsid w:val="00BB1957"/>
    <w:rsid w:val="00BB1ACD"/>
    <w:rsid w:val="00BB1D7B"/>
    <w:rsid w:val="00BB1D9F"/>
    <w:rsid w:val="00BB1E6D"/>
    <w:rsid w:val="00BB2182"/>
    <w:rsid w:val="00BB24A1"/>
    <w:rsid w:val="00BB24DF"/>
    <w:rsid w:val="00BB25EC"/>
    <w:rsid w:val="00BB28D1"/>
    <w:rsid w:val="00BB2E38"/>
    <w:rsid w:val="00BB316F"/>
    <w:rsid w:val="00BB318E"/>
    <w:rsid w:val="00BB3553"/>
    <w:rsid w:val="00BB3838"/>
    <w:rsid w:val="00BB39B5"/>
    <w:rsid w:val="00BB3DBD"/>
    <w:rsid w:val="00BB3E43"/>
    <w:rsid w:val="00BB4403"/>
    <w:rsid w:val="00BB458A"/>
    <w:rsid w:val="00BB4742"/>
    <w:rsid w:val="00BB47B7"/>
    <w:rsid w:val="00BB496A"/>
    <w:rsid w:val="00BB4B41"/>
    <w:rsid w:val="00BB4B5B"/>
    <w:rsid w:val="00BB4BA1"/>
    <w:rsid w:val="00BB4E1A"/>
    <w:rsid w:val="00BB4E5A"/>
    <w:rsid w:val="00BB4EAE"/>
    <w:rsid w:val="00BB50E0"/>
    <w:rsid w:val="00BB51A8"/>
    <w:rsid w:val="00BB52A4"/>
    <w:rsid w:val="00BB5736"/>
    <w:rsid w:val="00BB5A85"/>
    <w:rsid w:val="00BB5CFC"/>
    <w:rsid w:val="00BB5DF7"/>
    <w:rsid w:val="00BB5FEF"/>
    <w:rsid w:val="00BB6165"/>
    <w:rsid w:val="00BB6605"/>
    <w:rsid w:val="00BB6750"/>
    <w:rsid w:val="00BB68E9"/>
    <w:rsid w:val="00BB6940"/>
    <w:rsid w:val="00BB6D03"/>
    <w:rsid w:val="00BB6F70"/>
    <w:rsid w:val="00BB70B0"/>
    <w:rsid w:val="00BB7362"/>
    <w:rsid w:val="00BB73AF"/>
    <w:rsid w:val="00BB7599"/>
    <w:rsid w:val="00BB75A0"/>
    <w:rsid w:val="00BB75C1"/>
    <w:rsid w:val="00BB7635"/>
    <w:rsid w:val="00BB7A3D"/>
    <w:rsid w:val="00BC01C4"/>
    <w:rsid w:val="00BC0398"/>
    <w:rsid w:val="00BC042A"/>
    <w:rsid w:val="00BC044A"/>
    <w:rsid w:val="00BC04E3"/>
    <w:rsid w:val="00BC055F"/>
    <w:rsid w:val="00BC0704"/>
    <w:rsid w:val="00BC0976"/>
    <w:rsid w:val="00BC0ABC"/>
    <w:rsid w:val="00BC0C74"/>
    <w:rsid w:val="00BC17A0"/>
    <w:rsid w:val="00BC18B7"/>
    <w:rsid w:val="00BC1AE8"/>
    <w:rsid w:val="00BC1D44"/>
    <w:rsid w:val="00BC1E02"/>
    <w:rsid w:val="00BC2081"/>
    <w:rsid w:val="00BC2423"/>
    <w:rsid w:val="00BC25FE"/>
    <w:rsid w:val="00BC28D9"/>
    <w:rsid w:val="00BC297B"/>
    <w:rsid w:val="00BC2B9E"/>
    <w:rsid w:val="00BC2E7B"/>
    <w:rsid w:val="00BC2EDD"/>
    <w:rsid w:val="00BC2F10"/>
    <w:rsid w:val="00BC311C"/>
    <w:rsid w:val="00BC3234"/>
    <w:rsid w:val="00BC3499"/>
    <w:rsid w:val="00BC34B9"/>
    <w:rsid w:val="00BC3719"/>
    <w:rsid w:val="00BC3911"/>
    <w:rsid w:val="00BC3AC1"/>
    <w:rsid w:val="00BC3BAB"/>
    <w:rsid w:val="00BC3C52"/>
    <w:rsid w:val="00BC3CC5"/>
    <w:rsid w:val="00BC3CE4"/>
    <w:rsid w:val="00BC3EA6"/>
    <w:rsid w:val="00BC3F02"/>
    <w:rsid w:val="00BC4212"/>
    <w:rsid w:val="00BC43C8"/>
    <w:rsid w:val="00BC4E28"/>
    <w:rsid w:val="00BC4E3A"/>
    <w:rsid w:val="00BC50B9"/>
    <w:rsid w:val="00BC5162"/>
    <w:rsid w:val="00BC5330"/>
    <w:rsid w:val="00BC549F"/>
    <w:rsid w:val="00BC55FB"/>
    <w:rsid w:val="00BC576D"/>
    <w:rsid w:val="00BC5A60"/>
    <w:rsid w:val="00BC5A6E"/>
    <w:rsid w:val="00BC5AC1"/>
    <w:rsid w:val="00BC5AE9"/>
    <w:rsid w:val="00BC5F95"/>
    <w:rsid w:val="00BC6131"/>
    <w:rsid w:val="00BC6255"/>
    <w:rsid w:val="00BC62D3"/>
    <w:rsid w:val="00BC640C"/>
    <w:rsid w:val="00BC65F7"/>
    <w:rsid w:val="00BC6C49"/>
    <w:rsid w:val="00BC6ED5"/>
    <w:rsid w:val="00BC7222"/>
    <w:rsid w:val="00BC7450"/>
    <w:rsid w:val="00BC7648"/>
    <w:rsid w:val="00BC7904"/>
    <w:rsid w:val="00BC7B70"/>
    <w:rsid w:val="00BC7CF3"/>
    <w:rsid w:val="00BC7FE0"/>
    <w:rsid w:val="00BD0117"/>
    <w:rsid w:val="00BD024D"/>
    <w:rsid w:val="00BD033A"/>
    <w:rsid w:val="00BD0560"/>
    <w:rsid w:val="00BD064A"/>
    <w:rsid w:val="00BD0684"/>
    <w:rsid w:val="00BD0F46"/>
    <w:rsid w:val="00BD1403"/>
    <w:rsid w:val="00BD14F0"/>
    <w:rsid w:val="00BD15AD"/>
    <w:rsid w:val="00BD1601"/>
    <w:rsid w:val="00BD1643"/>
    <w:rsid w:val="00BD171E"/>
    <w:rsid w:val="00BD1732"/>
    <w:rsid w:val="00BD1869"/>
    <w:rsid w:val="00BD1ADE"/>
    <w:rsid w:val="00BD1AFF"/>
    <w:rsid w:val="00BD1C48"/>
    <w:rsid w:val="00BD1CA2"/>
    <w:rsid w:val="00BD1E97"/>
    <w:rsid w:val="00BD1E9E"/>
    <w:rsid w:val="00BD2198"/>
    <w:rsid w:val="00BD224F"/>
    <w:rsid w:val="00BD229E"/>
    <w:rsid w:val="00BD2618"/>
    <w:rsid w:val="00BD26B8"/>
    <w:rsid w:val="00BD2709"/>
    <w:rsid w:val="00BD2773"/>
    <w:rsid w:val="00BD2807"/>
    <w:rsid w:val="00BD2AB1"/>
    <w:rsid w:val="00BD2B80"/>
    <w:rsid w:val="00BD3011"/>
    <w:rsid w:val="00BD39D1"/>
    <w:rsid w:val="00BD3A58"/>
    <w:rsid w:val="00BD3C0E"/>
    <w:rsid w:val="00BD3EE3"/>
    <w:rsid w:val="00BD3F17"/>
    <w:rsid w:val="00BD4156"/>
    <w:rsid w:val="00BD421A"/>
    <w:rsid w:val="00BD46EE"/>
    <w:rsid w:val="00BD475A"/>
    <w:rsid w:val="00BD47A7"/>
    <w:rsid w:val="00BD4A0D"/>
    <w:rsid w:val="00BD4B76"/>
    <w:rsid w:val="00BD4BD8"/>
    <w:rsid w:val="00BD4BF2"/>
    <w:rsid w:val="00BD4F45"/>
    <w:rsid w:val="00BD4F47"/>
    <w:rsid w:val="00BD53A7"/>
    <w:rsid w:val="00BD554B"/>
    <w:rsid w:val="00BD5962"/>
    <w:rsid w:val="00BD5980"/>
    <w:rsid w:val="00BD5E56"/>
    <w:rsid w:val="00BD608B"/>
    <w:rsid w:val="00BD60DC"/>
    <w:rsid w:val="00BD661D"/>
    <w:rsid w:val="00BD666E"/>
    <w:rsid w:val="00BD68EE"/>
    <w:rsid w:val="00BD6929"/>
    <w:rsid w:val="00BD6939"/>
    <w:rsid w:val="00BD6A29"/>
    <w:rsid w:val="00BD6C32"/>
    <w:rsid w:val="00BD6D56"/>
    <w:rsid w:val="00BD6DD3"/>
    <w:rsid w:val="00BD7130"/>
    <w:rsid w:val="00BD747A"/>
    <w:rsid w:val="00BD7608"/>
    <w:rsid w:val="00BD7623"/>
    <w:rsid w:val="00BD7651"/>
    <w:rsid w:val="00BD79F4"/>
    <w:rsid w:val="00BD7CDB"/>
    <w:rsid w:val="00BD7EA5"/>
    <w:rsid w:val="00BD7EC9"/>
    <w:rsid w:val="00BD7F98"/>
    <w:rsid w:val="00BE0065"/>
    <w:rsid w:val="00BE006F"/>
    <w:rsid w:val="00BE04DB"/>
    <w:rsid w:val="00BE058F"/>
    <w:rsid w:val="00BE07CF"/>
    <w:rsid w:val="00BE091A"/>
    <w:rsid w:val="00BE0B94"/>
    <w:rsid w:val="00BE0CE6"/>
    <w:rsid w:val="00BE1010"/>
    <w:rsid w:val="00BE10CE"/>
    <w:rsid w:val="00BE1134"/>
    <w:rsid w:val="00BE143B"/>
    <w:rsid w:val="00BE160D"/>
    <w:rsid w:val="00BE1B23"/>
    <w:rsid w:val="00BE1B8D"/>
    <w:rsid w:val="00BE20FE"/>
    <w:rsid w:val="00BE21A6"/>
    <w:rsid w:val="00BE229F"/>
    <w:rsid w:val="00BE24E3"/>
    <w:rsid w:val="00BE2528"/>
    <w:rsid w:val="00BE258E"/>
    <w:rsid w:val="00BE2A6B"/>
    <w:rsid w:val="00BE2F01"/>
    <w:rsid w:val="00BE307E"/>
    <w:rsid w:val="00BE315A"/>
    <w:rsid w:val="00BE3216"/>
    <w:rsid w:val="00BE3B88"/>
    <w:rsid w:val="00BE3CE5"/>
    <w:rsid w:val="00BE3CF2"/>
    <w:rsid w:val="00BE3CFD"/>
    <w:rsid w:val="00BE4347"/>
    <w:rsid w:val="00BE480C"/>
    <w:rsid w:val="00BE4945"/>
    <w:rsid w:val="00BE4AF4"/>
    <w:rsid w:val="00BE4E70"/>
    <w:rsid w:val="00BE5400"/>
    <w:rsid w:val="00BE5452"/>
    <w:rsid w:val="00BE58F6"/>
    <w:rsid w:val="00BE5986"/>
    <w:rsid w:val="00BE5EBE"/>
    <w:rsid w:val="00BE638E"/>
    <w:rsid w:val="00BE63AF"/>
    <w:rsid w:val="00BE64A7"/>
    <w:rsid w:val="00BE668A"/>
    <w:rsid w:val="00BE66F0"/>
    <w:rsid w:val="00BE671B"/>
    <w:rsid w:val="00BE68A1"/>
    <w:rsid w:val="00BE6AF4"/>
    <w:rsid w:val="00BE6BF2"/>
    <w:rsid w:val="00BE6E2F"/>
    <w:rsid w:val="00BE7010"/>
    <w:rsid w:val="00BE705A"/>
    <w:rsid w:val="00BE72EF"/>
    <w:rsid w:val="00BE7614"/>
    <w:rsid w:val="00BE796A"/>
    <w:rsid w:val="00BE7B02"/>
    <w:rsid w:val="00BF017B"/>
    <w:rsid w:val="00BF0287"/>
    <w:rsid w:val="00BF0321"/>
    <w:rsid w:val="00BF07D9"/>
    <w:rsid w:val="00BF092F"/>
    <w:rsid w:val="00BF0B5D"/>
    <w:rsid w:val="00BF0D7E"/>
    <w:rsid w:val="00BF0FAD"/>
    <w:rsid w:val="00BF1194"/>
    <w:rsid w:val="00BF11A1"/>
    <w:rsid w:val="00BF1227"/>
    <w:rsid w:val="00BF156D"/>
    <w:rsid w:val="00BF16B8"/>
    <w:rsid w:val="00BF17B8"/>
    <w:rsid w:val="00BF1D21"/>
    <w:rsid w:val="00BF2021"/>
    <w:rsid w:val="00BF204C"/>
    <w:rsid w:val="00BF204E"/>
    <w:rsid w:val="00BF22DB"/>
    <w:rsid w:val="00BF2416"/>
    <w:rsid w:val="00BF2496"/>
    <w:rsid w:val="00BF26EF"/>
    <w:rsid w:val="00BF271D"/>
    <w:rsid w:val="00BF2940"/>
    <w:rsid w:val="00BF296C"/>
    <w:rsid w:val="00BF29CA"/>
    <w:rsid w:val="00BF29F6"/>
    <w:rsid w:val="00BF2A48"/>
    <w:rsid w:val="00BF2AE6"/>
    <w:rsid w:val="00BF32A4"/>
    <w:rsid w:val="00BF32C2"/>
    <w:rsid w:val="00BF32EE"/>
    <w:rsid w:val="00BF34F7"/>
    <w:rsid w:val="00BF3640"/>
    <w:rsid w:val="00BF36AA"/>
    <w:rsid w:val="00BF37BA"/>
    <w:rsid w:val="00BF388F"/>
    <w:rsid w:val="00BF3969"/>
    <w:rsid w:val="00BF3A29"/>
    <w:rsid w:val="00BF3D88"/>
    <w:rsid w:val="00BF3DF8"/>
    <w:rsid w:val="00BF415E"/>
    <w:rsid w:val="00BF4205"/>
    <w:rsid w:val="00BF42E4"/>
    <w:rsid w:val="00BF42EC"/>
    <w:rsid w:val="00BF4971"/>
    <w:rsid w:val="00BF4FA7"/>
    <w:rsid w:val="00BF51CC"/>
    <w:rsid w:val="00BF527E"/>
    <w:rsid w:val="00BF5294"/>
    <w:rsid w:val="00BF5491"/>
    <w:rsid w:val="00BF54B0"/>
    <w:rsid w:val="00BF54F3"/>
    <w:rsid w:val="00BF5C87"/>
    <w:rsid w:val="00BF5D4A"/>
    <w:rsid w:val="00BF5D6A"/>
    <w:rsid w:val="00BF5D6B"/>
    <w:rsid w:val="00BF5FA5"/>
    <w:rsid w:val="00BF6027"/>
    <w:rsid w:val="00BF64B3"/>
    <w:rsid w:val="00BF67C6"/>
    <w:rsid w:val="00BF6A58"/>
    <w:rsid w:val="00BF6DE5"/>
    <w:rsid w:val="00BF705C"/>
    <w:rsid w:val="00BF7250"/>
    <w:rsid w:val="00BF7AC5"/>
    <w:rsid w:val="00C00081"/>
    <w:rsid w:val="00C00100"/>
    <w:rsid w:val="00C00283"/>
    <w:rsid w:val="00C00368"/>
    <w:rsid w:val="00C009DC"/>
    <w:rsid w:val="00C00B20"/>
    <w:rsid w:val="00C00DB4"/>
    <w:rsid w:val="00C00F6D"/>
    <w:rsid w:val="00C00F7F"/>
    <w:rsid w:val="00C010D0"/>
    <w:rsid w:val="00C0113D"/>
    <w:rsid w:val="00C011FE"/>
    <w:rsid w:val="00C0187E"/>
    <w:rsid w:val="00C0189C"/>
    <w:rsid w:val="00C019B2"/>
    <w:rsid w:val="00C019BE"/>
    <w:rsid w:val="00C01E49"/>
    <w:rsid w:val="00C01EC1"/>
    <w:rsid w:val="00C02350"/>
    <w:rsid w:val="00C026E7"/>
    <w:rsid w:val="00C02814"/>
    <w:rsid w:val="00C02AED"/>
    <w:rsid w:val="00C02B96"/>
    <w:rsid w:val="00C02D79"/>
    <w:rsid w:val="00C02E2D"/>
    <w:rsid w:val="00C03640"/>
    <w:rsid w:val="00C037CC"/>
    <w:rsid w:val="00C03B99"/>
    <w:rsid w:val="00C0406E"/>
    <w:rsid w:val="00C04A02"/>
    <w:rsid w:val="00C04D8F"/>
    <w:rsid w:val="00C0506D"/>
    <w:rsid w:val="00C0523D"/>
    <w:rsid w:val="00C05304"/>
    <w:rsid w:val="00C05458"/>
    <w:rsid w:val="00C05543"/>
    <w:rsid w:val="00C055D9"/>
    <w:rsid w:val="00C05828"/>
    <w:rsid w:val="00C05AF2"/>
    <w:rsid w:val="00C05B4C"/>
    <w:rsid w:val="00C05B90"/>
    <w:rsid w:val="00C05BB1"/>
    <w:rsid w:val="00C0602C"/>
    <w:rsid w:val="00C06233"/>
    <w:rsid w:val="00C06346"/>
    <w:rsid w:val="00C06592"/>
    <w:rsid w:val="00C065EF"/>
    <w:rsid w:val="00C067E9"/>
    <w:rsid w:val="00C06A60"/>
    <w:rsid w:val="00C06B4D"/>
    <w:rsid w:val="00C06EC1"/>
    <w:rsid w:val="00C07357"/>
    <w:rsid w:val="00C0782C"/>
    <w:rsid w:val="00C0786C"/>
    <w:rsid w:val="00C078DC"/>
    <w:rsid w:val="00C07941"/>
    <w:rsid w:val="00C07A00"/>
    <w:rsid w:val="00C07AED"/>
    <w:rsid w:val="00C07B56"/>
    <w:rsid w:val="00C07C1A"/>
    <w:rsid w:val="00C07C7E"/>
    <w:rsid w:val="00C10029"/>
    <w:rsid w:val="00C1006C"/>
    <w:rsid w:val="00C101F9"/>
    <w:rsid w:val="00C1032F"/>
    <w:rsid w:val="00C1039E"/>
    <w:rsid w:val="00C106D5"/>
    <w:rsid w:val="00C1073A"/>
    <w:rsid w:val="00C108A5"/>
    <w:rsid w:val="00C10A52"/>
    <w:rsid w:val="00C10BAA"/>
    <w:rsid w:val="00C10D9B"/>
    <w:rsid w:val="00C11145"/>
    <w:rsid w:val="00C11189"/>
    <w:rsid w:val="00C114DE"/>
    <w:rsid w:val="00C115F4"/>
    <w:rsid w:val="00C1161D"/>
    <w:rsid w:val="00C11FE6"/>
    <w:rsid w:val="00C121A8"/>
    <w:rsid w:val="00C12527"/>
    <w:rsid w:val="00C12583"/>
    <w:rsid w:val="00C1269F"/>
    <w:rsid w:val="00C1283F"/>
    <w:rsid w:val="00C12910"/>
    <w:rsid w:val="00C12AD6"/>
    <w:rsid w:val="00C12D6F"/>
    <w:rsid w:val="00C12F60"/>
    <w:rsid w:val="00C130AE"/>
    <w:rsid w:val="00C13197"/>
    <w:rsid w:val="00C13277"/>
    <w:rsid w:val="00C134A1"/>
    <w:rsid w:val="00C134C5"/>
    <w:rsid w:val="00C135A5"/>
    <w:rsid w:val="00C1368E"/>
    <w:rsid w:val="00C137FF"/>
    <w:rsid w:val="00C13A0C"/>
    <w:rsid w:val="00C13D2E"/>
    <w:rsid w:val="00C13DCE"/>
    <w:rsid w:val="00C142AD"/>
    <w:rsid w:val="00C1434C"/>
    <w:rsid w:val="00C14455"/>
    <w:rsid w:val="00C1475C"/>
    <w:rsid w:val="00C14EFE"/>
    <w:rsid w:val="00C14F1F"/>
    <w:rsid w:val="00C151C1"/>
    <w:rsid w:val="00C151F3"/>
    <w:rsid w:val="00C152D3"/>
    <w:rsid w:val="00C152EB"/>
    <w:rsid w:val="00C15335"/>
    <w:rsid w:val="00C1542C"/>
    <w:rsid w:val="00C15434"/>
    <w:rsid w:val="00C1548B"/>
    <w:rsid w:val="00C1595F"/>
    <w:rsid w:val="00C15A35"/>
    <w:rsid w:val="00C162D7"/>
    <w:rsid w:val="00C1647F"/>
    <w:rsid w:val="00C16637"/>
    <w:rsid w:val="00C16883"/>
    <w:rsid w:val="00C17185"/>
    <w:rsid w:val="00C17872"/>
    <w:rsid w:val="00C17AF0"/>
    <w:rsid w:val="00C17B6D"/>
    <w:rsid w:val="00C17B6E"/>
    <w:rsid w:val="00C17F0D"/>
    <w:rsid w:val="00C17F4F"/>
    <w:rsid w:val="00C17FFD"/>
    <w:rsid w:val="00C2002F"/>
    <w:rsid w:val="00C20063"/>
    <w:rsid w:val="00C20384"/>
    <w:rsid w:val="00C20711"/>
    <w:rsid w:val="00C20B62"/>
    <w:rsid w:val="00C20C01"/>
    <w:rsid w:val="00C21171"/>
    <w:rsid w:val="00C211DB"/>
    <w:rsid w:val="00C21246"/>
    <w:rsid w:val="00C21482"/>
    <w:rsid w:val="00C216B6"/>
    <w:rsid w:val="00C2179D"/>
    <w:rsid w:val="00C21A68"/>
    <w:rsid w:val="00C21F10"/>
    <w:rsid w:val="00C2200A"/>
    <w:rsid w:val="00C221BD"/>
    <w:rsid w:val="00C222C9"/>
    <w:rsid w:val="00C22A0F"/>
    <w:rsid w:val="00C22C83"/>
    <w:rsid w:val="00C22C85"/>
    <w:rsid w:val="00C22D02"/>
    <w:rsid w:val="00C230AC"/>
    <w:rsid w:val="00C232AA"/>
    <w:rsid w:val="00C232C3"/>
    <w:rsid w:val="00C23707"/>
    <w:rsid w:val="00C2376D"/>
    <w:rsid w:val="00C238E8"/>
    <w:rsid w:val="00C23B0A"/>
    <w:rsid w:val="00C23EA5"/>
    <w:rsid w:val="00C24044"/>
    <w:rsid w:val="00C24374"/>
    <w:rsid w:val="00C247C9"/>
    <w:rsid w:val="00C24817"/>
    <w:rsid w:val="00C249E7"/>
    <w:rsid w:val="00C24A17"/>
    <w:rsid w:val="00C24BF6"/>
    <w:rsid w:val="00C24BF9"/>
    <w:rsid w:val="00C24C90"/>
    <w:rsid w:val="00C24CDE"/>
    <w:rsid w:val="00C24F2D"/>
    <w:rsid w:val="00C25112"/>
    <w:rsid w:val="00C252E3"/>
    <w:rsid w:val="00C25448"/>
    <w:rsid w:val="00C25615"/>
    <w:rsid w:val="00C2565D"/>
    <w:rsid w:val="00C25728"/>
    <w:rsid w:val="00C25CE3"/>
    <w:rsid w:val="00C25EA4"/>
    <w:rsid w:val="00C26260"/>
    <w:rsid w:val="00C26432"/>
    <w:rsid w:val="00C2647A"/>
    <w:rsid w:val="00C264C2"/>
    <w:rsid w:val="00C2659E"/>
    <w:rsid w:val="00C26722"/>
    <w:rsid w:val="00C269D4"/>
    <w:rsid w:val="00C26AB7"/>
    <w:rsid w:val="00C26CA5"/>
    <w:rsid w:val="00C271CE"/>
    <w:rsid w:val="00C27388"/>
    <w:rsid w:val="00C276EF"/>
    <w:rsid w:val="00C27780"/>
    <w:rsid w:val="00C27804"/>
    <w:rsid w:val="00C27836"/>
    <w:rsid w:val="00C27B1F"/>
    <w:rsid w:val="00C27B25"/>
    <w:rsid w:val="00C300CC"/>
    <w:rsid w:val="00C3042F"/>
    <w:rsid w:val="00C306C5"/>
    <w:rsid w:val="00C3078A"/>
    <w:rsid w:val="00C307E5"/>
    <w:rsid w:val="00C30817"/>
    <w:rsid w:val="00C30CD8"/>
    <w:rsid w:val="00C30EA5"/>
    <w:rsid w:val="00C31136"/>
    <w:rsid w:val="00C3138E"/>
    <w:rsid w:val="00C31692"/>
    <w:rsid w:val="00C3170A"/>
    <w:rsid w:val="00C3174E"/>
    <w:rsid w:val="00C31812"/>
    <w:rsid w:val="00C31B65"/>
    <w:rsid w:val="00C31CBC"/>
    <w:rsid w:val="00C31CD1"/>
    <w:rsid w:val="00C3200C"/>
    <w:rsid w:val="00C322AA"/>
    <w:rsid w:val="00C3234D"/>
    <w:rsid w:val="00C325BA"/>
    <w:rsid w:val="00C326B6"/>
    <w:rsid w:val="00C327B5"/>
    <w:rsid w:val="00C32E81"/>
    <w:rsid w:val="00C3352E"/>
    <w:rsid w:val="00C3383A"/>
    <w:rsid w:val="00C3393E"/>
    <w:rsid w:val="00C33A91"/>
    <w:rsid w:val="00C33E41"/>
    <w:rsid w:val="00C3419C"/>
    <w:rsid w:val="00C34321"/>
    <w:rsid w:val="00C3445E"/>
    <w:rsid w:val="00C3447A"/>
    <w:rsid w:val="00C34653"/>
    <w:rsid w:val="00C346E3"/>
    <w:rsid w:val="00C34870"/>
    <w:rsid w:val="00C34886"/>
    <w:rsid w:val="00C34F9C"/>
    <w:rsid w:val="00C3519F"/>
    <w:rsid w:val="00C352AE"/>
    <w:rsid w:val="00C3534B"/>
    <w:rsid w:val="00C3542F"/>
    <w:rsid w:val="00C3566C"/>
    <w:rsid w:val="00C35739"/>
    <w:rsid w:val="00C35836"/>
    <w:rsid w:val="00C35A5E"/>
    <w:rsid w:val="00C35B94"/>
    <w:rsid w:val="00C35CFE"/>
    <w:rsid w:val="00C35FCF"/>
    <w:rsid w:val="00C3626B"/>
    <w:rsid w:val="00C36352"/>
    <w:rsid w:val="00C368EE"/>
    <w:rsid w:val="00C36A11"/>
    <w:rsid w:val="00C36A5B"/>
    <w:rsid w:val="00C36AF1"/>
    <w:rsid w:val="00C36CC9"/>
    <w:rsid w:val="00C36CF8"/>
    <w:rsid w:val="00C36D60"/>
    <w:rsid w:val="00C36EF7"/>
    <w:rsid w:val="00C370BC"/>
    <w:rsid w:val="00C3742D"/>
    <w:rsid w:val="00C374E2"/>
    <w:rsid w:val="00C37645"/>
    <w:rsid w:val="00C37775"/>
    <w:rsid w:val="00C3777A"/>
    <w:rsid w:val="00C37A6A"/>
    <w:rsid w:val="00C37F21"/>
    <w:rsid w:val="00C37F9F"/>
    <w:rsid w:val="00C400DB"/>
    <w:rsid w:val="00C400E0"/>
    <w:rsid w:val="00C407D4"/>
    <w:rsid w:val="00C409B6"/>
    <w:rsid w:val="00C41168"/>
    <w:rsid w:val="00C41205"/>
    <w:rsid w:val="00C4168A"/>
    <w:rsid w:val="00C418D1"/>
    <w:rsid w:val="00C41A05"/>
    <w:rsid w:val="00C41A97"/>
    <w:rsid w:val="00C41B3C"/>
    <w:rsid w:val="00C41BAD"/>
    <w:rsid w:val="00C41F25"/>
    <w:rsid w:val="00C41FD1"/>
    <w:rsid w:val="00C4229B"/>
    <w:rsid w:val="00C42393"/>
    <w:rsid w:val="00C42484"/>
    <w:rsid w:val="00C424A3"/>
    <w:rsid w:val="00C424B8"/>
    <w:rsid w:val="00C42595"/>
    <w:rsid w:val="00C425BE"/>
    <w:rsid w:val="00C425D7"/>
    <w:rsid w:val="00C426C9"/>
    <w:rsid w:val="00C42717"/>
    <w:rsid w:val="00C42A91"/>
    <w:rsid w:val="00C42AFB"/>
    <w:rsid w:val="00C42C29"/>
    <w:rsid w:val="00C42E3B"/>
    <w:rsid w:val="00C42F1A"/>
    <w:rsid w:val="00C4307C"/>
    <w:rsid w:val="00C4330B"/>
    <w:rsid w:val="00C433B4"/>
    <w:rsid w:val="00C4369E"/>
    <w:rsid w:val="00C4381B"/>
    <w:rsid w:val="00C43D68"/>
    <w:rsid w:val="00C44397"/>
    <w:rsid w:val="00C446B0"/>
    <w:rsid w:val="00C446FD"/>
    <w:rsid w:val="00C44994"/>
    <w:rsid w:val="00C44A66"/>
    <w:rsid w:val="00C44B94"/>
    <w:rsid w:val="00C44DD3"/>
    <w:rsid w:val="00C44F6E"/>
    <w:rsid w:val="00C451EA"/>
    <w:rsid w:val="00C45218"/>
    <w:rsid w:val="00C453F6"/>
    <w:rsid w:val="00C4568E"/>
    <w:rsid w:val="00C45998"/>
    <w:rsid w:val="00C459FF"/>
    <w:rsid w:val="00C45A75"/>
    <w:rsid w:val="00C45B8D"/>
    <w:rsid w:val="00C45C8F"/>
    <w:rsid w:val="00C45CAE"/>
    <w:rsid w:val="00C45EF1"/>
    <w:rsid w:val="00C46191"/>
    <w:rsid w:val="00C4621D"/>
    <w:rsid w:val="00C4622D"/>
    <w:rsid w:val="00C4640F"/>
    <w:rsid w:val="00C46530"/>
    <w:rsid w:val="00C4659D"/>
    <w:rsid w:val="00C467E0"/>
    <w:rsid w:val="00C46CB2"/>
    <w:rsid w:val="00C46D33"/>
    <w:rsid w:val="00C46E6C"/>
    <w:rsid w:val="00C47050"/>
    <w:rsid w:val="00C470CB"/>
    <w:rsid w:val="00C470D5"/>
    <w:rsid w:val="00C47113"/>
    <w:rsid w:val="00C47237"/>
    <w:rsid w:val="00C47238"/>
    <w:rsid w:val="00C472FA"/>
    <w:rsid w:val="00C473C0"/>
    <w:rsid w:val="00C477AD"/>
    <w:rsid w:val="00C47884"/>
    <w:rsid w:val="00C4798D"/>
    <w:rsid w:val="00C479D8"/>
    <w:rsid w:val="00C47BB3"/>
    <w:rsid w:val="00C47C8A"/>
    <w:rsid w:val="00C47CA2"/>
    <w:rsid w:val="00C503C9"/>
    <w:rsid w:val="00C50441"/>
    <w:rsid w:val="00C509AD"/>
    <w:rsid w:val="00C50C25"/>
    <w:rsid w:val="00C50D68"/>
    <w:rsid w:val="00C50F66"/>
    <w:rsid w:val="00C51FD6"/>
    <w:rsid w:val="00C51FF6"/>
    <w:rsid w:val="00C52050"/>
    <w:rsid w:val="00C5207A"/>
    <w:rsid w:val="00C522A8"/>
    <w:rsid w:val="00C52337"/>
    <w:rsid w:val="00C523F6"/>
    <w:rsid w:val="00C528CD"/>
    <w:rsid w:val="00C529FF"/>
    <w:rsid w:val="00C52B80"/>
    <w:rsid w:val="00C52E3C"/>
    <w:rsid w:val="00C5335A"/>
    <w:rsid w:val="00C53C7D"/>
    <w:rsid w:val="00C53CC8"/>
    <w:rsid w:val="00C541A9"/>
    <w:rsid w:val="00C5433A"/>
    <w:rsid w:val="00C543B0"/>
    <w:rsid w:val="00C5446A"/>
    <w:rsid w:val="00C5452F"/>
    <w:rsid w:val="00C545A6"/>
    <w:rsid w:val="00C54692"/>
    <w:rsid w:val="00C54763"/>
    <w:rsid w:val="00C547E7"/>
    <w:rsid w:val="00C54818"/>
    <w:rsid w:val="00C54A3F"/>
    <w:rsid w:val="00C54ADC"/>
    <w:rsid w:val="00C54D73"/>
    <w:rsid w:val="00C54E28"/>
    <w:rsid w:val="00C5501E"/>
    <w:rsid w:val="00C550DF"/>
    <w:rsid w:val="00C5553E"/>
    <w:rsid w:val="00C556CC"/>
    <w:rsid w:val="00C55737"/>
    <w:rsid w:val="00C558C1"/>
    <w:rsid w:val="00C5599B"/>
    <w:rsid w:val="00C559A8"/>
    <w:rsid w:val="00C55C01"/>
    <w:rsid w:val="00C55C39"/>
    <w:rsid w:val="00C55FD3"/>
    <w:rsid w:val="00C56045"/>
    <w:rsid w:val="00C5605B"/>
    <w:rsid w:val="00C562ED"/>
    <w:rsid w:val="00C56342"/>
    <w:rsid w:val="00C5648E"/>
    <w:rsid w:val="00C566E6"/>
    <w:rsid w:val="00C568CE"/>
    <w:rsid w:val="00C56B4B"/>
    <w:rsid w:val="00C56B6C"/>
    <w:rsid w:val="00C56C50"/>
    <w:rsid w:val="00C56C64"/>
    <w:rsid w:val="00C570A6"/>
    <w:rsid w:val="00C5722E"/>
    <w:rsid w:val="00C57298"/>
    <w:rsid w:val="00C573EF"/>
    <w:rsid w:val="00C575F9"/>
    <w:rsid w:val="00C57761"/>
    <w:rsid w:val="00C5787D"/>
    <w:rsid w:val="00C57CAF"/>
    <w:rsid w:val="00C57E49"/>
    <w:rsid w:val="00C60036"/>
    <w:rsid w:val="00C600AA"/>
    <w:rsid w:val="00C600C5"/>
    <w:rsid w:val="00C602C7"/>
    <w:rsid w:val="00C602FF"/>
    <w:rsid w:val="00C60763"/>
    <w:rsid w:val="00C60966"/>
    <w:rsid w:val="00C60AFE"/>
    <w:rsid w:val="00C60C41"/>
    <w:rsid w:val="00C60D31"/>
    <w:rsid w:val="00C60DFA"/>
    <w:rsid w:val="00C6127C"/>
    <w:rsid w:val="00C61454"/>
    <w:rsid w:val="00C6153C"/>
    <w:rsid w:val="00C615E0"/>
    <w:rsid w:val="00C61602"/>
    <w:rsid w:val="00C61795"/>
    <w:rsid w:val="00C61C73"/>
    <w:rsid w:val="00C61D21"/>
    <w:rsid w:val="00C61EB7"/>
    <w:rsid w:val="00C6218A"/>
    <w:rsid w:val="00C622BD"/>
    <w:rsid w:val="00C622DB"/>
    <w:rsid w:val="00C62562"/>
    <w:rsid w:val="00C62700"/>
    <w:rsid w:val="00C627B3"/>
    <w:rsid w:val="00C627F1"/>
    <w:rsid w:val="00C628E5"/>
    <w:rsid w:val="00C62977"/>
    <w:rsid w:val="00C62A10"/>
    <w:rsid w:val="00C62AE8"/>
    <w:rsid w:val="00C63179"/>
    <w:rsid w:val="00C6320F"/>
    <w:rsid w:val="00C632BE"/>
    <w:rsid w:val="00C63340"/>
    <w:rsid w:val="00C635F1"/>
    <w:rsid w:val="00C637FE"/>
    <w:rsid w:val="00C63815"/>
    <w:rsid w:val="00C6388F"/>
    <w:rsid w:val="00C638D3"/>
    <w:rsid w:val="00C639DD"/>
    <w:rsid w:val="00C63E1F"/>
    <w:rsid w:val="00C6414C"/>
    <w:rsid w:val="00C641B5"/>
    <w:rsid w:val="00C647E1"/>
    <w:rsid w:val="00C64844"/>
    <w:rsid w:val="00C648E6"/>
    <w:rsid w:val="00C64A78"/>
    <w:rsid w:val="00C64B9A"/>
    <w:rsid w:val="00C64CA8"/>
    <w:rsid w:val="00C64E94"/>
    <w:rsid w:val="00C64F45"/>
    <w:rsid w:val="00C651D3"/>
    <w:rsid w:val="00C652ED"/>
    <w:rsid w:val="00C65355"/>
    <w:rsid w:val="00C6539A"/>
    <w:rsid w:val="00C656E4"/>
    <w:rsid w:val="00C658DF"/>
    <w:rsid w:val="00C65918"/>
    <w:rsid w:val="00C65A89"/>
    <w:rsid w:val="00C65A9E"/>
    <w:rsid w:val="00C65CEE"/>
    <w:rsid w:val="00C65F62"/>
    <w:rsid w:val="00C660D9"/>
    <w:rsid w:val="00C66482"/>
    <w:rsid w:val="00C66489"/>
    <w:rsid w:val="00C6663D"/>
    <w:rsid w:val="00C66797"/>
    <w:rsid w:val="00C66A34"/>
    <w:rsid w:val="00C66D9A"/>
    <w:rsid w:val="00C66DC8"/>
    <w:rsid w:val="00C66EB9"/>
    <w:rsid w:val="00C671A9"/>
    <w:rsid w:val="00C674AC"/>
    <w:rsid w:val="00C67752"/>
    <w:rsid w:val="00C6781C"/>
    <w:rsid w:val="00C679C1"/>
    <w:rsid w:val="00C67A1B"/>
    <w:rsid w:val="00C67A78"/>
    <w:rsid w:val="00C67A9D"/>
    <w:rsid w:val="00C67AB9"/>
    <w:rsid w:val="00C67EDC"/>
    <w:rsid w:val="00C7057B"/>
    <w:rsid w:val="00C706E2"/>
    <w:rsid w:val="00C708BB"/>
    <w:rsid w:val="00C70CD6"/>
    <w:rsid w:val="00C70E23"/>
    <w:rsid w:val="00C70EB8"/>
    <w:rsid w:val="00C70F13"/>
    <w:rsid w:val="00C7129D"/>
    <w:rsid w:val="00C71658"/>
    <w:rsid w:val="00C717A8"/>
    <w:rsid w:val="00C71977"/>
    <w:rsid w:val="00C71AC4"/>
    <w:rsid w:val="00C71D7D"/>
    <w:rsid w:val="00C71EDC"/>
    <w:rsid w:val="00C7208C"/>
    <w:rsid w:val="00C72238"/>
    <w:rsid w:val="00C72404"/>
    <w:rsid w:val="00C72614"/>
    <w:rsid w:val="00C7262A"/>
    <w:rsid w:val="00C727A1"/>
    <w:rsid w:val="00C7291F"/>
    <w:rsid w:val="00C72921"/>
    <w:rsid w:val="00C72B81"/>
    <w:rsid w:val="00C72BD5"/>
    <w:rsid w:val="00C72D4F"/>
    <w:rsid w:val="00C72EC4"/>
    <w:rsid w:val="00C7307A"/>
    <w:rsid w:val="00C7326E"/>
    <w:rsid w:val="00C733F5"/>
    <w:rsid w:val="00C7360B"/>
    <w:rsid w:val="00C73679"/>
    <w:rsid w:val="00C739EC"/>
    <w:rsid w:val="00C73C5B"/>
    <w:rsid w:val="00C73E2C"/>
    <w:rsid w:val="00C7406D"/>
    <w:rsid w:val="00C745E1"/>
    <w:rsid w:val="00C748C9"/>
    <w:rsid w:val="00C749F7"/>
    <w:rsid w:val="00C74A96"/>
    <w:rsid w:val="00C7501E"/>
    <w:rsid w:val="00C75158"/>
    <w:rsid w:val="00C75161"/>
    <w:rsid w:val="00C756E4"/>
    <w:rsid w:val="00C757A1"/>
    <w:rsid w:val="00C75C2E"/>
    <w:rsid w:val="00C75D12"/>
    <w:rsid w:val="00C75E7A"/>
    <w:rsid w:val="00C76482"/>
    <w:rsid w:val="00C764C2"/>
    <w:rsid w:val="00C764CD"/>
    <w:rsid w:val="00C7678A"/>
    <w:rsid w:val="00C76988"/>
    <w:rsid w:val="00C76C36"/>
    <w:rsid w:val="00C76C72"/>
    <w:rsid w:val="00C76CDC"/>
    <w:rsid w:val="00C76DA0"/>
    <w:rsid w:val="00C76F17"/>
    <w:rsid w:val="00C7705C"/>
    <w:rsid w:val="00C771A2"/>
    <w:rsid w:val="00C772D7"/>
    <w:rsid w:val="00C772F9"/>
    <w:rsid w:val="00C7736C"/>
    <w:rsid w:val="00C7756B"/>
    <w:rsid w:val="00C776D5"/>
    <w:rsid w:val="00C779BC"/>
    <w:rsid w:val="00C77A8F"/>
    <w:rsid w:val="00C77ADD"/>
    <w:rsid w:val="00C77EC5"/>
    <w:rsid w:val="00C77F9F"/>
    <w:rsid w:val="00C77FEC"/>
    <w:rsid w:val="00C80331"/>
    <w:rsid w:val="00C80893"/>
    <w:rsid w:val="00C809E8"/>
    <w:rsid w:val="00C80AC2"/>
    <w:rsid w:val="00C80C29"/>
    <w:rsid w:val="00C80DFC"/>
    <w:rsid w:val="00C80EFA"/>
    <w:rsid w:val="00C81210"/>
    <w:rsid w:val="00C8138D"/>
    <w:rsid w:val="00C8141A"/>
    <w:rsid w:val="00C814B5"/>
    <w:rsid w:val="00C81948"/>
    <w:rsid w:val="00C81961"/>
    <w:rsid w:val="00C819A0"/>
    <w:rsid w:val="00C81A06"/>
    <w:rsid w:val="00C81BA0"/>
    <w:rsid w:val="00C81CBC"/>
    <w:rsid w:val="00C8234A"/>
    <w:rsid w:val="00C8245B"/>
    <w:rsid w:val="00C82555"/>
    <w:rsid w:val="00C825A1"/>
    <w:rsid w:val="00C826B6"/>
    <w:rsid w:val="00C8294D"/>
    <w:rsid w:val="00C82A12"/>
    <w:rsid w:val="00C82AFE"/>
    <w:rsid w:val="00C82B3E"/>
    <w:rsid w:val="00C82CC6"/>
    <w:rsid w:val="00C82F0B"/>
    <w:rsid w:val="00C8327C"/>
    <w:rsid w:val="00C834D4"/>
    <w:rsid w:val="00C834FD"/>
    <w:rsid w:val="00C835DB"/>
    <w:rsid w:val="00C837A5"/>
    <w:rsid w:val="00C839A3"/>
    <w:rsid w:val="00C83A0D"/>
    <w:rsid w:val="00C83A0F"/>
    <w:rsid w:val="00C83A4C"/>
    <w:rsid w:val="00C83A7F"/>
    <w:rsid w:val="00C83C48"/>
    <w:rsid w:val="00C83CF9"/>
    <w:rsid w:val="00C83D5F"/>
    <w:rsid w:val="00C83D6B"/>
    <w:rsid w:val="00C83DD7"/>
    <w:rsid w:val="00C83E1C"/>
    <w:rsid w:val="00C83EC6"/>
    <w:rsid w:val="00C8409B"/>
    <w:rsid w:val="00C840BD"/>
    <w:rsid w:val="00C8414F"/>
    <w:rsid w:val="00C8415F"/>
    <w:rsid w:val="00C84215"/>
    <w:rsid w:val="00C84462"/>
    <w:rsid w:val="00C8483A"/>
    <w:rsid w:val="00C84906"/>
    <w:rsid w:val="00C84953"/>
    <w:rsid w:val="00C84962"/>
    <w:rsid w:val="00C849F9"/>
    <w:rsid w:val="00C84AF1"/>
    <w:rsid w:val="00C84DDC"/>
    <w:rsid w:val="00C84EC9"/>
    <w:rsid w:val="00C852DA"/>
    <w:rsid w:val="00C85579"/>
    <w:rsid w:val="00C85615"/>
    <w:rsid w:val="00C8593B"/>
    <w:rsid w:val="00C859BD"/>
    <w:rsid w:val="00C85C0D"/>
    <w:rsid w:val="00C85EAA"/>
    <w:rsid w:val="00C861AF"/>
    <w:rsid w:val="00C86259"/>
    <w:rsid w:val="00C8686B"/>
    <w:rsid w:val="00C868EF"/>
    <w:rsid w:val="00C86963"/>
    <w:rsid w:val="00C86A4F"/>
    <w:rsid w:val="00C86BEB"/>
    <w:rsid w:val="00C86CE0"/>
    <w:rsid w:val="00C86D76"/>
    <w:rsid w:val="00C86F55"/>
    <w:rsid w:val="00C87045"/>
    <w:rsid w:val="00C877D8"/>
    <w:rsid w:val="00C87893"/>
    <w:rsid w:val="00C87A13"/>
    <w:rsid w:val="00C87AC7"/>
    <w:rsid w:val="00C87CDF"/>
    <w:rsid w:val="00C9001B"/>
    <w:rsid w:val="00C901A9"/>
    <w:rsid w:val="00C9073B"/>
    <w:rsid w:val="00C90A6C"/>
    <w:rsid w:val="00C90D05"/>
    <w:rsid w:val="00C90D75"/>
    <w:rsid w:val="00C91193"/>
    <w:rsid w:val="00C91C14"/>
    <w:rsid w:val="00C91E83"/>
    <w:rsid w:val="00C91EAB"/>
    <w:rsid w:val="00C922E4"/>
    <w:rsid w:val="00C9234D"/>
    <w:rsid w:val="00C92382"/>
    <w:rsid w:val="00C925C8"/>
    <w:rsid w:val="00C9264C"/>
    <w:rsid w:val="00C926AC"/>
    <w:rsid w:val="00C928A7"/>
    <w:rsid w:val="00C92A12"/>
    <w:rsid w:val="00C92B1F"/>
    <w:rsid w:val="00C92E3F"/>
    <w:rsid w:val="00C930FB"/>
    <w:rsid w:val="00C93553"/>
    <w:rsid w:val="00C93785"/>
    <w:rsid w:val="00C93832"/>
    <w:rsid w:val="00C93E59"/>
    <w:rsid w:val="00C94330"/>
    <w:rsid w:val="00C94734"/>
    <w:rsid w:val="00C947A9"/>
    <w:rsid w:val="00C949B2"/>
    <w:rsid w:val="00C94D09"/>
    <w:rsid w:val="00C94D25"/>
    <w:rsid w:val="00C950FE"/>
    <w:rsid w:val="00C951FD"/>
    <w:rsid w:val="00C95263"/>
    <w:rsid w:val="00C955CB"/>
    <w:rsid w:val="00C9565A"/>
    <w:rsid w:val="00C956BB"/>
    <w:rsid w:val="00C9571A"/>
    <w:rsid w:val="00C9583E"/>
    <w:rsid w:val="00C95A21"/>
    <w:rsid w:val="00C95B40"/>
    <w:rsid w:val="00C95C72"/>
    <w:rsid w:val="00C95CFE"/>
    <w:rsid w:val="00C95DA1"/>
    <w:rsid w:val="00C95E6D"/>
    <w:rsid w:val="00C95F61"/>
    <w:rsid w:val="00C963B7"/>
    <w:rsid w:val="00C96459"/>
    <w:rsid w:val="00C96494"/>
    <w:rsid w:val="00C964FA"/>
    <w:rsid w:val="00C96B37"/>
    <w:rsid w:val="00C96BC1"/>
    <w:rsid w:val="00C96CFC"/>
    <w:rsid w:val="00C9700B"/>
    <w:rsid w:val="00C97250"/>
    <w:rsid w:val="00C977E3"/>
    <w:rsid w:val="00C9783B"/>
    <w:rsid w:val="00C979B2"/>
    <w:rsid w:val="00C97B47"/>
    <w:rsid w:val="00C97C33"/>
    <w:rsid w:val="00C97EA2"/>
    <w:rsid w:val="00C97F47"/>
    <w:rsid w:val="00CA00ED"/>
    <w:rsid w:val="00CA0190"/>
    <w:rsid w:val="00CA0342"/>
    <w:rsid w:val="00CA0348"/>
    <w:rsid w:val="00CA03F2"/>
    <w:rsid w:val="00CA0D2E"/>
    <w:rsid w:val="00CA1173"/>
    <w:rsid w:val="00CA13B5"/>
    <w:rsid w:val="00CA1400"/>
    <w:rsid w:val="00CA1524"/>
    <w:rsid w:val="00CA15FA"/>
    <w:rsid w:val="00CA1C39"/>
    <w:rsid w:val="00CA1F11"/>
    <w:rsid w:val="00CA205C"/>
    <w:rsid w:val="00CA21BF"/>
    <w:rsid w:val="00CA2245"/>
    <w:rsid w:val="00CA238F"/>
    <w:rsid w:val="00CA2422"/>
    <w:rsid w:val="00CA2464"/>
    <w:rsid w:val="00CA27AD"/>
    <w:rsid w:val="00CA27D3"/>
    <w:rsid w:val="00CA290C"/>
    <w:rsid w:val="00CA30A6"/>
    <w:rsid w:val="00CA32B1"/>
    <w:rsid w:val="00CA33B5"/>
    <w:rsid w:val="00CA3BF3"/>
    <w:rsid w:val="00CA3CB9"/>
    <w:rsid w:val="00CA402C"/>
    <w:rsid w:val="00CA4400"/>
    <w:rsid w:val="00CA4579"/>
    <w:rsid w:val="00CA4E90"/>
    <w:rsid w:val="00CA56A1"/>
    <w:rsid w:val="00CA5724"/>
    <w:rsid w:val="00CA5A01"/>
    <w:rsid w:val="00CA5ACC"/>
    <w:rsid w:val="00CA5CC4"/>
    <w:rsid w:val="00CA5D28"/>
    <w:rsid w:val="00CA5ED9"/>
    <w:rsid w:val="00CA6050"/>
    <w:rsid w:val="00CA61BF"/>
    <w:rsid w:val="00CA6528"/>
    <w:rsid w:val="00CA6876"/>
    <w:rsid w:val="00CA68D3"/>
    <w:rsid w:val="00CA6CDD"/>
    <w:rsid w:val="00CA6D0F"/>
    <w:rsid w:val="00CA6E90"/>
    <w:rsid w:val="00CA6F3F"/>
    <w:rsid w:val="00CA7165"/>
    <w:rsid w:val="00CB017F"/>
    <w:rsid w:val="00CB02AA"/>
    <w:rsid w:val="00CB04A6"/>
    <w:rsid w:val="00CB05DA"/>
    <w:rsid w:val="00CB07C5"/>
    <w:rsid w:val="00CB07FB"/>
    <w:rsid w:val="00CB09EC"/>
    <w:rsid w:val="00CB1145"/>
    <w:rsid w:val="00CB139E"/>
    <w:rsid w:val="00CB1408"/>
    <w:rsid w:val="00CB150D"/>
    <w:rsid w:val="00CB174F"/>
    <w:rsid w:val="00CB1B8F"/>
    <w:rsid w:val="00CB1BF8"/>
    <w:rsid w:val="00CB1C8F"/>
    <w:rsid w:val="00CB1D6B"/>
    <w:rsid w:val="00CB1F6B"/>
    <w:rsid w:val="00CB1F9E"/>
    <w:rsid w:val="00CB2146"/>
    <w:rsid w:val="00CB233C"/>
    <w:rsid w:val="00CB233F"/>
    <w:rsid w:val="00CB2390"/>
    <w:rsid w:val="00CB23EF"/>
    <w:rsid w:val="00CB2591"/>
    <w:rsid w:val="00CB289A"/>
    <w:rsid w:val="00CB2911"/>
    <w:rsid w:val="00CB29A5"/>
    <w:rsid w:val="00CB2AB2"/>
    <w:rsid w:val="00CB2B83"/>
    <w:rsid w:val="00CB2E67"/>
    <w:rsid w:val="00CB2E72"/>
    <w:rsid w:val="00CB2FD4"/>
    <w:rsid w:val="00CB309A"/>
    <w:rsid w:val="00CB30AA"/>
    <w:rsid w:val="00CB371A"/>
    <w:rsid w:val="00CB3731"/>
    <w:rsid w:val="00CB37F5"/>
    <w:rsid w:val="00CB3832"/>
    <w:rsid w:val="00CB3B05"/>
    <w:rsid w:val="00CB3B37"/>
    <w:rsid w:val="00CB3C2B"/>
    <w:rsid w:val="00CB3E95"/>
    <w:rsid w:val="00CB3F00"/>
    <w:rsid w:val="00CB3FB9"/>
    <w:rsid w:val="00CB41E2"/>
    <w:rsid w:val="00CB4250"/>
    <w:rsid w:val="00CB45F3"/>
    <w:rsid w:val="00CB4BFB"/>
    <w:rsid w:val="00CB52FB"/>
    <w:rsid w:val="00CB5338"/>
    <w:rsid w:val="00CB539C"/>
    <w:rsid w:val="00CB53E2"/>
    <w:rsid w:val="00CB540F"/>
    <w:rsid w:val="00CB5435"/>
    <w:rsid w:val="00CB5541"/>
    <w:rsid w:val="00CB5AF1"/>
    <w:rsid w:val="00CB5C36"/>
    <w:rsid w:val="00CB5C47"/>
    <w:rsid w:val="00CB5C53"/>
    <w:rsid w:val="00CB60F1"/>
    <w:rsid w:val="00CB61EF"/>
    <w:rsid w:val="00CB652C"/>
    <w:rsid w:val="00CB6538"/>
    <w:rsid w:val="00CB6585"/>
    <w:rsid w:val="00CB65EE"/>
    <w:rsid w:val="00CB6841"/>
    <w:rsid w:val="00CB69DE"/>
    <w:rsid w:val="00CB6B3A"/>
    <w:rsid w:val="00CB6F1C"/>
    <w:rsid w:val="00CB6FDC"/>
    <w:rsid w:val="00CB6FEC"/>
    <w:rsid w:val="00CB737E"/>
    <w:rsid w:val="00CB740A"/>
    <w:rsid w:val="00CB7684"/>
    <w:rsid w:val="00CB7751"/>
    <w:rsid w:val="00CB77BE"/>
    <w:rsid w:val="00CB77DA"/>
    <w:rsid w:val="00CB7B5C"/>
    <w:rsid w:val="00CB7BDA"/>
    <w:rsid w:val="00CB7C84"/>
    <w:rsid w:val="00CB7CD0"/>
    <w:rsid w:val="00CB7F00"/>
    <w:rsid w:val="00CB7FB9"/>
    <w:rsid w:val="00CC00E4"/>
    <w:rsid w:val="00CC02AD"/>
    <w:rsid w:val="00CC03DA"/>
    <w:rsid w:val="00CC07FC"/>
    <w:rsid w:val="00CC085E"/>
    <w:rsid w:val="00CC09D8"/>
    <w:rsid w:val="00CC0A34"/>
    <w:rsid w:val="00CC10AF"/>
    <w:rsid w:val="00CC11FC"/>
    <w:rsid w:val="00CC1288"/>
    <w:rsid w:val="00CC156F"/>
    <w:rsid w:val="00CC15C3"/>
    <w:rsid w:val="00CC18B2"/>
    <w:rsid w:val="00CC1A0B"/>
    <w:rsid w:val="00CC1DF1"/>
    <w:rsid w:val="00CC243B"/>
    <w:rsid w:val="00CC24B0"/>
    <w:rsid w:val="00CC24FF"/>
    <w:rsid w:val="00CC253C"/>
    <w:rsid w:val="00CC274D"/>
    <w:rsid w:val="00CC2800"/>
    <w:rsid w:val="00CC2A34"/>
    <w:rsid w:val="00CC2B9D"/>
    <w:rsid w:val="00CC2BD3"/>
    <w:rsid w:val="00CC2CB0"/>
    <w:rsid w:val="00CC2E03"/>
    <w:rsid w:val="00CC335C"/>
    <w:rsid w:val="00CC393B"/>
    <w:rsid w:val="00CC3AE0"/>
    <w:rsid w:val="00CC3B0A"/>
    <w:rsid w:val="00CC3C4A"/>
    <w:rsid w:val="00CC3EFF"/>
    <w:rsid w:val="00CC4079"/>
    <w:rsid w:val="00CC4099"/>
    <w:rsid w:val="00CC4366"/>
    <w:rsid w:val="00CC445A"/>
    <w:rsid w:val="00CC4562"/>
    <w:rsid w:val="00CC45C2"/>
    <w:rsid w:val="00CC4698"/>
    <w:rsid w:val="00CC4794"/>
    <w:rsid w:val="00CC49AA"/>
    <w:rsid w:val="00CC4A61"/>
    <w:rsid w:val="00CC4B10"/>
    <w:rsid w:val="00CC4B1E"/>
    <w:rsid w:val="00CC4B2B"/>
    <w:rsid w:val="00CC4B6D"/>
    <w:rsid w:val="00CC4E3A"/>
    <w:rsid w:val="00CC4E6A"/>
    <w:rsid w:val="00CC4EE4"/>
    <w:rsid w:val="00CC513E"/>
    <w:rsid w:val="00CC518E"/>
    <w:rsid w:val="00CC5638"/>
    <w:rsid w:val="00CC5A50"/>
    <w:rsid w:val="00CC5B68"/>
    <w:rsid w:val="00CC5CC4"/>
    <w:rsid w:val="00CC5D36"/>
    <w:rsid w:val="00CC5F9B"/>
    <w:rsid w:val="00CC5FD9"/>
    <w:rsid w:val="00CC6A16"/>
    <w:rsid w:val="00CC715D"/>
    <w:rsid w:val="00CC7379"/>
    <w:rsid w:val="00CC7525"/>
    <w:rsid w:val="00CC765D"/>
    <w:rsid w:val="00CC777B"/>
    <w:rsid w:val="00CC7B56"/>
    <w:rsid w:val="00CC7CEC"/>
    <w:rsid w:val="00CD00CC"/>
    <w:rsid w:val="00CD00D6"/>
    <w:rsid w:val="00CD024C"/>
    <w:rsid w:val="00CD04AF"/>
    <w:rsid w:val="00CD04EA"/>
    <w:rsid w:val="00CD051D"/>
    <w:rsid w:val="00CD0615"/>
    <w:rsid w:val="00CD0D21"/>
    <w:rsid w:val="00CD0ECC"/>
    <w:rsid w:val="00CD0FF9"/>
    <w:rsid w:val="00CD1053"/>
    <w:rsid w:val="00CD10BB"/>
    <w:rsid w:val="00CD10FA"/>
    <w:rsid w:val="00CD13F5"/>
    <w:rsid w:val="00CD172B"/>
    <w:rsid w:val="00CD1889"/>
    <w:rsid w:val="00CD18B8"/>
    <w:rsid w:val="00CD1A47"/>
    <w:rsid w:val="00CD1F08"/>
    <w:rsid w:val="00CD23AF"/>
    <w:rsid w:val="00CD23FC"/>
    <w:rsid w:val="00CD24B1"/>
    <w:rsid w:val="00CD25AD"/>
    <w:rsid w:val="00CD262E"/>
    <w:rsid w:val="00CD26E2"/>
    <w:rsid w:val="00CD2788"/>
    <w:rsid w:val="00CD2799"/>
    <w:rsid w:val="00CD2AF7"/>
    <w:rsid w:val="00CD2E68"/>
    <w:rsid w:val="00CD2EEB"/>
    <w:rsid w:val="00CD2F1D"/>
    <w:rsid w:val="00CD31B2"/>
    <w:rsid w:val="00CD3963"/>
    <w:rsid w:val="00CD4086"/>
    <w:rsid w:val="00CD4112"/>
    <w:rsid w:val="00CD4327"/>
    <w:rsid w:val="00CD436B"/>
    <w:rsid w:val="00CD4373"/>
    <w:rsid w:val="00CD4443"/>
    <w:rsid w:val="00CD4469"/>
    <w:rsid w:val="00CD45BC"/>
    <w:rsid w:val="00CD482D"/>
    <w:rsid w:val="00CD4DEB"/>
    <w:rsid w:val="00CD4FBB"/>
    <w:rsid w:val="00CD5239"/>
    <w:rsid w:val="00CD54A8"/>
    <w:rsid w:val="00CD55F8"/>
    <w:rsid w:val="00CD5817"/>
    <w:rsid w:val="00CD5821"/>
    <w:rsid w:val="00CD5BA9"/>
    <w:rsid w:val="00CD5E49"/>
    <w:rsid w:val="00CD5FFD"/>
    <w:rsid w:val="00CD610C"/>
    <w:rsid w:val="00CD6620"/>
    <w:rsid w:val="00CD66B4"/>
    <w:rsid w:val="00CD6784"/>
    <w:rsid w:val="00CD67BB"/>
    <w:rsid w:val="00CD6D0F"/>
    <w:rsid w:val="00CD6D3C"/>
    <w:rsid w:val="00CD6E42"/>
    <w:rsid w:val="00CD6E53"/>
    <w:rsid w:val="00CD7003"/>
    <w:rsid w:val="00CD7033"/>
    <w:rsid w:val="00CD717B"/>
    <w:rsid w:val="00CD7529"/>
    <w:rsid w:val="00CD75B9"/>
    <w:rsid w:val="00CD770D"/>
    <w:rsid w:val="00CD7914"/>
    <w:rsid w:val="00CD79A1"/>
    <w:rsid w:val="00CD7A64"/>
    <w:rsid w:val="00CD7ABC"/>
    <w:rsid w:val="00CD7CFC"/>
    <w:rsid w:val="00CD7DA2"/>
    <w:rsid w:val="00CD7EBF"/>
    <w:rsid w:val="00CE0159"/>
    <w:rsid w:val="00CE0180"/>
    <w:rsid w:val="00CE0386"/>
    <w:rsid w:val="00CE0438"/>
    <w:rsid w:val="00CE0483"/>
    <w:rsid w:val="00CE0628"/>
    <w:rsid w:val="00CE085C"/>
    <w:rsid w:val="00CE0875"/>
    <w:rsid w:val="00CE089F"/>
    <w:rsid w:val="00CE0A06"/>
    <w:rsid w:val="00CE0EF5"/>
    <w:rsid w:val="00CE108C"/>
    <w:rsid w:val="00CE1135"/>
    <w:rsid w:val="00CE1441"/>
    <w:rsid w:val="00CE148F"/>
    <w:rsid w:val="00CE15FF"/>
    <w:rsid w:val="00CE18AF"/>
    <w:rsid w:val="00CE2150"/>
    <w:rsid w:val="00CE22F9"/>
    <w:rsid w:val="00CE230E"/>
    <w:rsid w:val="00CE2407"/>
    <w:rsid w:val="00CE279B"/>
    <w:rsid w:val="00CE2A10"/>
    <w:rsid w:val="00CE2AD8"/>
    <w:rsid w:val="00CE2E82"/>
    <w:rsid w:val="00CE2F1D"/>
    <w:rsid w:val="00CE3077"/>
    <w:rsid w:val="00CE31D5"/>
    <w:rsid w:val="00CE32DE"/>
    <w:rsid w:val="00CE367E"/>
    <w:rsid w:val="00CE36D8"/>
    <w:rsid w:val="00CE37EB"/>
    <w:rsid w:val="00CE3892"/>
    <w:rsid w:val="00CE3C3A"/>
    <w:rsid w:val="00CE4064"/>
    <w:rsid w:val="00CE485C"/>
    <w:rsid w:val="00CE494F"/>
    <w:rsid w:val="00CE4970"/>
    <w:rsid w:val="00CE4FE4"/>
    <w:rsid w:val="00CE503D"/>
    <w:rsid w:val="00CE5060"/>
    <w:rsid w:val="00CE5064"/>
    <w:rsid w:val="00CE5407"/>
    <w:rsid w:val="00CE5510"/>
    <w:rsid w:val="00CE556B"/>
    <w:rsid w:val="00CE5817"/>
    <w:rsid w:val="00CE5A09"/>
    <w:rsid w:val="00CE5B33"/>
    <w:rsid w:val="00CE5CE4"/>
    <w:rsid w:val="00CE5FDB"/>
    <w:rsid w:val="00CE6080"/>
    <w:rsid w:val="00CE6171"/>
    <w:rsid w:val="00CE625F"/>
    <w:rsid w:val="00CE6792"/>
    <w:rsid w:val="00CE688F"/>
    <w:rsid w:val="00CE68D3"/>
    <w:rsid w:val="00CE6A6B"/>
    <w:rsid w:val="00CE6C44"/>
    <w:rsid w:val="00CE708C"/>
    <w:rsid w:val="00CE71CD"/>
    <w:rsid w:val="00CE7422"/>
    <w:rsid w:val="00CE7472"/>
    <w:rsid w:val="00CE753C"/>
    <w:rsid w:val="00CE77D2"/>
    <w:rsid w:val="00CE79DD"/>
    <w:rsid w:val="00CE7DE8"/>
    <w:rsid w:val="00CE7ED7"/>
    <w:rsid w:val="00CE7F2D"/>
    <w:rsid w:val="00CF0125"/>
    <w:rsid w:val="00CF0276"/>
    <w:rsid w:val="00CF02CF"/>
    <w:rsid w:val="00CF02E0"/>
    <w:rsid w:val="00CF0328"/>
    <w:rsid w:val="00CF03DC"/>
    <w:rsid w:val="00CF05F9"/>
    <w:rsid w:val="00CF0645"/>
    <w:rsid w:val="00CF0664"/>
    <w:rsid w:val="00CF0B9A"/>
    <w:rsid w:val="00CF1269"/>
    <w:rsid w:val="00CF12BF"/>
    <w:rsid w:val="00CF136F"/>
    <w:rsid w:val="00CF1686"/>
    <w:rsid w:val="00CF16C6"/>
    <w:rsid w:val="00CF1871"/>
    <w:rsid w:val="00CF193E"/>
    <w:rsid w:val="00CF19CB"/>
    <w:rsid w:val="00CF1A05"/>
    <w:rsid w:val="00CF1A06"/>
    <w:rsid w:val="00CF1A94"/>
    <w:rsid w:val="00CF1AF3"/>
    <w:rsid w:val="00CF1B25"/>
    <w:rsid w:val="00CF1D4C"/>
    <w:rsid w:val="00CF1E66"/>
    <w:rsid w:val="00CF1FB7"/>
    <w:rsid w:val="00CF1FCD"/>
    <w:rsid w:val="00CF258A"/>
    <w:rsid w:val="00CF29C5"/>
    <w:rsid w:val="00CF2B43"/>
    <w:rsid w:val="00CF2BDA"/>
    <w:rsid w:val="00CF2D3E"/>
    <w:rsid w:val="00CF2DF0"/>
    <w:rsid w:val="00CF2E4D"/>
    <w:rsid w:val="00CF30F2"/>
    <w:rsid w:val="00CF3145"/>
    <w:rsid w:val="00CF3676"/>
    <w:rsid w:val="00CF38DD"/>
    <w:rsid w:val="00CF3A43"/>
    <w:rsid w:val="00CF40AC"/>
    <w:rsid w:val="00CF4133"/>
    <w:rsid w:val="00CF42CC"/>
    <w:rsid w:val="00CF477F"/>
    <w:rsid w:val="00CF4BA4"/>
    <w:rsid w:val="00CF4C84"/>
    <w:rsid w:val="00CF4D36"/>
    <w:rsid w:val="00CF4D7F"/>
    <w:rsid w:val="00CF50B0"/>
    <w:rsid w:val="00CF522B"/>
    <w:rsid w:val="00CF5236"/>
    <w:rsid w:val="00CF577E"/>
    <w:rsid w:val="00CF5817"/>
    <w:rsid w:val="00CF59E9"/>
    <w:rsid w:val="00CF61EF"/>
    <w:rsid w:val="00CF6207"/>
    <w:rsid w:val="00CF6244"/>
    <w:rsid w:val="00CF6287"/>
    <w:rsid w:val="00CF6A3E"/>
    <w:rsid w:val="00CF6C70"/>
    <w:rsid w:val="00CF6F2A"/>
    <w:rsid w:val="00CF7024"/>
    <w:rsid w:val="00CF7839"/>
    <w:rsid w:val="00CF793C"/>
    <w:rsid w:val="00CF79BF"/>
    <w:rsid w:val="00CF7DFF"/>
    <w:rsid w:val="00CF7E7C"/>
    <w:rsid w:val="00D00469"/>
    <w:rsid w:val="00D00AA0"/>
    <w:rsid w:val="00D00B1E"/>
    <w:rsid w:val="00D00B3A"/>
    <w:rsid w:val="00D00D56"/>
    <w:rsid w:val="00D00E5E"/>
    <w:rsid w:val="00D011E3"/>
    <w:rsid w:val="00D0143C"/>
    <w:rsid w:val="00D01582"/>
    <w:rsid w:val="00D01595"/>
    <w:rsid w:val="00D0187D"/>
    <w:rsid w:val="00D01885"/>
    <w:rsid w:val="00D0188E"/>
    <w:rsid w:val="00D0191D"/>
    <w:rsid w:val="00D01B31"/>
    <w:rsid w:val="00D01BB4"/>
    <w:rsid w:val="00D02127"/>
    <w:rsid w:val="00D025CC"/>
    <w:rsid w:val="00D02994"/>
    <w:rsid w:val="00D02D68"/>
    <w:rsid w:val="00D02D74"/>
    <w:rsid w:val="00D03231"/>
    <w:rsid w:val="00D03382"/>
    <w:rsid w:val="00D033E1"/>
    <w:rsid w:val="00D036EB"/>
    <w:rsid w:val="00D0375D"/>
    <w:rsid w:val="00D0395A"/>
    <w:rsid w:val="00D03976"/>
    <w:rsid w:val="00D03C65"/>
    <w:rsid w:val="00D03EFD"/>
    <w:rsid w:val="00D041AF"/>
    <w:rsid w:val="00D041C0"/>
    <w:rsid w:val="00D04326"/>
    <w:rsid w:val="00D04359"/>
    <w:rsid w:val="00D047B5"/>
    <w:rsid w:val="00D048C2"/>
    <w:rsid w:val="00D04C21"/>
    <w:rsid w:val="00D04CB8"/>
    <w:rsid w:val="00D04D88"/>
    <w:rsid w:val="00D04F2F"/>
    <w:rsid w:val="00D0547F"/>
    <w:rsid w:val="00D0564D"/>
    <w:rsid w:val="00D05C66"/>
    <w:rsid w:val="00D05C6E"/>
    <w:rsid w:val="00D05CAF"/>
    <w:rsid w:val="00D05FAD"/>
    <w:rsid w:val="00D061B8"/>
    <w:rsid w:val="00D0625B"/>
    <w:rsid w:val="00D064B3"/>
    <w:rsid w:val="00D06C24"/>
    <w:rsid w:val="00D071CA"/>
    <w:rsid w:val="00D07274"/>
    <w:rsid w:val="00D07295"/>
    <w:rsid w:val="00D07599"/>
    <w:rsid w:val="00D077DC"/>
    <w:rsid w:val="00D07A95"/>
    <w:rsid w:val="00D07AEF"/>
    <w:rsid w:val="00D07FC0"/>
    <w:rsid w:val="00D10053"/>
    <w:rsid w:val="00D100BC"/>
    <w:rsid w:val="00D101D6"/>
    <w:rsid w:val="00D102C4"/>
    <w:rsid w:val="00D10318"/>
    <w:rsid w:val="00D105E3"/>
    <w:rsid w:val="00D1065B"/>
    <w:rsid w:val="00D107C9"/>
    <w:rsid w:val="00D10911"/>
    <w:rsid w:val="00D10A5B"/>
    <w:rsid w:val="00D10B94"/>
    <w:rsid w:val="00D10BC6"/>
    <w:rsid w:val="00D10ED6"/>
    <w:rsid w:val="00D110DB"/>
    <w:rsid w:val="00D111AE"/>
    <w:rsid w:val="00D1149D"/>
    <w:rsid w:val="00D11DBB"/>
    <w:rsid w:val="00D1207B"/>
    <w:rsid w:val="00D12670"/>
    <w:rsid w:val="00D1274E"/>
    <w:rsid w:val="00D1282F"/>
    <w:rsid w:val="00D12EAD"/>
    <w:rsid w:val="00D12F12"/>
    <w:rsid w:val="00D12F96"/>
    <w:rsid w:val="00D12FEB"/>
    <w:rsid w:val="00D132AC"/>
    <w:rsid w:val="00D13566"/>
    <w:rsid w:val="00D136A0"/>
    <w:rsid w:val="00D137DB"/>
    <w:rsid w:val="00D137EF"/>
    <w:rsid w:val="00D13801"/>
    <w:rsid w:val="00D13B61"/>
    <w:rsid w:val="00D142DB"/>
    <w:rsid w:val="00D1466A"/>
    <w:rsid w:val="00D14727"/>
    <w:rsid w:val="00D14891"/>
    <w:rsid w:val="00D148F3"/>
    <w:rsid w:val="00D14B60"/>
    <w:rsid w:val="00D14F3A"/>
    <w:rsid w:val="00D150C7"/>
    <w:rsid w:val="00D15818"/>
    <w:rsid w:val="00D1588D"/>
    <w:rsid w:val="00D15DB6"/>
    <w:rsid w:val="00D15F85"/>
    <w:rsid w:val="00D160FA"/>
    <w:rsid w:val="00D162DD"/>
    <w:rsid w:val="00D16318"/>
    <w:rsid w:val="00D165F1"/>
    <w:rsid w:val="00D1669D"/>
    <w:rsid w:val="00D16748"/>
    <w:rsid w:val="00D169F3"/>
    <w:rsid w:val="00D16B58"/>
    <w:rsid w:val="00D16EF8"/>
    <w:rsid w:val="00D16FA8"/>
    <w:rsid w:val="00D1700E"/>
    <w:rsid w:val="00D17124"/>
    <w:rsid w:val="00D17139"/>
    <w:rsid w:val="00D17359"/>
    <w:rsid w:val="00D174D3"/>
    <w:rsid w:val="00D178C9"/>
    <w:rsid w:val="00D17B27"/>
    <w:rsid w:val="00D17BF0"/>
    <w:rsid w:val="00D20120"/>
    <w:rsid w:val="00D203D4"/>
    <w:rsid w:val="00D20471"/>
    <w:rsid w:val="00D204F1"/>
    <w:rsid w:val="00D2055A"/>
    <w:rsid w:val="00D207F5"/>
    <w:rsid w:val="00D20CA5"/>
    <w:rsid w:val="00D20F7F"/>
    <w:rsid w:val="00D21097"/>
    <w:rsid w:val="00D21BF8"/>
    <w:rsid w:val="00D21F5C"/>
    <w:rsid w:val="00D2216F"/>
    <w:rsid w:val="00D221B8"/>
    <w:rsid w:val="00D2244A"/>
    <w:rsid w:val="00D22812"/>
    <w:rsid w:val="00D2283F"/>
    <w:rsid w:val="00D228F5"/>
    <w:rsid w:val="00D2324B"/>
    <w:rsid w:val="00D233EB"/>
    <w:rsid w:val="00D234D1"/>
    <w:rsid w:val="00D23602"/>
    <w:rsid w:val="00D236D1"/>
    <w:rsid w:val="00D2370F"/>
    <w:rsid w:val="00D2375E"/>
    <w:rsid w:val="00D2380F"/>
    <w:rsid w:val="00D23849"/>
    <w:rsid w:val="00D23C7D"/>
    <w:rsid w:val="00D23D04"/>
    <w:rsid w:val="00D23D30"/>
    <w:rsid w:val="00D23DF3"/>
    <w:rsid w:val="00D23EF5"/>
    <w:rsid w:val="00D2410C"/>
    <w:rsid w:val="00D24410"/>
    <w:rsid w:val="00D244B8"/>
    <w:rsid w:val="00D24982"/>
    <w:rsid w:val="00D250A5"/>
    <w:rsid w:val="00D254B1"/>
    <w:rsid w:val="00D256A2"/>
    <w:rsid w:val="00D25A59"/>
    <w:rsid w:val="00D25CC0"/>
    <w:rsid w:val="00D25D65"/>
    <w:rsid w:val="00D25F64"/>
    <w:rsid w:val="00D25FEC"/>
    <w:rsid w:val="00D26247"/>
    <w:rsid w:val="00D26288"/>
    <w:rsid w:val="00D26403"/>
    <w:rsid w:val="00D2675A"/>
    <w:rsid w:val="00D26B26"/>
    <w:rsid w:val="00D26B9D"/>
    <w:rsid w:val="00D270AF"/>
    <w:rsid w:val="00D27248"/>
    <w:rsid w:val="00D2729A"/>
    <w:rsid w:val="00D273DE"/>
    <w:rsid w:val="00D27420"/>
    <w:rsid w:val="00D27729"/>
    <w:rsid w:val="00D279B1"/>
    <w:rsid w:val="00D27C18"/>
    <w:rsid w:val="00D27C8E"/>
    <w:rsid w:val="00D27E59"/>
    <w:rsid w:val="00D301CB"/>
    <w:rsid w:val="00D30402"/>
    <w:rsid w:val="00D30A32"/>
    <w:rsid w:val="00D30B8D"/>
    <w:rsid w:val="00D30DEE"/>
    <w:rsid w:val="00D311E9"/>
    <w:rsid w:val="00D31229"/>
    <w:rsid w:val="00D3162A"/>
    <w:rsid w:val="00D316C8"/>
    <w:rsid w:val="00D31916"/>
    <w:rsid w:val="00D3191B"/>
    <w:rsid w:val="00D31992"/>
    <w:rsid w:val="00D31B71"/>
    <w:rsid w:val="00D31CD2"/>
    <w:rsid w:val="00D32164"/>
    <w:rsid w:val="00D32383"/>
    <w:rsid w:val="00D32409"/>
    <w:rsid w:val="00D32652"/>
    <w:rsid w:val="00D32CFA"/>
    <w:rsid w:val="00D32EC2"/>
    <w:rsid w:val="00D337B7"/>
    <w:rsid w:val="00D339C0"/>
    <w:rsid w:val="00D33E01"/>
    <w:rsid w:val="00D33EAD"/>
    <w:rsid w:val="00D34000"/>
    <w:rsid w:val="00D34275"/>
    <w:rsid w:val="00D3436D"/>
    <w:rsid w:val="00D34466"/>
    <w:rsid w:val="00D3451F"/>
    <w:rsid w:val="00D34600"/>
    <w:rsid w:val="00D3477E"/>
    <w:rsid w:val="00D349DD"/>
    <w:rsid w:val="00D34B73"/>
    <w:rsid w:val="00D34BD5"/>
    <w:rsid w:val="00D34F58"/>
    <w:rsid w:val="00D3500A"/>
    <w:rsid w:val="00D35123"/>
    <w:rsid w:val="00D35303"/>
    <w:rsid w:val="00D35A79"/>
    <w:rsid w:val="00D35ABF"/>
    <w:rsid w:val="00D35D50"/>
    <w:rsid w:val="00D35DD6"/>
    <w:rsid w:val="00D35F45"/>
    <w:rsid w:val="00D3606B"/>
    <w:rsid w:val="00D363ED"/>
    <w:rsid w:val="00D365F8"/>
    <w:rsid w:val="00D366F5"/>
    <w:rsid w:val="00D368F8"/>
    <w:rsid w:val="00D36A4A"/>
    <w:rsid w:val="00D36CF7"/>
    <w:rsid w:val="00D36DD3"/>
    <w:rsid w:val="00D36EDC"/>
    <w:rsid w:val="00D3737E"/>
    <w:rsid w:val="00D376D9"/>
    <w:rsid w:val="00D37851"/>
    <w:rsid w:val="00D37C64"/>
    <w:rsid w:val="00D37CBA"/>
    <w:rsid w:val="00D37E9D"/>
    <w:rsid w:val="00D40827"/>
    <w:rsid w:val="00D408FA"/>
    <w:rsid w:val="00D40D3E"/>
    <w:rsid w:val="00D40F1C"/>
    <w:rsid w:val="00D4121B"/>
    <w:rsid w:val="00D4137D"/>
    <w:rsid w:val="00D41531"/>
    <w:rsid w:val="00D41B23"/>
    <w:rsid w:val="00D41C1F"/>
    <w:rsid w:val="00D41D63"/>
    <w:rsid w:val="00D41E9A"/>
    <w:rsid w:val="00D41F2F"/>
    <w:rsid w:val="00D4213B"/>
    <w:rsid w:val="00D423E7"/>
    <w:rsid w:val="00D42477"/>
    <w:rsid w:val="00D4266A"/>
    <w:rsid w:val="00D4292C"/>
    <w:rsid w:val="00D42968"/>
    <w:rsid w:val="00D429CF"/>
    <w:rsid w:val="00D42AAD"/>
    <w:rsid w:val="00D42CD1"/>
    <w:rsid w:val="00D42CD4"/>
    <w:rsid w:val="00D42D96"/>
    <w:rsid w:val="00D42E8C"/>
    <w:rsid w:val="00D42F6E"/>
    <w:rsid w:val="00D4317E"/>
    <w:rsid w:val="00D43474"/>
    <w:rsid w:val="00D43A52"/>
    <w:rsid w:val="00D43E2A"/>
    <w:rsid w:val="00D4408D"/>
    <w:rsid w:val="00D44506"/>
    <w:rsid w:val="00D44877"/>
    <w:rsid w:val="00D44E0B"/>
    <w:rsid w:val="00D44F94"/>
    <w:rsid w:val="00D4508B"/>
    <w:rsid w:val="00D45236"/>
    <w:rsid w:val="00D4534F"/>
    <w:rsid w:val="00D455A9"/>
    <w:rsid w:val="00D456BA"/>
    <w:rsid w:val="00D45752"/>
    <w:rsid w:val="00D4579D"/>
    <w:rsid w:val="00D45910"/>
    <w:rsid w:val="00D45BB0"/>
    <w:rsid w:val="00D45E31"/>
    <w:rsid w:val="00D45FAF"/>
    <w:rsid w:val="00D46321"/>
    <w:rsid w:val="00D46561"/>
    <w:rsid w:val="00D465CD"/>
    <w:rsid w:val="00D466FD"/>
    <w:rsid w:val="00D46A33"/>
    <w:rsid w:val="00D46B96"/>
    <w:rsid w:val="00D46F6B"/>
    <w:rsid w:val="00D4737F"/>
    <w:rsid w:val="00D474A8"/>
    <w:rsid w:val="00D4782D"/>
    <w:rsid w:val="00D4791F"/>
    <w:rsid w:val="00D47B25"/>
    <w:rsid w:val="00D47B8D"/>
    <w:rsid w:val="00D47E12"/>
    <w:rsid w:val="00D47E59"/>
    <w:rsid w:val="00D47ECA"/>
    <w:rsid w:val="00D47EE7"/>
    <w:rsid w:val="00D5001A"/>
    <w:rsid w:val="00D500A7"/>
    <w:rsid w:val="00D501B1"/>
    <w:rsid w:val="00D50251"/>
    <w:rsid w:val="00D5073E"/>
    <w:rsid w:val="00D50765"/>
    <w:rsid w:val="00D508B5"/>
    <w:rsid w:val="00D50BFF"/>
    <w:rsid w:val="00D5113F"/>
    <w:rsid w:val="00D51365"/>
    <w:rsid w:val="00D514E2"/>
    <w:rsid w:val="00D5155E"/>
    <w:rsid w:val="00D51886"/>
    <w:rsid w:val="00D51888"/>
    <w:rsid w:val="00D5196D"/>
    <w:rsid w:val="00D51DF2"/>
    <w:rsid w:val="00D51FC5"/>
    <w:rsid w:val="00D5211F"/>
    <w:rsid w:val="00D52596"/>
    <w:rsid w:val="00D52CC6"/>
    <w:rsid w:val="00D52E01"/>
    <w:rsid w:val="00D52FD6"/>
    <w:rsid w:val="00D536BC"/>
    <w:rsid w:val="00D53905"/>
    <w:rsid w:val="00D53D41"/>
    <w:rsid w:val="00D54011"/>
    <w:rsid w:val="00D5424D"/>
    <w:rsid w:val="00D542D1"/>
    <w:rsid w:val="00D546E2"/>
    <w:rsid w:val="00D54BA8"/>
    <w:rsid w:val="00D550B8"/>
    <w:rsid w:val="00D55233"/>
    <w:rsid w:val="00D552B2"/>
    <w:rsid w:val="00D5561F"/>
    <w:rsid w:val="00D55861"/>
    <w:rsid w:val="00D55943"/>
    <w:rsid w:val="00D55AB6"/>
    <w:rsid w:val="00D55B0C"/>
    <w:rsid w:val="00D55FDC"/>
    <w:rsid w:val="00D560DF"/>
    <w:rsid w:val="00D56130"/>
    <w:rsid w:val="00D563D0"/>
    <w:rsid w:val="00D565D6"/>
    <w:rsid w:val="00D5682B"/>
    <w:rsid w:val="00D569A8"/>
    <w:rsid w:val="00D56AA5"/>
    <w:rsid w:val="00D56B1C"/>
    <w:rsid w:val="00D56B43"/>
    <w:rsid w:val="00D56BD5"/>
    <w:rsid w:val="00D56CAE"/>
    <w:rsid w:val="00D56FCD"/>
    <w:rsid w:val="00D5718D"/>
    <w:rsid w:val="00D5730E"/>
    <w:rsid w:val="00D57387"/>
    <w:rsid w:val="00D573E6"/>
    <w:rsid w:val="00D5759A"/>
    <w:rsid w:val="00D57633"/>
    <w:rsid w:val="00D57661"/>
    <w:rsid w:val="00D6048C"/>
    <w:rsid w:val="00D604ED"/>
    <w:rsid w:val="00D606A8"/>
    <w:rsid w:val="00D60802"/>
    <w:rsid w:val="00D60B9A"/>
    <w:rsid w:val="00D61010"/>
    <w:rsid w:val="00D61195"/>
    <w:rsid w:val="00D611E6"/>
    <w:rsid w:val="00D61247"/>
    <w:rsid w:val="00D61488"/>
    <w:rsid w:val="00D61CA6"/>
    <w:rsid w:val="00D61DA2"/>
    <w:rsid w:val="00D61E31"/>
    <w:rsid w:val="00D61FA5"/>
    <w:rsid w:val="00D620F0"/>
    <w:rsid w:val="00D62295"/>
    <w:rsid w:val="00D623DD"/>
    <w:rsid w:val="00D62986"/>
    <w:rsid w:val="00D62AC1"/>
    <w:rsid w:val="00D62B0A"/>
    <w:rsid w:val="00D62CFB"/>
    <w:rsid w:val="00D62D25"/>
    <w:rsid w:val="00D63511"/>
    <w:rsid w:val="00D6357A"/>
    <w:rsid w:val="00D63774"/>
    <w:rsid w:val="00D63CE8"/>
    <w:rsid w:val="00D63E39"/>
    <w:rsid w:val="00D63FF2"/>
    <w:rsid w:val="00D640A4"/>
    <w:rsid w:val="00D64546"/>
    <w:rsid w:val="00D645E9"/>
    <w:rsid w:val="00D646FA"/>
    <w:rsid w:val="00D647BD"/>
    <w:rsid w:val="00D6485A"/>
    <w:rsid w:val="00D648EC"/>
    <w:rsid w:val="00D64903"/>
    <w:rsid w:val="00D64930"/>
    <w:rsid w:val="00D64A00"/>
    <w:rsid w:val="00D64E11"/>
    <w:rsid w:val="00D64F8D"/>
    <w:rsid w:val="00D64FA4"/>
    <w:rsid w:val="00D651C6"/>
    <w:rsid w:val="00D653CA"/>
    <w:rsid w:val="00D654C6"/>
    <w:rsid w:val="00D65838"/>
    <w:rsid w:val="00D65A2E"/>
    <w:rsid w:val="00D65D38"/>
    <w:rsid w:val="00D65D88"/>
    <w:rsid w:val="00D65E76"/>
    <w:rsid w:val="00D65ED0"/>
    <w:rsid w:val="00D65F6C"/>
    <w:rsid w:val="00D66124"/>
    <w:rsid w:val="00D66508"/>
    <w:rsid w:val="00D6658E"/>
    <w:rsid w:val="00D66611"/>
    <w:rsid w:val="00D6677C"/>
    <w:rsid w:val="00D6678B"/>
    <w:rsid w:val="00D66797"/>
    <w:rsid w:val="00D66919"/>
    <w:rsid w:val="00D66ABD"/>
    <w:rsid w:val="00D66B50"/>
    <w:rsid w:val="00D66BC1"/>
    <w:rsid w:val="00D66CA1"/>
    <w:rsid w:val="00D66DD9"/>
    <w:rsid w:val="00D670C8"/>
    <w:rsid w:val="00D676AF"/>
    <w:rsid w:val="00D677AB"/>
    <w:rsid w:val="00D6791F"/>
    <w:rsid w:val="00D67963"/>
    <w:rsid w:val="00D70204"/>
    <w:rsid w:val="00D704E2"/>
    <w:rsid w:val="00D70C45"/>
    <w:rsid w:val="00D70D9B"/>
    <w:rsid w:val="00D70F2A"/>
    <w:rsid w:val="00D713AB"/>
    <w:rsid w:val="00D714E3"/>
    <w:rsid w:val="00D7157D"/>
    <w:rsid w:val="00D71723"/>
    <w:rsid w:val="00D7180B"/>
    <w:rsid w:val="00D71823"/>
    <w:rsid w:val="00D71997"/>
    <w:rsid w:val="00D72267"/>
    <w:rsid w:val="00D72521"/>
    <w:rsid w:val="00D72AE7"/>
    <w:rsid w:val="00D73375"/>
    <w:rsid w:val="00D73410"/>
    <w:rsid w:val="00D73553"/>
    <w:rsid w:val="00D73641"/>
    <w:rsid w:val="00D736C0"/>
    <w:rsid w:val="00D73702"/>
    <w:rsid w:val="00D73716"/>
    <w:rsid w:val="00D738DD"/>
    <w:rsid w:val="00D73D0B"/>
    <w:rsid w:val="00D73F5B"/>
    <w:rsid w:val="00D73FCC"/>
    <w:rsid w:val="00D740DF"/>
    <w:rsid w:val="00D7426A"/>
    <w:rsid w:val="00D7458D"/>
    <w:rsid w:val="00D74590"/>
    <w:rsid w:val="00D74605"/>
    <w:rsid w:val="00D7474F"/>
    <w:rsid w:val="00D74996"/>
    <w:rsid w:val="00D74D69"/>
    <w:rsid w:val="00D74F0D"/>
    <w:rsid w:val="00D75215"/>
    <w:rsid w:val="00D7547C"/>
    <w:rsid w:val="00D754DC"/>
    <w:rsid w:val="00D75681"/>
    <w:rsid w:val="00D75A1C"/>
    <w:rsid w:val="00D75ABF"/>
    <w:rsid w:val="00D75C41"/>
    <w:rsid w:val="00D75C4C"/>
    <w:rsid w:val="00D75D47"/>
    <w:rsid w:val="00D75DEB"/>
    <w:rsid w:val="00D75E57"/>
    <w:rsid w:val="00D76010"/>
    <w:rsid w:val="00D7622D"/>
    <w:rsid w:val="00D7643C"/>
    <w:rsid w:val="00D764B4"/>
    <w:rsid w:val="00D76A39"/>
    <w:rsid w:val="00D76C69"/>
    <w:rsid w:val="00D76E5D"/>
    <w:rsid w:val="00D76F51"/>
    <w:rsid w:val="00D76FB6"/>
    <w:rsid w:val="00D76FF0"/>
    <w:rsid w:val="00D7708C"/>
    <w:rsid w:val="00D770DB"/>
    <w:rsid w:val="00D7765F"/>
    <w:rsid w:val="00D77F8F"/>
    <w:rsid w:val="00D8009B"/>
    <w:rsid w:val="00D800DE"/>
    <w:rsid w:val="00D80598"/>
    <w:rsid w:val="00D80695"/>
    <w:rsid w:val="00D80A56"/>
    <w:rsid w:val="00D80DF5"/>
    <w:rsid w:val="00D80E49"/>
    <w:rsid w:val="00D80E91"/>
    <w:rsid w:val="00D811B1"/>
    <w:rsid w:val="00D81907"/>
    <w:rsid w:val="00D81A9C"/>
    <w:rsid w:val="00D81ADE"/>
    <w:rsid w:val="00D81E48"/>
    <w:rsid w:val="00D81EE2"/>
    <w:rsid w:val="00D81F13"/>
    <w:rsid w:val="00D81F84"/>
    <w:rsid w:val="00D8210B"/>
    <w:rsid w:val="00D82135"/>
    <w:rsid w:val="00D821DE"/>
    <w:rsid w:val="00D823E8"/>
    <w:rsid w:val="00D82AEC"/>
    <w:rsid w:val="00D82B10"/>
    <w:rsid w:val="00D82BCA"/>
    <w:rsid w:val="00D82F24"/>
    <w:rsid w:val="00D83372"/>
    <w:rsid w:val="00D83399"/>
    <w:rsid w:val="00D837BD"/>
    <w:rsid w:val="00D83920"/>
    <w:rsid w:val="00D83937"/>
    <w:rsid w:val="00D839CA"/>
    <w:rsid w:val="00D83D49"/>
    <w:rsid w:val="00D83E94"/>
    <w:rsid w:val="00D841EA"/>
    <w:rsid w:val="00D84247"/>
    <w:rsid w:val="00D842EF"/>
    <w:rsid w:val="00D843D7"/>
    <w:rsid w:val="00D844F4"/>
    <w:rsid w:val="00D84A8B"/>
    <w:rsid w:val="00D84EFC"/>
    <w:rsid w:val="00D84F01"/>
    <w:rsid w:val="00D8505E"/>
    <w:rsid w:val="00D85163"/>
    <w:rsid w:val="00D8533E"/>
    <w:rsid w:val="00D85347"/>
    <w:rsid w:val="00D85399"/>
    <w:rsid w:val="00D85439"/>
    <w:rsid w:val="00D85466"/>
    <w:rsid w:val="00D85A77"/>
    <w:rsid w:val="00D85C9B"/>
    <w:rsid w:val="00D85E7B"/>
    <w:rsid w:val="00D85F51"/>
    <w:rsid w:val="00D860BF"/>
    <w:rsid w:val="00D87228"/>
    <w:rsid w:val="00D8740C"/>
    <w:rsid w:val="00D8743F"/>
    <w:rsid w:val="00D87573"/>
    <w:rsid w:val="00D87C00"/>
    <w:rsid w:val="00D87DAC"/>
    <w:rsid w:val="00D87E34"/>
    <w:rsid w:val="00D900EC"/>
    <w:rsid w:val="00D9049A"/>
    <w:rsid w:val="00D90849"/>
    <w:rsid w:val="00D9085A"/>
    <w:rsid w:val="00D9089F"/>
    <w:rsid w:val="00D908BD"/>
    <w:rsid w:val="00D90A89"/>
    <w:rsid w:val="00D90C3A"/>
    <w:rsid w:val="00D90D37"/>
    <w:rsid w:val="00D91056"/>
    <w:rsid w:val="00D915C3"/>
    <w:rsid w:val="00D91ADB"/>
    <w:rsid w:val="00D91E3A"/>
    <w:rsid w:val="00D91F98"/>
    <w:rsid w:val="00D92147"/>
    <w:rsid w:val="00D9233D"/>
    <w:rsid w:val="00D92C24"/>
    <w:rsid w:val="00D92DF2"/>
    <w:rsid w:val="00D934B6"/>
    <w:rsid w:val="00D934F5"/>
    <w:rsid w:val="00D938FA"/>
    <w:rsid w:val="00D939C2"/>
    <w:rsid w:val="00D93A1D"/>
    <w:rsid w:val="00D93BE0"/>
    <w:rsid w:val="00D93C45"/>
    <w:rsid w:val="00D93D05"/>
    <w:rsid w:val="00D94176"/>
    <w:rsid w:val="00D9422B"/>
    <w:rsid w:val="00D94433"/>
    <w:rsid w:val="00D944FD"/>
    <w:rsid w:val="00D9456E"/>
    <w:rsid w:val="00D94855"/>
    <w:rsid w:val="00D94AA5"/>
    <w:rsid w:val="00D94F7A"/>
    <w:rsid w:val="00D95189"/>
    <w:rsid w:val="00D95645"/>
    <w:rsid w:val="00D95931"/>
    <w:rsid w:val="00D959CE"/>
    <w:rsid w:val="00D95C2B"/>
    <w:rsid w:val="00D95E72"/>
    <w:rsid w:val="00D95EC7"/>
    <w:rsid w:val="00D96020"/>
    <w:rsid w:val="00D96316"/>
    <w:rsid w:val="00D963BD"/>
    <w:rsid w:val="00D96541"/>
    <w:rsid w:val="00D965CB"/>
    <w:rsid w:val="00D96737"/>
    <w:rsid w:val="00D96A35"/>
    <w:rsid w:val="00D96AC9"/>
    <w:rsid w:val="00D96BF2"/>
    <w:rsid w:val="00D96CEE"/>
    <w:rsid w:val="00D96D43"/>
    <w:rsid w:val="00D96E0F"/>
    <w:rsid w:val="00D96E51"/>
    <w:rsid w:val="00D96EB7"/>
    <w:rsid w:val="00D97086"/>
    <w:rsid w:val="00D970F7"/>
    <w:rsid w:val="00D9768A"/>
    <w:rsid w:val="00D9770B"/>
    <w:rsid w:val="00D97795"/>
    <w:rsid w:val="00D9792B"/>
    <w:rsid w:val="00D9796D"/>
    <w:rsid w:val="00D97A76"/>
    <w:rsid w:val="00D97C3E"/>
    <w:rsid w:val="00D97D13"/>
    <w:rsid w:val="00D97D52"/>
    <w:rsid w:val="00D97D91"/>
    <w:rsid w:val="00DA0027"/>
    <w:rsid w:val="00DA00B4"/>
    <w:rsid w:val="00DA0270"/>
    <w:rsid w:val="00DA027A"/>
    <w:rsid w:val="00DA0961"/>
    <w:rsid w:val="00DA09D1"/>
    <w:rsid w:val="00DA0D1D"/>
    <w:rsid w:val="00DA0E37"/>
    <w:rsid w:val="00DA0FA5"/>
    <w:rsid w:val="00DA111B"/>
    <w:rsid w:val="00DA119E"/>
    <w:rsid w:val="00DA1607"/>
    <w:rsid w:val="00DA166F"/>
    <w:rsid w:val="00DA167E"/>
    <w:rsid w:val="00DA186A"/>
    <w:rsid w:val="00DA18D8"/>
    <w:rsid w:val="00DA1AB4"/>
    <w:rsid w:val="00DA1C0A"/>
    <w:rsid w:val="00DA1C6C"/>
    <w:rsid w:val="00DA1DC1"/>
    <w:rsid w:val="00DA219E"/>
    <w:rsid w:val="00DA241A"/>
    <w:rsid w:val="00DA24C6"/>
    <w:rsid w:val="00DA25CD"/>
    <w:rsid w:val="00DA283A"/>
    <w:rsid w:val="00DA2C07"/>
    <w:rsid w:val="00DA2D0F"/>
    <w:rsid w:val="00DA30F5"/>
    <w:rsid w:val="00DA3130"/>
    <w:rsid w:val="00DA35B0"/>
    <w:rsid w:val="00DA3627"/>
    <w:rsid w:val="00DA3B63"/>
    <w:rsid w:val="00DA3C72"/>
    <w:rsid w:val="00DA3C93"/>
    <w:rsid w:val="00DA3CC9"/>
    <w:rsid w:val="00DA3ED6"/>
    <w:rsid w:val="00DA4038"/>
    <w:rsid w:val="00DA40E4"/>
    <w:rsid w:val="00DA424C"/>
    <w:rsid w:val="00DA440F"/>
    <w:rsid w:val="00DA4A5B"/>
    <w:rsid w:val="00DA4AD4"/>
    <w:rsid w:val="00DA4B89"/>
    <w:rsid w:val="00DA4BEA"/>
    <w:rsid w:val="00DA4D50"/>
    <w:rsid w:val="00DA4EAF"/>
    <w:rsid w:val="00DA5150"/>
    <w:rsid w:val="00DA5152"/>
    <w:rsid w:val="00DA525B"/>
    <w:rsid w:val="00DA5293"/>
    <w:rsid w:val="00DA5C80"/>
    <w:rsid w:val="00DA5E97"/>
    <w:rsid w:val="00DA62AA"/>
    <w:rsid w:val="00DA62BA"/>
    <w:rsid w:val="00DA64C6"/>
    <w:rsid w:val="00DA64CE"/>
    <w:rsid w:val="00DA65C7"/>
    <w:rsid w:val="00DA66D3"/>
    <w:rsid w:val="00DA6A2E"/>
    <w:rsid w:val="00DA6D52"/>
    <w:rsid w:val="00DA6F14"/>
    <w:rsid w:val="00DA7142"/>
    <w:rsid w:val="00DA718E"/>
    <w:rsid w:val="00DA7735"/>
    <w:rsid w:val="00DA7781"/>
    <w:rsid w:val="00DA7DCA"/>
    <w:rsid w:val="00DA7E18"/>
    <w:rsid w:val="00DB001F"/>
    <w:rsid w:val="00DB00E9"/>
    <w:rsid w:val="00DB0104"/>
    <w:rsid w:val="00DB0946"/>
    <w:rsid w:val="00DB0A5D"/>
    <w:rsid w:val="00DB0A7F"/>
    <w:rsid w:val="00DB0E6D"/>
    <w:rsid w:val="00DB101D"/>
    <w:rsid w:val="00DB18ED"/>
    <w:rsid w:val="00DB18EE"/>
    <w:rsid w:val="00DB19E1"/>
    <w:rsid w:val="00DB1B5C"/>
    <w:rsid w:val="00DB1CAC"/>
    <w:rsid w:val="00DB1DB1"/>
    <w:rsid w:val="00DB1DC6"/>
    <w:rsid w:val="00DB1E53"/>
    <w:rsid w:val="00DB1FC1"/>
    <w:rsid w:val="00DB1FF6"/>
    <w:rsid w:val="00DB2154"/>
    <w:rsid w:val="00DB2284"/>
    <w:rsid w:val="00DB231A"/>
    <w:rsid w:val="00DB275E"/>
    <w:rsid w:val="00DB2775"/>
    <w:rsid w:val="00DB28AC"/>
    <w:rsid w:val="00DB2986"/>
    <w:rsid w:val="00DB2ABE"/>
    <w:rsid w:val="00DB2C40"/>
    <w:rsid w:val="00DB2E05"/>
    <w:rsid w:val="00DB2F2A"/>
    <w:rsid w:val="00DB30A4"/>
    <w:rsid w:val="00DB340A"/>
    <w:rsid w:val="00DB35E6"/>
    <w:rsid w:val="00DB3798"/>
    <w:rsid w:val="00DB39A1"/>
    <w:rsid w:val="00DB39F1"/>
    <w:rsid w:val="00DB3B0A"/>
    <w:rsid w:val="00DB3C2F"/>
    <w:rsid w:val="00DB3D00"/>
    <w:rsid w:val="00DB4089"/>
    <w:rsid w:val="00DB415C"/>
    <w:rsid w:val="00DB4558"/>
    <w:rsid w:val="00DB46EB"/>
    <w:rsid w:val="00DB476A"/>
    <w:rsid w:val="00DB4CA9"/>
    <w:rsid w:val="00DB4CF5"/>
    <w:rsid w:val="00DB4D79"/>
    <w:rsid w:val="00DB50CF"/>
    <w:rsid w:val="00DB5349"/>
    <w:rsid w:val="00DB537E"/>
    <w:rsid w:val="00DB53BA"/>
    <w:rsid w:val="00DB542F"/>
    <w:rsid w:val="00DB5705"/>
    <w:rsid w:val="00DB5783"/>
    <w:rsid w:val="00DB59B4"/>
    <w:rsid w:val="00DB5BA7"/>
    <w:rsid w:val="00DB5CDC"/>
    <w:rsid w:val="00DB5E91"/>
    <w:rsid w:val="00DB5F11"/>
    <w:rsid w:val="00DB5F25"/>
    <w:rsid w:val="00DB60AB"/>
    <w:rsid w:val="00DB6183"/>
    <w:rsid w:val="00DB67AF"/>
    <w:rsid w:val="00DB683B"/>
    <w:rsid w:val="00DB6DAD"/>
    <w:rsid w:val="00DB7096"/>
    <w:rsid w:val="00DB7D84"/>
    <w:rsid w:val="00DB7E0F"/>
    <w:rsid w:val="00DB7F88"/>
    <w:rsid w:val="00DC04B2"/>
    <w:rsid w:val="00DC04D8"/>
    <w:rsid w:val="00DC04FA"/>
    <w:rsid w:val="00DC086D"/>
    <w:rsid w:val="00DC0AD5"/>
    <w:rsid w:val="00DC0DBA"/>
    <w:rsid w:val="00DC0EA6"/>
    <w:rsid w:val="00DC10C5"/>
    <w:rsid w:val="00DC1162"/>
    <w:rsid w:val="00DC157E"/>
    <w:rsid w:val="00DC16F4"/>
    <w:rsid w:val="00DC18DB"/>
    <w:rsid w:val="00DC18E0"/>
    <w:rsid w:val="00DC1D00"/>
    <w:rsid w:val="00DC1E56"/>
    <w:rsid w:val="00DC26A3"/>
    <w:rsid w:val="00DC26AA"/>
    <w:rsid w:val="00DC2813"/>
    <w:rsid w:val="00DC2C01"/>
    <w:rsid w:val="00DC2DFC"/>
    <w:rsid w:val="00DC2E34"/>
    <w:rsid w:val="00DC2F06"/>
    <w:rsid w:val="00DC32A4"/>
    <w:rsid w:val="00DC331E"/>
    <w:rsid w:val="00DC3376"/>
    <w:rsid w:val="00DC35BB"/>
    <w:rsid w:val="00DC362B"/>
    <w:rsid w:val="00DC3812"/>
    <w:rsid w:val="00DC3ABA"/>
    <w:rsid w:val="00DC3C3E"/>
    <w:rsid w:val="00DC3CB9"/>
    <w:rsid w:val="00DC3EF0"/>
    <w:rsid w:val="00DC3F5B"/>
    <w:rsid w:val="00DC3FDC"/>
    <w:rsid w:val="00DC43F3"/>
    <w:rsid w:val="00DC451D"/>
    <w:rsid w:val="00DC45B0"/>
    <w:rsid w:val="00DC48A4"/>
    <w:rsid w:val="00DC48E2"/>
    <w:rsid w:val="00DC4958"/>
    <w:rsid w:val="00DC4EBB"/>
    <w:rsid w:val="00DC50AA"/>
    <w:rsid w:val="00DC5466"/>
    <w:rsid w:val="00DC5A10"/>
    <w:rsid w:val="00DC5B61"/>
    <w:rsid w:val="00DC5B90"/>
    <w:rsid w:val="00DC5D71"/>
    <w:rsid w:val="00DC5EDB"/>
    <w:rsid w:val="00DC5EF1"/>
    <w:rsid w:val="00DC61B5"/>
    <w:rsid w:val="00DC6294"/>
    <w:rsid w:val="00DC6485"/>
    <w:rsid w:val="00DC651E"/>
    <w:rsid w:val="00DC69DC"/>
    <w:rsid w:val="00DC6A17"/>
    <w:rsid w:val="00DC6AF8"/>
    <w:rsid w:val="00DC7143"/>
    <w:rsid w:val="00DC723C"/>
    <w:rsid w:val="00DC72E8"/>
    <w:rsid w:val="00DC7304"/>
    <w:rsid w:val="00DC762A"/>
    <w:rsid w:val="00DC7678"/>
    <w:rsid w:val="00DC7815"/>
    <w:rsid w:val="00DC7C31"/>
    <w:rsid w:val="00DD00C7"/>
    <w:rsid w:val="00DD00F0"/>
    <w:rsid w:val="00DD0156"/>
    <w:rsid w:val="00DD04D8"/>
    <w:rsid w:val="00DD0A19"/>
    <w:rsid w:val="00DD0A64"/>
    <w:rsid w:val="00DD0DB5"/>
    <w:rsid w:val="00DD0F3A"/>
    <w:rsid w:val="00DD10D0"/>
    <w:rsid w:val="00DD16B6"/>
    <w:rsid w:val="00DD1C58"/>
    <w:rsid w:val="00DD1DD2"/>
    <w:rsid w:val="00DD1DE7"/>
    <w:rsid w:val="00DD2B74"/>
    <w:rsid w:val="00DD2BA5"/>
    <w:rsid w:val="00DD2CA7"/>
    <w:rsid w:val="00DD2D4A"/>
    <w:rsid w:val="00DD2EB1"/>
    <w:rsid w:val="00DD2FA4"/>
    <w:rsid w:val="00DD2FCC"/>
    <w:rsid w:val="00DD334F"/>
    <w:rsid w:val="00DD37C6"/>
    <w:rsid w:val="00DD38C1"/>
    <w:rsid w:val="00DD3C0D"/>
    <w:rsid w:val="00DD3D92"/>
    <w:rsid w:val="00DD3D9A"/>
    <w:rsid w:val="00DD3EA0"/>
    <w:rsid w:val="00DD415F"/>
    <w:rsid w:val="00DD41AE"/>
    <w:rsid w:val="00DD41CF"/>
    <w:rsid w:val="00DD421A"/>
    <w:rsid w:val="00DD42AD"/>
    <w:rsid w:val="00DD4314"/>
    <w:rsid w:val="00DD4C9E"/>
    <w:rsid w:val="00DD4E6F"/>
    <w:rsid w:val="00DD4E98"/>
    <w:rsid w:val="00DD5134"/>
    <w:rsid w:val="00DD523F"/>
    <w:rsid w:val="00DD52AD"/>
    <w:rsid w:val="00DD531E"/>
    <w:rsid w:val="00DD5779"/>
    <w:rsid w:val="00DD5820"/>
    <w:rsid w:val="00DD5B41"/>
    <w:rsid w:val="00DD5D48"/>
    <w:rsid w:val="00DD5E24"/>
    <w:rsid w:val="00DD5F6A"/>
    <w:rsid w:val="00DD614C"/>
    <w:rsid w:val="00DD6218"/>
    <w:rsid w:val="00DD6243"/>
    <w:rsid w:val="00DD6307"/>
    <w:rsid w:val="00DD6312"/>
    <w:rsid w:val="00DD658F"/>
    <w:rsid w:val="00DD69CE"/>
    <w:rsid w:val="00DD6C53"/>
    <w:rsid w:val="00DD6F51"/>
    <w:rsid w:val="00DD71F1"/>
    <w:rsid w:val="00DD796B"/>
    <w:rsid w:val="00DD7CEA"/>
    <w:rsid w:val="00DD7F4A"/>
    <w:rsid w:val="00DE00AC"/>
    <w:rsid w:val="00DE086E"/>
    <w:rsid w:val="00DE094E"/>
    <w:rsid w:val="00DE0D85"/>
    <w:rsid w:val="00DE0E1D"/>
    <w:rsid w:val="00DE0EDD"/>
    <w:rsid w:val="00DE0F7D"/>
    <w:rsid w:val="00DE10E0"/>
    <w:rsid w:val="00DE1410"/>
    <w:rsid w:val="00DE1A3C"/>
    <w:rsid w:val="00DE231F"/>
    <w:rsid w:val="00DE2395"/>
    <w:rsid w:val="00DE2488"/>
    <w:rsid w:val="00DE2584"/>
    <w:rsid w:val="00DE2594"/>
    <w:rsid w:val="00DE2838"/>
    <w:rsid w:val="00DE2922"/>
    <w:rsid w:val="00DE29E3"/>
    <w:rsid w:val="00DE3031"/>
    <w:rsid w:val="00DE3304"/>
    <w:rsid w:val="00DE338E"/>
    <w:rsid w:val="00DE3551"/>
    <w:rsid w:val="00DE36D8"/>
    <w:rsid w:val="00DE37D2"/>
    <w:rsid w:val="00DE38D8"/>
    <w:rsid w:val="00DE3D44"/>
    <w:rsid w:val="00DE3D8D"/>
    <w:rsid w:val="00DE3E24"/>
    <w:rsid w:val="00DE409D"/>
    <w:rsid w:val="00DE40B3"/>
    <w:rsid w:val="00DE442A"/>
    <w:rsid w:val="00DE495C"/>
    <w:rsid w:val="00DE49E9"/>
    <w:rsid w:val="00DE49FF"/>
    <w:rsid w:val="00DE4D56"/>
    <w:rsid w:val="00DE4DAA"/>
    <w:rsid w:val="00DE5125"/>
    <w:rsid w:val="00DE5548"/>
    <w:rsid w:val="00DE55E6"/>
    <w:rsid w:val="00DE58CD"/>
    <w:rsid w:val="00DE6488"/>
    <w:rsid w:val="00DE64F1"/>
    <w:rsid w:val="00DE6658"/>
    <w:rsid w:val="00DE6A5B"/>
    <w:rsid w:val="00DE6E13"/>
    <w:rsid w:val="00DE6E15"/>
    <w:rsid w:val="00DE6E9F"/>
    <w:rsid w:val="00DE71C7"/>
    <w:rsid w:val="00DE7439"/>
    <w:rsid w:val="00DE7921"/>
    <w:rsid w:val="00DE7FCC"/>
    <w:rsid w:val="00DF0009"/>
    <w:rsid w:val="00DF01E5"/>
    <w:rsid w:val="00DF06C9"/>
    <w:rsid w:val="00DF07EA"/>
    <w:rsid w:val="00DF08AE"/>
    <w:rsid w:val="00DF08CF"/>
    <w:rsid w:val="00DF0A0B"/>
    <w:rsid w:val="00DF0F81"/>
    <w:rsid w:val="00DF12C4"/>
    <w:rsid w:val="00DF141D"/>
    <w:rsid w:val="00DF1555"/>
    <w:rsid w:val="00DF17CC"/>
    <w:rsid w:val="00DF1802"/>
    <w:rsid w:val="00DF1A24"/>
    <w:rsid w:val="00DF1A46"/>
    <w:rsid w:val="00DF21EF"/>
    <w:rsid w:val="00DF21F3"/>
    <w:rsid w:val="00DF224F"/>
    <w:rsid w:val="00DF2577"/>
    <w:rsid w:val="00DF28C0"/>
    <w:rsid w:val="00DF2A3A"/>
    <w:rsid w:val="00DF2ADC"/>
    <w:rsid w:val="00DF2B42"/>
    <w:rsid w:val="00DF2C86"/>
    <w:rsid w:val="00DF307A"/>
    <w:rsid w:val="00DF315A"/>
    <w:rsid w:val="00DF3288"/>
    <w:rsid w:val="00DF331D"/>
    <w:rsid w:val="00DF3660"/>
    <w:rsid w:val="00DF3698"/>
    <w:rsid w:val="00DF36A0"/>
    <w:rsid w:val="00DF38B9"/>
    <w:rsid w:val="00DF3B29"/>
    <w:rsid w:val="00DF3C07"/>
    <w:rsid w:val="00DF3D42"/>
    <w:rsid w:val="00DF3DCD"/>
    <w:rsid w:val="00DF3E31"/>
    <w:rsid w:val="00DF3E3A"/>
    <w:rsid w:val="00DF4078"/>
    <w:rsid w:val="00DF416B"/>
    <w:rsid w:val="00DF4388"/>
    <w:rsid w:val="00DF44CF"/>
    <w:rsid w:val="00DF455E"/>
    <w:rsid w:val="00DF456A"/>
    <w:rsid w:val="00DF4675"/>
    <w:rsid w:val="00DF476B"/>
    <w:rsid w:val="00DF48C9"/>
    <w:rsid w:val="00DF4993"/>
    <w:rsid w:val="00DF49F8"/>
    <w:rsid w:val="00DF4C63"/>
    <w:rsid w:val="00DF4FDB"/>
    <w:rsid w:val="00DF4FF8"/>
    <w:rsid w:val="00DF51A7"/>
    <w:rsid w:val="00DF5258"/>
    <w:rsid w:val="00DF538F"/>
    <w:rsid w:val="00DF55A3"/>
    <w:rsid w:val="00DF6013"/>
    <w:rsid w:val="00DF605B"/>
    <w:rsid w:val="00DF6073"/>
    <w:rsid w:val="00DF60CA"/>
    <w:rsid w:val="00DF60ED"/>
    <w:rsid w:val="00DF6120"/>
    <w:rsid w:val="00DF61B5"/>
    <w:rsid w:val="00DF6272"/>
    <w:rsid w:val="00DF649D"/>
    <w:rsid w:val="00DF6776"/>
    <w:rsid w:val="00DF6804"/>
    <w:rsid w:val="00DF68AA"/>
    <w:rsid w:val="00DF6C66"/>
    <w:rsid w:val="00DF6E61"/>
    <w:rsid w:val="00DF6EC0"/>
    <w:rsid w:val="00DF7080"/>
    <w:rsid w:val="00DF7247"/>
    <w:rsid w:val="00DF72AD"/>
    <w:rsid w:val="00DF72D3"/>
    <w:rsid w:val="00DF7348"/>
    <w:rsid w:val="00DF7716"/>
    <w:rsid w:val="00DF77DB"/>
    <w:rsid w:val="00DF7803"/>
    <w:rsid w:val="00DF7858"/>
    <w:rsid w:val="00DF7C50"/>
    <w:rsid w:val="00DF7D40"/>
    <w:rsid w:val="00DF7DAC"/>
    <w:rsid w:val="00E00000"/>
    <w:rsid w:val="00E0021D"/>
    <w:rsid w:val="00E0038B"/>
    <w:rsid w:val="00E0043A"/>
    <w:rsid w:val="00E00624"/>
    <w:rsid w:val="00E00DA9"/>
    <w:rsid w:val="00E00EDD"/>
    <w:rsid w:val="00E0177E"/>
    <w:rsid w:val="00E01787"/>
    <w:rsid w:val="00E018AA"/>
    <w:rsid w:val="00E0191A"/>
    <w:rsid w:val="00E019B9"/>
    <w:rsid w:val="00E01ACE"/>
    <w:rsid w:val="00E01D40"/>
    <w:rsid w:val="00E02625"/>
    <w:rsid w:val="00E02639"/>
    <w:rsid w:val="00E02DA9"/>
    <w:rsid w:val="00E02DEB"/>
    <w:rsid w:val="00E0303C"/>
    <w:rsid w:val="00E031DF"/>
    <w:rsid w:val="00E03216"/>
    <w:rsid w:val="00E03391"/>
    <w:rsid w:val="00E0378D"/>
    <w:rsid w:val="00E03835"/>
    <w:rsid w:val="00E03929"/>
    <w:rsid w:val="00E03A73"/>
    <w:rsid w:val="00E03EE0"/>
    <w:rsid w:val="00E042EC"/>
    <w:rsid w:val="00E044E7"/>
    <w:rsid w:val="00E044EE"/>
    <w:rsid w:val="00E0460D"/>
    <w:rsid w:val="00E04628"/>
    <w:rsid w:val="00E0473F"/>
    <w:rsid w:val="00E047FB"/>
    <w:rsid w:val="00E04C8E"/>
    <w:rsid w:val="00E04D3E"/>
    <w:rsid w:val="00E04E05"/>
    <w:rsid w:val="00E0547C"/>
    <w:rsid w:val="00E05672"/>
    <w:rsid w:val="00E056E9"/>
    <w:rsid w:val="00E0574E"/>
    <w:rsid w:val="00E05C81"/>
    <w:rsid w:val="00E05DA9"/>
    <w:rsid w:val="00E06635"/>
    <w:rsid w:val="00E067C2"/>
    <w:rsid w:val="00E0680B"/>
    <w:rsid w:val="00E0680C"/>
    <w:rsid w:val="00E069D6"/>
    <w:rsid w:val="00E06A2A"/>
    <w:rsid w:val="00E06FFB"/>
    <w:rsid w:val="00E07020"/>
    <w:rsid w:val="00E07111"/>
    <w:rsid w:val="00E07195"/>
    <w:rsid w:val="00E074EF"/>
    <w:rsid w:val="00E076B5"/>
    <w:rsid w:val="00E078DE"/>
    <w:rsid w:val="00E07A75"/>
    <w:rsid w:val="00E07C65"/>
    <w:rsid w:val="00E07D82"/>
    <w:rsid w:val="00E07F6B"/>
    <w:rsid w:val="00E07F96"/>
    <w:rsid w:val="00E10001"/>
    <w:rsid w:val="00E10427"/>
    <w:rsid w:val="00E106A1"/>
    <w:rsid w:val="00E106FF"/>
    <w:rsid w:val="00E1076A"/>
    <w:rsid w:val="00E1088D"/>
    <w:rsid w:val="00E10999"/>
    <w:rsid w:val="00E10A88"/>
    <w:rsid w:val="00E10B76"/>
    <w:rsid w:val="00E10D7D"/>
    <w:rsid w:val="00E11084"/>
    <w:rsid w:val="00E111A4"/>
    <w:rsid w:val="00E11263"/>
    <w:rsid w:val="00E112E0"/>
    <w:rsid w:val="00E1178E"/>
    <w:rsid w:val="00E117E5"/>
    <w:rsid w:val="00E11946"/>
    <w:rsid w:val="00E11988"/>
    <w:rsid w:val="00E11A8D"/>
    <w:rsid w:val="00E11B9D"/>
    <w:rsid w:val="00E120CE"/>
    <w:rsid w:val="00E121E9"/>
    <w:rsid w:val="00E1229C"/>
    <w:rsid w:val="00E12723"/>
    <w:rsid w:val="00E128C9"/>
    <w:rsid w:val="00E12F3E"/>
    <w:rsid w:val="00E130B6"/>
    <w:rsid w:val="00E1315A"/>
    <w:rsid w:val="00E13295"/>
    <w:rsid w:val="00E1332B"/>
    <w:rsid w:val="00E133C4"/>
    <w:rsid w:val="00E134DD"/>
    <w:rsid w:val="00E13A59"/>
    <w:rsid w:val="00E13CBC"/>
    <w:rsid w:val="00E13CEA"/>
    <w:rsid w:val="00E14074"/>
    <w:rsid w:val="00E14244"/>
    <w:rsid w:val="00E142B1"/>
    <w:rsid w:val="00E142C4"/>
    <w:rsid w:val="00E143B9"/>
    <w:rsid w:val="00E1449A"/>
    <w:rsid w:val="00E1465A"/>
    <w:rsid w:val="00E14AB6"/>
    <w:rsid w:val="00E14BE2"/>
    <w:rsid w:val="00E14C35"/>
    <w:rsid w:val="00E15526"/>
    <w:rsid w:val="00E15527"/>
    <w:rsid w:val="00E155BF"/>
    <w:rsid w:val="00E156ED"/>
    <w:rsid w:val="00E159A4"/>
    <w:rsid w:val="00E15C1A"/>
    <w:rsid w:val="00E15C5F"/>
    <w:rsid w:val="00E15CC7"/>
    <w:rsid w:val="00E15EAB"/>
    <w:rsid w:val="00E15FB7"/>
    <w:rsid w:val="00E15FC9"/>
    <w:rsid w:val="00E16103"/>
    <w:rsid w:val="00E161CE"/>
    <w:rsid w:val="00E16211"/>
    <w:rsid w:val="00E167A5"/>
    <w:rsid w:val="00E167E2"/>
    <w:rsid w:val="00E16AE5"/>
    <w:rsid w:val="00E16C21"/>
    <w:rsid w:val="00E16E02"/>
    <w:rsid w:val="00E1715B"/>
    <w:rsid w:val="00E17374"/>
    <w:rsid w:val="00E173CC"/>
    <w:rsid w:val="00E17458"/>
    <w:rsid w:val="00E1765B"/>
    <w:rsid w:val="00E17672"/>
    <w:rsid w:val="00E17B3F"/>
    <w:rsid w:val="00E17B42"/>
    <w:rsid w:val="00E17C0D"/>
    <w:rsid w:val="00E17D44"/>
    <w:rsid w:val="00E17F36"/>
    <w:rsid w:val="00E200C2"/>
    <w:rsid w:val="00E201BE"/>
    <w:rsid w:val="00E206A9"/>
    <w:rsid w:val="00E20B3E"/>
    <w:rsid w:val="00E20B74"/>
    <w:rsid w:val="00E20B8C"/>
    <w:rsid w:val="00E20C3D"/>
    <w:rsid w:val="00E20E81"/>
    <w:rsid w:val="00E20F3D"/>
    <w:rsid w:val="00E20F8E"/>
    <w:rsid w:val="00E2112C"/>
    <w:rsid w:val="00E21585"/>
    <w:rsid w:val="00E216AB"/>
    <w:rsid w:val="00E21704"/>
    <w:rsid w:val="00E21808"/>
    <w:rsid w:val="00E21A74"/>
    <w:rsid w:val="00E21C08"/>
    <w:rsid w:val="00E21CE6"/>
    <w:rsid w:val="00E22048"/>
    <w:rsid w:val="00E22206"/>
    <w:rsid w:val="00E229F8"/>
    <w:rsid w:val="00E22ABF"/>
    <w:rsid w:val="00E22B0D"/>
    <w:rsid w:val="00E23121"/>
    <w:rsid w:val="00E233FB"/>
    <w:rsid w:val="00E23411"/>
    <w:rsid w:val="00E23724"/>
    <w:rsid w:val="00E23B87"/>
    <w:rsid w:val="00E23D5E"/>
    <w:rsid w:val="00E246DE"/>
    <w:rsid w:val="00E24A1E"/>
    <w:rsid w:val="00E24FE1"/>
    <w:rsid w:val="00E25248"/>
    <w:rsid w:val="00E25378"/>
    <w:rsid w:val="00E255CB"/>
    <w:rsid w:val="00E25924"/>
    <w:rsid w:val="00E25A13"/>
    <w:rsid w:val="00E25AA8"/>
    <w:rsid w:val="00E25E79"/>
    <w:rsid w:val="00E26024"/>
    <w:rsid w:val="00E265C2"/>
    <w:rsid w:val="00E26876"/>
    <w:rsid w:val="00E26936"/>
    <w:rsid w:val="00E26A13"/>
    <w:rsid w:val="00E26C02"/>
    <w:rsid w:val="00E26C91"/>
    <w:rsid w:val="00E26DE7"/>
    <w:rsid w:val="00E26DEA"/>
    <w:rsid w:val="00E27029"/>
    <w:rsid w:val="00E2717A"/>
    <w:rsid w:val="00E271B2"/>
    <w:rsid w:val="00E2738B"/>
    <w:rsid w:val="00E2744D"/>
    <w:rsid w:val="00E27575"/>
    <w:rsid w:val="00E275EA"/>
    <w:rsid w:val="00E27711"/>
    <w:rsid w:val="00E27A05"/>
    <w:rsid w:val="00E27B19"/>
    <w:rsid w:val="00E27CDB"/>
    <w:rsid w:val="00E27F41"/>
    <w:rsid w:val="00E300D7"/>
    <w:rsid w:val="00E30425"/>
    <w:rsid w:val="00E306BE"/>
    <w:rsid w:val="00E307F1"/>
    <w:rsid w:val="00E3080A"/>
    <w:rsid w:val="00E30931"/>
    <w:rsid w:val="00E30CF3"/>
    <w:rsid w:val="00E30F70"/>
    <w:rsid w:val="00E31155"/>
    <w:rsid w:val="00E31597"/>
    <w:rsid w:val="00E31599"/>
    <w:rsid w:val="00E319CD"/>
    <w:rsid w:val="00E31A30"/>
    <w:rsid w:val="00E31E7A"/>
    <w:rsid w:val="00E31F3E"/>
    <w:rsid w:val="00E3213B"/>
    <w:rsid w:val="00E321B7"/>
    <w:rsid w:val="00E32242"/>
    <w:rsid w:val="00E3243C"/>
    <w:rsid w:val="00E325B0"/>
    <w:rsid w:val="00E326EE"/>
    <w:rsid w:val="00E32A23"/>
    <w:rsid w:val="00E32BA4"/>
    <w:rsid w:val="00E32D9C"/>
    <w:rsid w:val="00E32E64"/>
    <w:rsid w:val="00E32F49"/>
    <w:rsid w:val="00E33251"/>
    <w:rsid w:val="00E33300"/>
    <w:rsid w:val="00E333D1"/>
    <w:rsid w:val="00E334A9"/>
    <w:rsid w:val="00E33B98"/>
    <w:rsid w:val="00E33EBC"/>
    <w:rsid w:val="00E3403C"/>
    <w:rsid w:val="00E34304"/>
    <w:rsid w:val="00E34309"/>
    <w:rsid w:val="00E34520"/>
    <w:rsid w:val="00E3471B"/>
    <w:rsid w:val="00E3472D"/>
    <w:rsid w:val="00E34E40"/>
    <w:rsid w:val="00E34E87"/>
    <w:rsid w:val="00E34F70"/>
    <w:rsid w:val="00E350DD"/>
    <w:rsid w:val="00E356D0"/>
    <w:rsid w:val="00E356FC"/>
    <w:rsid w:val="00E35995"/>
    <w:rsid w:val="00E359B9"/>
    <w:rsid w:val="00E35EF1"/>
    <w:rsid w:val="00E36051"/>
    <w:rsid w:val="00E36136"/>
    <w:rsid w:val="00E363A3"/>
    <w:rsid w:val="00E3655E"/>
    <w:rsid w:val="00E368CB"/>
    <w:rsid w:val="00E36BFD"/>
    <w:rsid w:val="00E36DA4"/>
    <w:rsid w:val="00E36DF6"/>
    <w:rsid w:val="00E36E59"/>
    <w:rsid w:val="00E37167"/>
    <w:rsid w:val="00E37362"/>
    <w:rsid w:val="00E37453"/>
    <w:rsid w:val="00E375F8"/>
    <w:rsid w:val="00E376C0"/>
    <w:rsid w:val="00E378CF"/>
    <w:rsid w:val="00E37B51"/>
    <w:rsid w:val="00E4007E"/>
    <w:rsid w:val="00E400AA"/>
    <w:rsid w:val="00E402E3"/>
    <w:rsid w:val="00E403F0"/>
    <w:rsid w:val="00E40887"/>
    <w:rsid w:val="00E40AF0"/>
    <w:rsid w:val="00E40BD5"/>
    <w:rsid w:val="00E40D74"/>
    <w:rsid w:val="00E40DAD"/>
    <w:rsid w:val="00E40FB3"/>
    <w:rsid w:val="00E410D7"/>
    <w:rsid w:val="00E4112A"/>
    <w:rsid w:val="00E4119A"/>
    <w:rsid w:val="00E411D9"/>
    <w:rsid w:val="00E412FF"/>
    <w:rsid w:val="00E4151C"/>
    <w:rsid w:val="00E417CE"/>
    <w:rsid w:val="00E41A1D"/>
    <w:rsid w:val="00E41B25"/>
    <w:rsid w:val="00E41ED6"/>
    <w:rsid w:val="00E42100"/>
    <w:rsid w:val="00E42247"/>
    <w:rsid w:val="00E42264"/>
    <w:rsid w:val="00E42319"/>
    <w:rsid w:val="00E423BA"/>
    <w:rsid w:val="00E42988"/>
    <w:rsid w:val="00E42A05"/>
    <w:rsid w:val="00E42AB6"/>
    <w:rsid w:val="00E42B86"/>
    <w:rsid w:val="00E42BC5"/>
    <w:rsid w:val="00E42CC6"/>
    <w:rsid w:val="00E42D2A"/>
    <w:rsid w:val="00E42E41"/>
    <w:rsid w:val="00E43115"/>
    <w:rsid w:val="00E4311B"/>
    <w:rsid w:val="00E432F5"/>
    <w:rsid w:val="00E4332B"/>
    <w:rsid w:val="00E43413"/>
    <w:rsid w:val="00E4350C"/>
    <w:rsid w:val="00E43AD9"/>
    <w:rsid w:val="00E43C52"/>
    <w:rsid w:val="00E43D00"/>
    <w:rsid w:val="00E43E40"/>
    <w:rsid w:val="00E43F26"/>
    <w:rsid w:val="00E440C6"/>
    <w:rsid w:val="00E44155"/>
    <w:rsid w:val="00E44247"/>
    <w:rsid w:val="00E4427C"/>
    <w:rsid w:val="00E44318"/>
    <w:rsid w:val="00E444E1"/>
    <w:rsid w:val="00E44770"/>
    <w:rsid w:val="00E44789"/>
    <w:rsid w:val="00E44803"/>
    <w:rsid w:val="00E44AAE"/>
    <w:rsid w:val="00E44BCE"/>
    <w:rsid w:val="00E44C41"/>
    <w:rsid w:val="00E44C48"/>
    <w:rsid w:val="00E44D17"/>
    <w:rsid w:val="00E44EED"/>
    <w:rsid w:val="00E451B7"/>
    <w:rsid w:val="00E4578E"/>
    <w:rsid w:val="00E45822"/>
    <w:rsid w:val="00E45AFE"/>
    <w:rsid w:val="00E45B8D"/>
    <w:rsid w:val="00E45D90"/>
    <w:rsid w:val="00E45EEC"/>
    <w:rsid w:val="00E45F91"/>
    <w:rsid w:val="00E46201"/>
    <w:rsid w:val="00E46269"/>
    <w:rsid w:val="00E46D8F"/>
    <w:rsid w:val="00E46EB9"/>
    <w:rsid w:val="00E471E3"/>
    <w:rsid w:val="00E47876"/>
    <w:rsid w:val="00E47884"/>
    <w:rsid w:val="00E47B26"/>
    <w:rsid w:val="00E47C25"/>
    <w:rsid w:val="00E506E6"/>
    <w:rsid w:val="00E507EB"/>
    <w:rsid w:val="00E50872"/>
    <w:rsid w:val="00E5091F"/>
    <w:rsid w:val="00E50F7B"/>
    <w:rsid w:val="00E51396"/>
    <w:rsid w:val="00E51398"/>
    <w:rsid w:val="00E5146F"/>
    <w:rsid w:val="00E5153F"/>
    <w:rsid w:val="00E5158A"/>
    <w:rsid w:val="00E5160F"/>
    <w:rsid w:val="00E51ABF"/>
    <w:rsid w:val="00E51B38"/>
    <w:rsid w:val="00E51DC9"/>
    <w:rsid w:val="00E5207E"/>
    <w:rsid w:val="00E52373"/>
    <w:rsid w:val="00E5265A"/>
    <w:rsid w:val="00E5287C"/>
    <w:rsid w:val="00E52C9A"/>
    <w:rsid w:val="00E530B8"/>
    <w:rsid w:val="00E53269"/>
    <w:rsid w:val="00E5339A"/>
    <w:rsid w:val="00E53458"/>
    <w:rsid w:val="00E53645"/>
    <w:rsid w:val="00E53675"/>
    <w:rsid w:val="00E53880"/>
    <w:rsid w:val="00E53A27"/>
    <w:rsid w:val="00E53A5A"/>
    <w:rsid w:val="00E53B91"/>
    <w:rsid w:val="00E53BCD"/>
    <w:rsid w:val="00E53DF7"/>
    <w:rsid w:val="00E53F40"/>
    <w:rsid w:val="00E53FF7"/>
    <w:rsid w:val="00E541BD"/>
    <w:rsid w:val="00E544EE"/>
    <w:rsid w:val="00E546D1"/>
    <w:rsid w:val="00E54A42"/>
    <w:rsid w:val="00E54B17"/>
    <w:rsid w:val="00E54B1F"/>
    <w:rsid w:val="00E54B41"/>
    <w:rsid w:val="00E54C32"/>
    <w:rsid w:val="00E55029"/>
    <w:rsid w:val="00E55289"/>
    <w:rsid w:val="00E552B9"/>
    <w:rsid w:val="00E552BF"/>
    <w:rsid w:val="00E55346"/>
    <w:rsid w:val="00E55518"/>
    <w:rsid w:val="00E555FF"/>
    <w:rsid w:val="00E55620"/>
    <w:rsid w:val="00E5562C"/>
    <w:rsid w:val="00E55755"/>
    <w:rsid w:val="00E55B53"/>
    <w:rsid w:val="00E55B9C"/>
    <w:rsid w:val="00E562C9"/>
    <w:rsid w:val="00E5653C"/>
    <w:rsid w:val="00E5658D"/>
    <w:rsid w:val="00E56593"/>
    <w:rsid w:val="00E56AA8"/>
    <w:rsid w:val="00E56AD9"/>
    <w:rsid w:val="00E56BA9"/>
    <w:rsid w:val="00E56BEA"/>
    <w:rsid w:val="00E56EB0"/>
    <w:rsid w:val="00E56F14"/>
    <w:rsid w:val="00E5711D"/>
    <w:rsid w:val="00E57417"/>
    <w:rsid w:val="00E574C0"/>
    <w:rsid w:val="00E57574"/>
    <w:rsid w:val="00E5765E"/>
    <w:rsid w:val="00E57697"/>
    <w:rsid w:val="00E5771C"/>
    <w:rsid w:val="00E577C2"/>
    <w:rsid w:val="00E577DB"/>
    <w:rsid w:val="00E579B3"/>
    <w:rsid w:val="00E579DF"/>
    <w:rsid w:val="00E57EF5"/>
    <w:rsid w:val="00E57FE6"/>
    <w:rsid w:val="00E6001A"/>
    <w:rsid w:val="00E601F3"/>
    <w:rsid w:val="00E6028D"/>
    <w:rsid w:val="00E603CC"/>
    <w:rsid w:val="00E60462"/>
    <w:rsid w:val="00E60530"/>
    <w:rsid w:val="00E6068F"/>
    <w:rsid w:val="00E608C8"/>
    <w:rsid w:val="00E60B74"/>
    <w:rsid w:val="00E60B88"/>
    <w:rsid w:val="00E60D63"/>
    <w:rsid w:val="00E60E5C"/>
    <w:rsid w:val="00E60F84"/>
    <w:rsid w:val="00E6106F"/>
    <w:rsid w:val="00E611A5"/>
    <w:rsid w:val="00E611C8"/>
    <w:rsid w:val="00E6120E"/>
    <w:rsid w:val="00E613B8"/>
    <w:rsid w:val="00E614DB"/>
    <w:rsid w:val="00E6183F"/>
    <w:rsid w:val="00E618B2"/>
    <w:rsid w:val="00E61B86"/>
    <w:rsid w:val="00E61CD8"/>
    <w:rsid w:val="00E61F75"/>
    <w:rsid w:val="00E6200B"/>
    <w:rsid w:val="00E6235B"/>
    <w:rsid w:val="00E625E0"/>
    <w:rsid w:val="00E6278D"/>
    <w:rsid w:val="00E62B2F"/>
    <w:rsid w:val="00E62B88"/>
    <w:rsid w:val="00E62DD1"/>
    <w:rsid w:val="00E62DFB"/>
    <w:rsid w:val="00E62F88"/>
    <w:rsid w:val="00E632D0"/>
    <w:rsid w:val="00E632D8"/>
    <w:rsid w:val="00E632FD"/>
    <w:rsid w:val="00E634E0"/>
    <w:rsid w:val="00E63809"/>
    <w:rsid w:val="00E63856"/>
    <w:rsid w:val="00E638A7"/>
    <w:rsid w:val="00E6399D"/>
    <w:rsid w:val="00E63AB6"/>
    <w:rsid w:val="00E63DC0"/>
    <w:rsid w:val="00E63ED8"/>
    <w:rsid w:val="00E64087"/>
    <w:rsid w:val="00E64104"/>
    <w:rsid w:val="00E641EB"/>
    <w:rsid w:val="00E64318"/>
    <w:rsid w:val="00E645B4"/>
    <w:rsid w:val="00E64975"/>
    <w:rsid w:val="00E64AFD"/>
    <w:rsid w:val="00E64B59"/>
    <w:rsid w:val="00E64CC0"/>
    <w:rsid w:val="00E64ECA"/>
    <w:rsid w:val="00E6513A"/>
    <w:rsid w:val="00E656FD"/>
    <w:rsid w:val="00E65775"/>
    <w:rsid w:val="00E6643B"/>
    <w:rsid w:val="00E664E5"/>
    <w:rsid w:val="00E66546"/>
    <w:rsid w:val="00E6678C"/>
    <w:rsid w:val="00E667D1"/>
    <w:rsid w:val="00E6680B"/>
    <w:rsid w:val="00E66893"/>
    <w:rsid w:val="00E668CB"/>
    <w:rsid w:val="00E66927"/>
    <w:rsid w:val="00E66C9D"/>
    <w:rsid w:val="00E66ED9"/>
    <w:rsid w:val="00E66FE9"/>
    <w:rsid w:val="00E67090"/>
    <w:rsid w:val="00E672B9"/>
    <w:rsid w:val="00E673F3"/>
    <w:rsid w:val="00E67540"/>
    <w:rsid w:val="00E675DD"/>
    <w:rsid w:val="00E67BDE"/>
    <w:rsid w:val="00E7003F"/>
    <w:rsid w:val="00E70461"/>
    <w:rsid w:val="00E705C1"/>
    <w:rsid w:val="00E70646"/>
    <w:rsid w:val="00E70709"/>
    <w:rsid w:val="00E7070D"/>
    <w:rsid w:val="00E7079D"/>
    <w:rsid w:val="00E70AA4"/>
    <w:rsid w:val="00E70BF7"/>
    <w:rsid w:val="00E70CCE"/>
    <w:rsid w:val="00E70CED"/>
    <w:rsid w:val="00E70E44"/>
    <w:rsid w:val="00E71302"/>
    <w:rsid w:val="00E7148C"/>
    <w:rsid w:val="00E71543"/>
    <w:rsid w:val="00E715A8"/>
    <w:rsid w:val="00E716A0"/>
    <w:rsid w:val="00E71743"/>
    <w:rsid w:val="00E71886"/>
    <w:rsid w:val="00E719B7"/>
    <w:rsid w:val="00E71AFD"/>
    <w:rsid w:val="00E71CA1"/>
    <w:rsid w:val="00E71D1B"/>
    <w:rsid w:val="00E71E35"/>
    <w:rsid w:val="00E71E6A"/>
    <w:rsid w:val="00E72007"/>
    <w:rsid w:val="00E7242E"/>
    <w:rsid w:val="00E724BF"/>
    <w:rsid w:val="00E725B1"/>
    <w:rsid w:val="00E725C9"/>
    <w:rsid w:val="00E72C4A"/>
    <w:rsid w:val="00E72DB7"/>
    <w:rsid w:val="00E72FFD"/>
    <w:rsid w:val="00E73075"/>
    <w:rsid w:val="00E733B8"/>
    <w:rsid w:val="00E73661"/>
    <w:rsid w:val="00E736F8"/>
    <w:rsid w:val="00E73788"/>
    <w:rsid w:val="00E7379B"/>
    <w:rsid w:val="00E73A74"/>
    <w:rsid w:val="00E73C58"/>
    <w:rsid w:val="00E73EAC"/>
    <w:rsid w:val="00E7405B"/>
    <w:rsid w:val="00E74248"/>
    <w:rsid w:val="00E74541"/>
    <w:rsid w:val="00E7484F"/>
    <w:rsid w:val="00E74E1A"/>
    <w:rsid w:val="00E74E83"/>
    <w:rsid w:val="00E7530A"/>
    <w:rsid w:val="00E75455"/>
    <w:rsid w:val="00E755C8"/>
    <w:rsid w:val="00E75741"/>
    <w:rsid w:val="00E7583D"/>
    <w:rsid w:val="00E75A01"/>
    <w:rsid w:val="00E75A6B"/>
    <w:rsid w:val="00E75D09"/>
    <w:rsid w:val="00E75D2A"/>
    <w:rsid w:val="00E75E3D"/>
    <w:rsid w:val="00E75F18"/>
    <w:rsid w:val="00E76024"/>
    <w:rsid w:val="00E7603D"/>
    <w:rsid w:val="00E76746"/>
    <w:rsid w:val="00E76B16"/>
    <w:rsid w:val="00E76C24"/>
    <w:rsid w:val="00E76EA4"/>
    <w:rsid w:val="00E77017"/>
    <w:rsid w:val="00E771F4"/>
    <w:rsid w:val="00E7741B"/>
    <w:rsid w:val="00E77A33"/>
    <w:rsid w:val="00E77A50"/>
    <w:rsid w:val="00E77B05"/>
    <w:rsid w:val="00E77CB5"/>
    <w:rsid w:val="00E77E55"/>
    <w:rsid w:val="00E79009"/>
    <w:rsid w:val="00E800F4"/>
    <w:rsid w:val="00E80778"/>
    <w:rsid w:val="00E809B4"/>
    <w:rsid w:val="00E80A09"/>
    <w:rsid w:val="00E80AB0"/>
    <w:rsid w:val="00E80B79"/>
    <w:rsid w:val="00E80C14"/>
    <w:rsid w:val="00E80C5B"/>
    <w:rsid w:val="00E80D5E"/>
    <w:rsid w:val="00E80EEA"/>
    <w:rsid w:val="00E80F2C"/>
    <w:rsid w:val="00E80F9A"/>
    <w:rsid w:val="00E81278"/>
    <w:rsid w:val="00E8136F"/>
    <w:rsid w:val="00E815E3"/>
    <w:rsid w:val="00E81811"/>
    <w:rsid w:val="00E81E90"/>
    <w:rsid w:val="00E823A7"/>
    <w:rsid w:val="00E823B5"/>
    <w:rsid w:val="00E8260C"/>
    <w:rsid w:val="00E829B7"/>
    <w:rsid w:val="00E82D9D"/>
    <w:rsid w:val="00E82EB1"/>
    <w:rsid w:val="00E835EF"/>
    <w:rsid w:val="00E83691"/>
    <w:rsid w:val="00E8373E"/>
    <w:rsid w:val="00E83A14"/>
    <w:rsid w:val="00E83AD7"/>
    <w:rsid w:val="00E83D04"/>
    <w:rsid w:val="00E83E26"/>
    <w:rsid w:val="00E841E7"/>
    <w:rsid w:val="00E842F7"/>
    <w:rsid w:val="00E84336"/>
    <w:rsid w:val="00E84450"/>
    <w:rsid w:val="00E8456F"/>
    <w:rsid w:val="00E84588"/>
    <w:rsid w:val="00E84AAC"/>
    <w:rsid w:val="00E84D45"/>
    <w:rsid w:val="00E84DBF"/>
    <w:rsid w:val="00E84E1A"/>
    <w:rsid w:val="00E8527E"/>
    <w:rsid w:val="00E8540F"/>
    <w:rsid w:val="00E8556B"/>
    <w:rsid w:val="00E857F7"/>
    <w:rsid w:val="00E85D8E"/>
    <w:rsid w:val="00E85E39"/>
    <w:rsid w:val="00E85FF3"/>
    <w:rsid w:val="00E8633D"/>
    <w:rsid w:val="00E86368"/>
    <w:rsid w:val="00E863B3"/>
    <w:rsid w:val="00E863BA"/>
    <w:rsid w:val="00E86597"/>
    <w:rsid w:val="00E86BE5"/>
    <w:rsid w:val="00E86CA5"/>
    <w:rsid w:val="00E86EB2"/>
    <w:rsid w:val="00E86EB4"/>
    <w:rsid w:val="00E86F97"/>
    <w:rsid w:val="00E86FD3"/>
    <w:rsid w:val="00E87006"/>
    <w:rsid w:val="00E87221"/>
    <w:rsid w:val="00E87269"/>
    <w:rsid w:val="00E873C1"/>
    <w:rsid w:val="00E873C7"/>
    <w:rsid w:val="00E8745B"/>
    <w:rsid w:val="00E87940"/>
    <w:rsid w:val="00E87A9B"/>
    <w:rsid w:val="00E87C4F"/>
    <w:rsid w:val="00E87F5D"/>
    <w:rsid w:val="00E90195"/>
    <w:rsid w:val="00E90271"/>
    <w:rsid w:val="00E9037A"/>
    <w:rsid w:val="00E903E3"/>
    <w:rsid w:val="00E905F3"/>
    <w:rsid w:val="00E90783"/>
    <w:rsid w:val="00E907C5"/>
    <w:rsid w:val="00E908C8"/>
    <w:rsid w:val="00E909B0"/>
    <w:rsid w:val="00E90EE4"/>
    <w:rsid w:val="00E90F57"/>
    <w:rsid w:val="00E910D9"/>
    <w:rsid w:val="00E9118D"/>
    <w:rsid w:val="00E9121E"/>
    <w:rsid w:val="00E9140B"/>
    <w:rsid w:val="00E91717"/>
    <w:rsid w:val="00E91733"/>
    <w:rsid w:val="00E91E9E"/>
    <w:rsid w:val="00E91F81"/>
    <w:rsid w:val="00E9207C"/>
    <w:rsid w:val="00E922C1"/>
    <w:rsid w:val="00E924EF"/>
    <w:rsid w:val="00E92668"/>
    <w:rsid w:val="00E927AB"/>
    <w:rsid w:val="00E931B4"/>
    <w:rsid w:val="00E93281"/>
    <w:rsid w:val="00E93352"/>
    <w:rsid w:val="00E9344D"/>
    <w:rsid w:val="00E935ED"/>
    <w:rsid w:val="00E93CE4"/>
    <w:rsid w:val="00E93E89"/>
    <w:rsid w:val="00E940F0"/>
    <w:rsid w:val="00E9431A"/>
    <w:rsid w:val="00E94580"/>
    <w:rsid w:val="00E946AB"/>
    <w:rsid w:val="00E946E8"/>
    <w:rsid w:val="00E9497B"/>
    <w:rsid w:val="00E94B72"/>
    <w:rsid w:val="00E94BBC"/>
    <w:rsid w:val="00E94E6C"/>
    <w:rsid w:val="00E94EF6"/>
    <w:rsid w:val="00E94F59"/>
    <w:rsid w:val="00E94F76"/>
    <w:rsid w:val="00E9514C"/>
    <w:rsid w:val="00E95333"/>
    <w:rsid w:val="00E9546F"/>
    <w:rsid w:val="00E95491"/>
    <w:rsid w:val="00E95629"/>
    <w:rsid w:val="00E95D70"/>
    <w:rsid w:val="00E95FC6"/>
    <w:rsid w:val="00E964DF"/>
    <w:rsid w:val="00E9654D"/>
    <w:rsid w:val="00E96673"/>
    <w:rsid w:val="00E96B45"/>
    <w:rsid w:val="00E96D8D"/>
    <w:rsid w:val="00E972B7"/>
    <w:rsid w:val="00E975AB"/>
    <w:rsid w:val="00E97808"/>
    <w:rsid w:val="00E9786A"/>
    <w:rsid w:val="00E97A71"/>
    <w:rsid w:val="00E97AD3"/>
    <w:rsid w:val="00E97C2A"/>
    <w:rsid w:val="00E97CA1"/>
    <w:rsid w:val="00E97E34"/>
    <w:rsid w:val="00EA0134"/>
    <w:rsid w:val="00EA0152"/>
    <w:rsid w:val="00EA0345"/>
    <w:rsid w:val="00EA048A"/>
    <w:rsid w:val="00EA0603"/>
    <w:rsid w:val="00EA0A0B"/>
    <w:rsid w:val="00EA0DB7"/>
    <w:rsid w:val="00EA0E9F"/>
    <w:rsid w:val="00EA0F0C"/>
    <w:rsid w:val="00EA1183"/>
    <w:rsid w:val="00EA16A9"/>
    <w:rsid w:val="00EA18C5"/>
    <w:rsid w:val="00EA190D"/>
    <w:rsid w:val="00EA1A41"/>
    <w:rsid w:val="00EA1D16"/>
    <w:rsid w:val="00EA1F74"/>
    <w:rsid w:val="00EA222F"/>
    <w:rsid w:val="00EA22F2"/>
    <w:rsid w:val="00EA25FD"/>
    <w:rsid w:val="00EA29EE"/>
    <w:rsid w:val="00EA2A18"/>
    <w:rsid w:val="00EA2BD2"/>
    <w:rsid w:val="00EA2E1D"/>
    <w:rsid w:val="00EA2FDB"/>
    <w:rsid w:val="00EA318C"/>
    <w:rsid w:val="00EA3232"/>
    <w:rsid w:val="00EA35CF"/>
    <w:rsid w:val="00EA3612"/>
    <w:rsid w:val="00EA370A"/>
    <w:rsid w:val="00EA391E"/>
    <w:rsid w:val="00EA39C2"/>
    <w:rsid w:val="00EA3AC5"/>
    <w:rsid w:val="00EA3B9B"/>
    <w:rsid w:val="00EA3C2B"/>
    <w:rsid w:val="00EA3C5E"/>
    <w:rsid w:val="00EA3F13"/>
    <w:rsid w:val="00EA3F34"/>
    <w:rsid w:val="00EA4075"/>
    <w:rsid w:val="00EA4310"/>
    <w:rsid w:val="00EA441E"/>
    <w:rsid w:val="00EA443E"/>
    <w:rsid w:val="00EA4467"/>
    <w:rsid w:val="00EA4479"/>
    <w:rsid w:val="00EA4946"/>
    <w:rsid w:val="00EA49DF"/>
    <w:rsid w:val="00EA4B38"/>
    <w:rsid w:val="00EA4D32"/>
    <w:rsid w:val="00EA4F14"/>
    <w:rsid w:val="00EA518E"/>
    <w:rsid w:val="00EA555D"/>
    <w:rsid w:val="00EA56F5"/>
    <w:rsid w:val="00EA57CF"/>
    <w:rsid w:val="00EA5B4A"/>
    <w:rsid w:val="00EA635B"/>
    <w:rsid w:val="00EA64FB"/>
    <w:rsid w:val="00EA6597"/>
    <w:rsid w:val="00EA65FB"/>
    <w:rsid w:val="00EA667C"/>
    <w:rsid w:val="00EA66C8"/>
    <w:rsid w:val="00EA6811"/>
    <w:rsid w:val="00EA68A8"/>
    <w:rsid w:val="00EA68E7"/>
    <w:rsid w:val="00EA6909"/>
    <w:rsid w:val="00EA6B15"/>
    <w:rsid w:val="00EA6D2D"/>
    <w:rsid w:val="00EA6DB1"/>
    <w:rsid w:val="00EA6EA9"/>
    <w:rsid w:val="00EA6EAA"/>
    <w:rsid w:val="00EA7245"/>
    <w:rsid w:val="00EA7594"/>
    <w:rsid w:val="00EA7C87"/>
    <w:rsid w:val="00EA7D18"/>
    <w:rsid w:val="00EA7EF7"/>
    <w:rsid w:val="00EB061D"/>
    <w:rsid w:val="00EB0956"/>
    <w:rsid w:val="00EB0980"/>
    <w:rsid w:val="00EB0BEA"/>
    <w:rsid w:val="00EB0C1B"/>
    <w:rsid w:val="00EB0C39"/>
    <w:rsid w:val="00EB0E8B"/>
    <w:rsid w:val="00EB0F81"/>
    <w:rsid w:val="00EB11D5"/>
    <w:rsid w:val="00EB157F"/>
    <w:rsid w:val="00EB1744"/>
    <w:rsid w:val="00EB1848"/>
    <w:rsid w:val="00EB19FC"/>
    <w:rsid w:val="00EB1C9E"/>
    <w:rsid w:val="00EB1CB2"/>
    <w:rsid w:val="00EB2182"/>
    <w:rsid w:val="00EB2183"/>
    <w:rsid w:val="00EB2235"/>
    <w:rsid w:val="00EB2633"/>
    <w:rsid w:val="00EB2800"/>
    <w:rsid w:val="00EB28DD"/>
    <w:rsid w:val="00EB2DC6"/>
    <w:rsid w:val="00EB2EB0"/>
    <w:rsid w:val="00EB302B"/>
    <w:rsid w:val="00EB3032"/>
    <w:rsid w:val="00EB35A8"/>
    <w:rsid w:val="00EB3814"/>
    <w:rsid w:val="00EB39D4"/>
    <w:rsid w:val="00EB3AB0"/>
    <w:rsid w:val="00EB3D99"/>
    <w:rsid w:val="00EB3DC6"/>
    <w:rsid w:val="00EB43E7"/>
    <w:rsid w:val="00EB471D"/>
    <w:rsid w:val="00EB476E"/>
    <w:rsid w:val="00EB48AD"/>
    <w:rsid w:val="00EB4B01"/>
    <w:rsid w:val="00EB4C01"/>
    <w:rsid w:val="00EB4C54"/>
    <w:rsid w:val="00EB4C7C"/>
    <w:rsid w:val="00EB4CD5"/>
    <w:rsid w:val="00EB4CDF"/>
    <w:rsid w:val="00EB4F43"/>
    <w:rsid w:val="00EB5123"/>
    <w:rsid w:val="00EB5565"/>
    <w:rsid w:val="00EB55EB"/>
    <w:rsid w:val="00EB5748"/>
    <w:rsid w:val="00EB5854"/>
    <w:rsid w:val="00EB5CD2"/>
    <w:rsid w:val="00EB62A5"/>
    <w:rsid w:val="00EB6413"/>
    <w:rsid w:val="00EB6430"/>
    <w:rsid w:val="00EB6437"/>
    <w:rsid w:val="00EB6486"/>
    <w:rsid w:val="00EB6594"/>
    <w:rsid w:val="00EB67BE"/>
    <w:rsid w:val="00EB68A7"/>
    <w:rsid w:val="00EB6973"/>
    <w:rsid w:val="00EB6C51"/>
    <w:rsid w:val="00EB6C93"/>
    <w:rsid w:val="00EB7001"/>
    <w:rsid w:val="00EB72E7"/>
    <w:rsid w:val="00EB73ED"/>
    <w:rsid w:val="00EB7559"/>
    <w:rsid w:val="00EB786E"/>
    <w:rsid w:val="00EB7C61"/>
    <w:rsid w:val="00EB7F83"/>
    <w:rsid w:val="00EC0086"/>
    <w:rsid w:val="00EC0265"/>
    <w:rsid w:val="00EC055B"/>
    <w:rsid w:val="00EC0698"/>
    <w:rsid w:val="00EC08B9"/>
    <w:rsid w:val="00EC0902"/>
    <w:rsid w:val="00EC099A"/>
    <w:rsid w:val="00EC0A48"/>
    <w:rsid w:val="00EC0B40"/>
    <w:rsid w:val="00EC0C6D"/>
    <w:rsid w:val="00EC0CEA"/>
    <w:rsid w:val="00EC0F0E"/>
    <w:rsid w:val="00EC0F43"/>
    <w:rsid w:val="00EC1186"/>
    <w:rsid w:val="00EC137B"/>
    <w:rsid w:val="00EC13ED"/>
    <w:rsid w:val="00EC1531"/>
    <w:rsid w:val="00EC1859"/>
    <w:rsid w:val="00EC1860"/>
    <w:rsid w:val="00EC1FDF"/>
    <w:rsid w:val="00EC203D"/>
    <w:rsid w:val="00EC203F"/>
    <w:rsid w:val="00EC2A33"/>
    <w:rsid w:val="00EC2AED"/>
    <w:rsid w:val="00EC2BAA"/>
    <w:rsid w:val="00EC2DA2"/>
    <w:rsid w:val="00EC2E2E"/>
    <w:rsid w:val="00EC3205"/>
    <w:rsid w:val="00EC3957"/>
    <w:rsid w:val="00EC3DC7"/>
    <w:rsid w:val="00EC3F90"/>
    <w:rsid w:val="00EC4062"/>
    <w:rsid w:val="00EC4197"/>
    <w:rsid w:val="00EC4213"/>
    <w:rsid w:val="00EC4408"/>
    <w:rsid w:val="00EC45D8"/>
    <w:rsid w:val="00EC469A"/>
    <w:rsid w:val="00EC4858"/>
    <w:rsid w:val="00EC4A27"/>
    <w:rsid w:val="00EC4B53"/>
    <w:rsid w:val="00EC50A3"/>
    <w:rsid w:val="00EC540E"/>
    <w:rsid w:val="00EC5444"/>
    <w:rsid w:val="00EC5697"/>
    <w:rsid w:val="00EC575B"/>
    <w:rsid w:val="00EC5A3F"/>
    <w:rsid w:val="00EC5B53"/>
    <w:rsid w:val="00EC5B75"/>
    <w:rsid w:val="00EC5C82"/>
    <w:rsid w:val="00EC5D83"/>
    <w:rsid w:val="00EC60D1"/>
    <w:rsid w:val="00EC62A4"/>
    <w:rsid w:val="00EC64A3"/>
    <w:rsid w:val="00EC64CE"/>
    <w:rsid w:val="00EC650C"/>
    <w:rsid w:val="00EC69B1"/>
    <w:rsid w:val="00EC6CFD"/>
    <w:rsid w:val="00EC6D1D"/>
    <w:rsid w:val="00EC7151"/>
    <w:rsid w:val="00EC71C1"/>
    <w:rsid w:val="00EC7378"/>
    <w:rsid w:val="00EC75DB"/>
    <w:rsid w:val="00EC7B84"/>
    <w:rsid w:val="00EC7C82"/>
    <w:rsid w:val="00EC7EE8"/>
    <w:rsid w:val="00EC7F73"/>
    <w:rsid w:val="00ED0294"/>
    <w:rsid w:val="00ED0409"/>
    <w:rsid w:val="00ED07CF"/>
    <w:rsid w:val="00ED0A11"/>
    <w:rsid w:val="00ED0C18"/>
    <w:rsid w:val="00ED0C4B"/>
    <w:rsid w:val="00ED0DAE"/>
    <w:rsid w:val="00ED0E67"/>
    <w:rsid w:val="00ED111A"/>
    <w:rsid w:val="00ED1211"/>
    <w:rsid w:val="00ED12D2"/>
    <w:rsid w:val="00ED12F0"/>
    <w:rsid w:val="00ED1471"/>
    <w:rsid w:val="00ED1855"/>
    <w:rsid w:val="00ED1D4D"/>
    <w:rsid w:val="00ED22A4"/>
    <w:rsid w:val="00ED2B2D"/>
    <w:rsid w:val="00ED2BCA"/>
    <w:rsid w:val="00ED2D97"/>
    <w:rsid w:val="00ED2E4F"/>
    <w:rsid w:val="00ED2FCE"/>
    <w:rsid w:val="00ED332A"/>
    <w:rsid w:val="00ED33B0"/>
    <w:rsid w:val="00ED352C"/>
    <w:rsid w:val="00ED35B6"/>
    <w:rsid w:val="00ED3627"/>
    <w:rsid w:val="00ED362A"/>
    <w:rsid w:val="00ED3900"/>
    <w:rsid w:val="00ED3A53"/>
    <w:rsid w:val="00ED3EB4"/>
    <w:rsid w:val="00ED4056"/>
    <w:rsid w:val="00ED4062"/>
    <w:rsid w:val="00ED4555"/>
    <w:rsid w:val="00ED47E5"/>
    <w:rsid w:val="00ED4804"/>
    <w:rsid w:val="00ED4882"/>
    <w:rsid w:val="00ED4889"/>
    <w:rsid w:val="00ED4A64"/>
    <w:rsid w:val="00ED4B2A"/>
    <w:rsid w:val="00ED4C50"/>
    <w:rsid w:val="00ED5093"/>
    <w:rsid w:val="00ED5137"/>
    <w:rsid w:val="00ED52CD"/>
    <w:rsid w:val="00ED5518"/>
    <w:rsid w:val="00ED5683"/>
    <w:rsid w:val="00ED56A8"/>
    <w:rsid w:val="00ED5B61"/>
    <w:rsid w:val="00ED5C38"/>
    <w:rsid w:val="00ED5C49"/>
    <w:rsid w:val="00ED615B"/>
    <w:rsid w:val="00ED6230"/>
    <w:rsid w:val="00ED663A"/>
    <w:rsid w:val="00ED674B"/>
    <w:rsid w:val="00ED6920"/>
    <w:rsid w:val="00ED6BF5"/>
    <w:rsid w:val="00ED7E58"/>
    <w:rsid w:val="00ED7F86"/>
    <w:rsid w:val="00EE00BF"/>
    <w:rsid w:val="00EE0120"/>
    <w:rsid w:val="00EE061C"/>
    <w:rsid w:val="00EE07F4"/>
    <w:rsid w:val="00EE0A32"/>
    <w:rsid w:val="00EE0A74"/>
    <w:rsid w:val="00EE0ADE"/>
    <w:rsid w:val="00EE0B01"/>
    <w:rsid w:val="00EE0B86"/>
    <w:rsid w:val="00EE0C58"/>
    <w:rsid w:val="00EE0E63"/>
    <w:rsid w:val="00EE1127"/>
    <w:rsid w:val="00EE117D"/>
    <w:rsid w:val="00EE118C"/>
    <w:rsid w:val="00EE12B1"/>
    <w:rsid w:val="00EE1441"/>
    <w:rsid w:val="00EE1543"/>
    <w:rsid w:val="00EE1592"/>
    <w:rsid w:val="00EE1749"/>
    <w:rsid w:val="00EE1C06"/>
    <w:rsid w:val="00EE1D6C"/>
    <w:rsid w:val="00EE1D7F"/>
    <w:rsid w:val="00EE1E2C"/>
    <w:rsid w:val="00EE1E59"/>
    <w:rsid w:val="00EE1ECD"/>
    <w:rsid w:val="00EE27A8"/>
    <w:rsid w:val="00EE2824"/>
    <w:rsid w:val="00EE2DAC"/>
    <w:rsid w:val="00EE2E98"/>
    <w:rsid w:val="00EE3290"/>
    <w:rsid w:val="00EE3599"/>
    <w:rsid w:val="00EE35AD"/>
    <w:rsid w:val="00EE3614"/>
    <w:rsid w:val="00EE36F0"/>
    <w:rsid w:val="00EE3C0D"/>
    <w:rsid w:val="00EE3D6D"/>
    <w:rsid w:val="00EE3DC7"/>
    <w:rsid w:val="00EE41E3"/>
    <w:rsid w:val="00EE43F3"/>
    <w:rsid w:val="00EE4435"/>
    <w:rsid w:val="00EE4A85"/>
    <w:rsid w:val="00EE4BE4"/>
    <w:rsid w:val="00EE4D24"/>
    <w:rsid w:val="00EE51E3"/>
    <w:rsid w:val="00EE54A6"/>
    <w:rsid w:val="00EE5561"/>
    <w:rsid w:val="00EE55D8"/>
    <w:rsid w:val="00EE56E9"/>
    <w:rsid w:val="00EE5854"/>
    <w:rsid w:val="00EE5BD6"/>
    <w:rsid w:val="00EE5C4F"/>
    <w:rsid w:val="00EE5C63"/>
    <w:rsid w:val="00EE5DDE"/>
    <w:rsid w:val="00EE5E23"/>
    <w:rsid w:val="00EE5F34"/>
    <w:rsid w:val="00EE5F93"/>
    <w:rsid w:val="00EE5F94"/>
    <w:rsid w:val="00EE625D"/>
    <w:rsid w:val="00EE6338"/>
    <w:rsid w:val="00EE660C"/>
    <w:rsid w:val="00EE66B2"/>
    <w:rsid w:val="00EE67A3"/>
    <w:rsid w:val="00EE6D6C"/>
    <w:rsid w:val="00EE6DDD"/>
    <w:rsid w:val="00EE72C8"/>
    <w:rsid w:val="00EE7733"/>
    <w:rsid w:val="00EE78DA"/>
    <w:rsid w:val="00EE7D62"/>
    <w:rsid w:val="00EE7E24"/>
    <w:rsid w:val="00EE7E3F"/>
    <w:rsid w:val="00EF01FE"/>
    <w:rsid w:val="00EF03E9"/>
    <w:rsid w:val="00EF07D7"/>
    <w:rsid w:val="00EF085F"/>
    <w:rsid w:val="00EF0870"/>
    <w:rsid w:val="00EF0B25"/>
    <w:rsid w:val="00EF0BDD"/>
    <w:rsid w:val="00EF0D39"/>
    <w:rsid w:val="00EF0D6B"/>
    <w:rsid w:val="00EF0DDF"/>
    <w:rsid w:val="00EF120E"/>
    <w:rsid w:val="00EF159A"/>
    <w:rsid w:val="00EF16A3"/>
    <w:rsid w:val="00EF1953"/>
    <w:rsid w:val="00EF19EF"/>
    <w:rsid w:val="00EF1B58"/>
    <w:rsid w:val="00EF1B61"/>
    <w:rsid w:val="00EF1DDD"/>
    <w:rsid w:val="00EF1FC3"/>
    <w:rsid w:val="00EF2601"/>
    <w:rsid w:val="00EF2744"/>
    <w:rsid w:val="00EF2B77"/>
    <w:rsid w:val="00EF2E4E"/>
    <w:rsid w:val="00EF2F39"/>
    <w:rsid w:val="00EF303E"/>
    <w:rsid w:val="00EF3078"/>
    <w:rsid w:val="00EF3444"/>
    <w:rsid w:val="00EF3491"/>
    <w:rsid w:val="00EF34CE"/>
    <w:rsid w:val="00EF3695"/>
    <w:rsid w:val="00EF3784"/>
    <w:rsid w:val="00EF382F"/>
    <w:rsid w:val="00EF3AE6"/>
    <w:rsid w:val="00EF3E45"/>
    <w:rsid w:val="00EF3EB1"/>
    <w:rsid w:val="00EF3F79"/>
    <w:rsid w:val="00EF416A"/>
    <w:rsid w:val="00EF420B"/>
    <w:rsid w:val="00EF46C0"/>
    <w:rsid w:val="00EF48D3"/>
    <w:rsid w:val="00EF4EBE"/>
    <w:rsid w:val="00EF5483"/>
    <w:rsid w:val="00EF5766"/>
    <w:rsid w:val="00EF5958"/>
    <w:rsid w:val="00EF5CEF"/>
    <w:rsid w:val="00EF60AE"/>
    <w:rsid w:val="00EF65C7"/>
    <w:rsid w:val="00EF65E3"/>
    <w:rsid w:val="00EF6A6F"/>
    <w:rsid w:val="00EF6A9C"/>
    <w:rsid w:val="00EF6B8C"/>
    <w:rsid w:val="00EF6C8E"/>
    <w:rsid w:val="00EF6E49"/>
    <w:rsid w:val="00EF70AE"/>
    <w:rsid w:val="00EF70F0"/>
    <w:rsid w:val="00EF71F1"/>
    <w:rsid w:val="00EF7319"/>
    <w:rsid w:val="00EF74E5"/>
    <w:rsid w:val="00EF7772"/>
    <w:rsid w:val="00EF7981"/>
    <w:rsid w:val="00EF7B75"/>
    <w:rsid w:val="00F000C0"/>
    <w:rsid w:val="00F000C3"/>
    <w:rsid w:val="00F001CD"/>
    <w:rsid w:val="00F003A2"/>
    <w:rsid w:val="00F00488"/>
    <w:rsid w:val="00F005E3"/>
    <w:rsid w:val="00F006AF"/>
    <w:rsid w:val="00F0084B"/>
    <w:rsid w:val="00F008E7"/>
    <w:rsid w:val="00F00B62"/>
    <w:rsid w:val="00F00DDA"/>
    <w:rsid w:val="00F00E36"/>
    <w:rsid w:val="00F011CE"/>
    <w:rsid w:val="00F0124F"/>
    <w:rsid w:val="00F01499"/>
    <w:rsid w:val="00F016B6"/>
    <w:rsid w:val="00F01E8D"/>
    <w:rsid w:val="00F021B5"/>
    <w:rsid w:val="00F02498"/>
    <w:rsid w:val="00F02858"/>
    <w:rsid w:val="00F02A80"/>
    <w:rsid w:val="00F02AC7"/>
    <w:rsid w:val="00F02B5C"/>
    <w:rsid w:val="00F02B82"/>
    <w:rsid w:val="00F02C43"/>
    <w:rsid w:val="00F02E5F"/>
    <w:rsid w:val="00F02E70"/>
    <w:rsid w:val="00F03026"/>
    <w:rsid w:val="00F03260"/>
    <w:rsid w:val="00F03267"/>
    <w:rsid w:val="00F033D3"/>
    <w:rsid w:val="00F03696"/>
    <w:rsid w:val="00F03866"/>
    <w:rsid w:val="00F03992"/>
    <w:rsid w:val="00F03B36"/>
    <w:rsid w:val="00F03ED3"/>
    <w:rsid w:val="00F03F9B"/>
    <w:rsid w:val="00F03FC2"/>
    <w:rsid w:val="00F04070"/>
    <w:rsid w:val="00F047E3"/>
    <w:rsid w:val="00F049A3"/>
    <w:rsid w:val="00F049F7"/>
    <w:rsid w:val="00F04A8B"/>
    <w:rsid w:val="00F04FE3"/>
    <w:rsid w:val="00F051A5"/>
    <w:rsid w:val="00F0535E"/>
    <w:rsid w:val="00F05415"/>
    <w:rsid w:val="00F05D65"/>
    <w:rsid w:val="00F05DFC"/>
    <w:rsid w:val="00F05E65"/>
    <w:rsid w:val="00F05E80"/>
    <w:rsid w:val="00F06280"/>
    <w:rsid w:val="00F063EF"/>
    <w:rsid w:val="00F06450"/>
    <w:rsid w:val="00F06487"/>
    <w:rsid w:val="00F065D6"/>
    <w:rsid w:val="00F065EA"/>
    <w:rsid w:val="00F06682"/>
    <w:rsid w:val="00F068D0"/>
    <w:rsid w:val="00F068F6"/>
    <w:rsid w:val="00F06945"/>
    <w:rsid w:val="00F06C2B"/>
    <w:rsid w:val="00F06D16"/>
    <w:rsid w:val="00F06E5C"/>
    <w:rsid w:val="00F06EDD"/>
    <w:rsid w:val="00F070B0"/>
    <w:rsid w:val="00F0747A"/>
    <w:rsid w:val="00F074DE"/>
    <w:rsid w:val="00F07890"/>
    <w:rsid w:val="00F07A08"/>
    <w:rsid w:val="00F07FAF"/>
    <w:rsid w:val="00F1006D"/>
    <w:rsid w:val="00F10478"/>
    <w:rsid w:val="00F10684"/>
    <w:rsid w:val="00F109DC"/>
    <w:rsid w:val="00F10F5A"/>
    <w:rsid w:val="00F1113E"/>
    <w:rsid w:val="00F111DD"/>
    <w:rsid w:val="00F11281"/>
    <w:rsid w:val="00F11298"/>
    <w:rsid w:val="00F112E1"/>
    <w:rsid w:val="00F115B1"/>
    <w:rsid w:val="00F115FC"/>
    <w:rsid w:val="00F1161C"/>
    <w:rsid w:val="00F11625"/>
    <w:rsid w:val="00F11729"/>
    <w:rsid w:val="00F1185F"/>
    <w:rsid w:val="00F120A1"/>
    <w:rsid w:val="00F120E8"/>
    <w:rsid w:val="00F123F0"/>
    <w:rsid w:val="00F12404"/>
    <w:rsid w:val="00F125B3"/>
    <w:rsid w:val="00F1274F"/>
    <w:rsid w:val="00F127DC"/>
    <w:rsid w:val="00F12845"/>
    <w:rsid w:val="00F12869"/>
    <w:rsid w:val="00F12895"/>
    <w:rsid w:val="00F12979"/>
    <w:rsid w:val="00F12AC0"/>
    <w:rsid w:val="00F12B3A"/>
    <w:rsid w:val="00F12D80"/>
    <w:rsid w:val="00F12EE8"/>
    <w:rsid w:val="00F13180"/>
    <w:rsid w:val="00F13286"/>
    <w:rsid w:val="00F135FB"/>
    <w:rsid w:val="00F138A6"/>
    <w:rsid w:val="00F13A82"/>
    <w:rsid w:val="00F13AB4"/>
    <w:rsid w:val="00F13BE3"/>
    <w:rsid w:val="00F13DB7"/>
    <w:rsid w:val="00F13F4B"/>
    <w:rsid w:val="00F143F8"/>
    <w:rsid w:val="00F14504"/>
    <w:rsid w:val="00F14805"/>
    <w:rsid w:val="00F148D3"/>
    <w:rsid w:val="00F14AFF"/>
    <w:rsid w:val="00F15037"/>
    <w:rsid w:val="00F153C2"/>
    <w:rsid w:val="00F15BD8"/>
    <w:rsid w:val="00F15CDF"/>
    <w:rsid w:val="00F15CFD"/>
    <w:rsid w:val="00F15E6F"/>
    <w:rsid w:val="00F15EC0"/>
    <w:rsid w:val="00F16691"/>
    <w:rsid w:val="00F166BF"/>
    <w:rsid w:val="00F16B2B"/>
    <w:rsid w:val="00F1702A"/>
    <w:rsid w:val="00F17240"/>
    <w:rsid w:val="00F1743A"/>
    <w:rsid w:val="00F1757C"/>
    <w:rsid w:val="00F17612"/>
    <w:rsid w:val="00F1768A"/>
    <w:rsid w:val="00F177E0"/>
    <w:rsid w:val="00F17951"/>
    <w:rsid w:val="00F17A21"/>
    <w:rsid w:val="00F17CBF"/>
    <w:rsid w:val="00F17F09"/>
    <w:rsid w:val="00F17FC8"/>
    <w:rsid w:val="00F1D9B7"/>
    <w:rsid w:val="00F20120"/>
    <w:rsid w:val="00F202A3"/>
    <w:rsid w:val="00F20501"/>
    <w:rsid w:val="00F205E4"/>
    <w:rsid w:val="00F207A7"/>
    <w:rsid w:val="00F20B98"/>
    <w:rsid w:val="00F20BD6"/>
    <w:rsid w:val="00F20E59"/>
    <w:rsid w:val="00F20EA1"/>
    <w:rsid w:val="00F20F2B"/>
    <w:rsid w:val="00F213DF"/>
    <w:rsid w:val="00F214D6"/>
    <w:rsid w:val="00F215A7"/>
    <w:rsid w:val="00F215DD"/>
    <w:rsid w:val="00F2160B"/>
    <w:rsid w:val="00F21707"/>
    <w:rsid w:val="00F219CB"/>
    <w:rsid w:val="00F21AA7"/>
    <w:rsid w:val="00F21ADD"/>
    <w:rsid w:val="00F21AE8"/>
    <w:rsid w:val="00F229DE"/>
    <w:rsid w:val="00F22ACA"/>
    <w:rsid w:val="00F22B34"/>
    <w:rsid w:val="00F22D4F"/>
    <w:rsid w:val="00F22DCC"/>
    <w:rsid w:val="00F22F97"/>
    <w:rsid w:val="00F23300"/>
    <w:rsid w:val="00F23325"/>
    <w:rsid w:val="00F23518"/>
    <w:rsid w:val="00F23B24"/>
    <w:rsid w:val="00F23D71"/>
    <w:rsid w:val="00F244BE"/>
    <w:rsid w:val="00F245CE"/>
    <w:rsid w:val="00F2499F"/>
    <w:rsid w:val="00F24A1F"/>
    <w:rsid w:val="00F24A8B"/>
    <w:rsid w:val="00F25094"/>
    <w:rsid w:val="00F251DD"/>
    <w:rsid w:val="00F2536F"/>
    <w:rsid w:val="00F253FB"/>
    <w:rsid w:val="00F25686"/>
    <w:rsid w:val="00F256F7"/>
    <w:rsid w:val="00F257A7"/>
    <w:rsid w:val="00F257F1"/>
    <w:rsid w:val="00F25AE6"/>
    <w:rsid w:val="00F25B65"/>
    <w:rsid w:val="00F25C6F"/>
    <w:rsid w:val="00F25E58"/>
    <w:rsid w:val="00F25EEF"/>
    <w:rsid w:val="00F25FB6"/>
    <w:rsid w:val="00F260D7"/>
    <w:rsid w:val="00F260EA"/>
    <w:rsid w:val="00F264AB"/>
    <w:rsid w:val="00F2681A"/>
    <w:rsid w:val="00F2682C"/>
    <w:rsid w:val="00F26884"/>
    <w:rsid w:val="00F2694A"/>
    <w:rsid w:val="00F26B45"/>
    <w:rsid w:val="00F26BD7"/>
    <w:rsid w:val="00F26C30"/>
    <w:rsid w:val="00F26D3B"/>
    <w:rsid w:val="00F26EE5"/>
    <w:rsid w:val="00F272FF"/>
    <w:rsid w:val="00F273B9"/>
    <w:rsid w:val="00F274AA"/>
    <w:rsid w:val="00F274CC"/>
    <w:rsid w:val="00F27B07"/>
    <w:rsid w:val="00F27B96"/>
    <w:rsid w:val="00F27C69"/>
    <w:rsid w:val="00F27D79"/>
    <w:rsid w:val="00F30179"/>
    <w:rsid w:val="00F301BA"/>
    <w:rsid w:val="00F301FF"/>
    <w:rsid w:val="00F30760"/>
    <w:rsid w:val="00F30B55"/>
    <w:rsid w:val="00F30B85"/>
    <w:rsid w:val="00F30FA7"/>
    <w:rsid w:val="00F3138B"/>
    <w:rsid w:val="00F3172B"/>
    <w:rsid w:val="00F319A9"/>
    <w:rsid w:val="00F31C10"/>
    <w:rsid w:val="00F3202C"/>
    <w:rsid w:val="00F32129"/>
    <w:rsid w:val="00F32538"/>
    <w:rsid w:val="00F32557"/>
    <w:rsid w:val="00F32597"/>
    <w:rsid w:val="00F325CE"/>
    <w:rsid w:val="00F3277F"/>
    <w:rsid w:val="00F32830"/>
    <w:rsid w:val="00F3296D"/>
    <w:rsid w:val="00F32A09"/>
    <w:rsid w:val="00F32A2F"/>
    <w:rsid w:val="00F32B0E"/>
    <w:rsid w:val="00F32B17"/>
    <w:rsid w:val="00F32FCD"/>
    <w:rsid w:val="00F3307D"/>
    <w:rsid w:val="00F330B3"/>
    <w:rsid w:val="00F33257"/>
    <w:rsid w:val="00F3327C"/>
    <w:rsid w:val="00F332A9"/>
    <w:rsid w:val="00F33671"/>
    <w:rsid w:val="00F33BBD"/>
    <w:rsid w:val="00F33F05"/>
    <w:rsid w:val="00F3431C"/>
    <w:rsid w:val="00F34484"/>
    <w:rsid w:val="00F34D09"/>
    <w:rsid w:val="00F34DD7"/>
    <w:rsid w:val="00F34EEF"/>
    <w:rsid w:val="00F34FC9"/>
    <w:rsid w:val="00F351EE"/>
    <w:rsid w:val="00F353F4"/>
    <w:rsid w:val="00F353F8"/>
    <w:rsid w:val="00F35AF5"/>
    <w:rsid w:val="00F35D6F"/>
    <w:rsid w:val="00F360DA"/>
    <w:rsid w:val="00F36382"/>
    <w:rsid w:val="00F36499"/>
    <w:rsid w:val="00F367AB"/>
    <w:rsid w:val="00F368D3"/>
    <w:rsid w:val="00F36978"/>
    <w:rsid w:val="00F36A2A"/>
    <w:rsid w:val="00F36B27"/>
    <w:rsid w:val="00F36BA3"/>
    <w:rsid w:val="00F37546"/>
    <w:rsid w:val="00F37833"/>
    <w:rsid w:val="00F378E4"/>
    <w:rsid w:val="00F401F7"/>
    <w:rsid w:val="00F4020C"/>
    <w:rsid w:val="00F4027C"/>
    <w:rsid w:val="00F40321"/>
    <w:rsid w:val="00F406D4"/>
    <w:rsid w:val="00F40A01"/>
    <w:rsid w:val="00F40A0C"/>
    <w:rsid w:val="00F40A59"/>
    <w:rsid w:val="00F40B17"/>
    <w:rsid w:val="00F40BB3"/>
    <w:rsid w:val="00F40E99"/>
    <w:rsid w:val="00F4127B"/>
    <w:rsid w:val="00F4142E"/>
    <w:rsid w:val="00F415A8"/>
    <w:rsid w:val="00F418CF"/>
    <w:rsid w:val="00F41A69"/>
    <w:rsid w:val="00F41E63"/>
    <w:rsid w:val="00F42317"/>
    <w:rsid w:val="00F42424"/>
    <w:rsid w:val="00F4251C"/>
    <w:rsid w:val="00F425D1"/>
    <w:rsid w:val="00F42616"/>
    <w:rsid w:val="00F426D1"/>
    <w:rsid w:val="00F429AC"/>
    <w:rsid w:val="00F42AB6"/>
    <w:rsid w:val="00F42CC3"/>
    <w:rsid w:val="00F42D76"/>
    <w:rsid w:val="00F430D6"/>
    <w:rsid w:val="00F43276"/>
    <w:rsid w:val="00F43C1B"/>
    <w:rsid w:val="00F43C9E"/>
    <w:rsid w:val="00F43E94"/>
    <w:rsid w:val="00F43ECA"/>
    <w:rsid w:val="00F44037"/>
    <w:rsid w:val="00F4413A"/>
    <w:rsid w:val="00F445C5"/>
    <w:rsid w:val="00F4482A"/>
    <w:rsid w:val="00F448F2"/>
    <w:rsid w:val="00F44BE6"/>
    <w:rsid w:val="00F44E82"/>
    <w:rsid w:val="00F452DB"/>
    <w:rsid w:val="00F45542"/>
    <w:rsid w:val="00F457A5"/>
    <w:rsid w:val="00F4598E"/>
    <w:rsid w:val="00F45A5E"/>
    <w:rsid w:val="00F45AB7"/>
    <w:rsid w:val="00F45B7F"/>
    <w:rsid w:val="00F45DC1"/>
    <w:rsid w:val="00F45F6C"/>
    <w:rsid w:val="00F460FA"/>
    <w:rsid w:val="00F467D9"/>
    <w:rsid w:val="00F46874"/>
    <w:rsid w:val="00F4691A"/>
    <w:rsid w:val="00F46A21"/>
    <w:rsid w:val="00F47483"/>
    <w:rsid w:val="00F479BD"/>
    <w:rsid w:val="00F5004C"/>
    <w:rsid w:val="00F50138"/>
    <w:rsid w:val="00F50139"/>
    <w:rsid w:val="00F5026A"/>
    <w:rsid w:val="00F504FD"/>
    <w:rsid w:val="00F5082B"/>
    <w:rsid w:val="00F50A8B"/>
    <w:rsid w:val="00F50B06"/>
    <w:rsid w:val="00F50CD3"/>
    <w:rsid w:val="00F50DE6"/>
    <w:rsid w:val="00F50F77"/>
    <w:rsid w:val="00F51126"/>
    <w:rsid w:val="00F5122E"/>
    <w:rsid w:val="00F51251"/>
    <w:rsid w:val="00F51592"/>
    <w:rsid w:val="00F515F9"/>
    <w:rsid w:val="00F51BFA"/>
    <w:rsid w:val="00F51D4C"/>
    <w:rsid w:val="00F51E8C"/>
    <w:rsid w:val="00F5203B"/>
    <w:rsid w:val="00F52390"/>
    <w:rsid w:val="00F5253E"/>
    <w:rsid w:val="00F52744"/>
    <w:rsid w:val="00F528CC"/>
    <w:rsid w:val="00F52DE9"/>
    <w:rsid w:val="00F5309F"/>
    <w:rsid w:val="00F53466"/>
    <w:rsid w:val="00F534BA"/>
    <w:rsid w:val="00F53548"/>
    <w:rsid w:val="00F54192"/>
    <w:rsid w:val="00F54351"/>
    <w:rsid w:val="00F54848"/>
    <w:rsid w:val="00F549CB"/>
    <w:rsid w:val="00F54A62"/>
    <w:rsid w:val="00F5549F"/>
    <w:rsid w:val="00F5555F"/>
    <w:rsid w:val="00F556CE"/>
    <w:rsid w:val="00F55845"/>
    <w:rsid w:val="00F55903"/>
    <w:rsid w:val="00F55A26"/>
    <w:rsid w:val="00F55A93"/>
    <w:rsid w:val="00F55C56"/>
    <w:rsid w:val="00F55C59"/>
    <w:rsid w:val="00F55CAA"/>
    <w:rsid w:val="00F55F9D"/>
    <w:rsid w:val="00F560FD"/>
    <w:rsid w:val="00F56111"/>
    <w:rsid w:val="00F561F2"/>
    <w:rsid w:val="00F56256"/>
    <w:rsid w:val="00F562F0"/>
    <w:rsid w:val="00F56BB0"/>
    <w:rsid w:val="00F56BC6"/>
    <w:rsid w:val="00F5702A"/>
    <w:rsid w:val="00F57061"/>
    <w:rsid w:val="00F57075"/>
    <w:rsid w:val="00F571F3"/>
    <w:rsid w:val="00F576D6"/>
    <w:rsid w:val="00F57762"/>
    <w:rsid w:val="00F57B08"/>
    <w:rsid w:val="00F57D2E"/>
    <w:rsid w:val="00F60137"/>
    <w:rsid w:val="00F6019F"/>
    <w:rsid w:val="00F602C4"/>
    <w:rsid w:val="00F604DE"/>
    <w:rsid w:val="00F60AD8"/>
    <w:rsid w:val="00F60C21"/>
    <w:rsid w:val="00F60C34"/>
    <w:rsid w:val="00F60C73"/>
    <w:rsid w:val="00F60CA6"/>
    <w:rsid w:val="00F60D16"/>
    <w:rsid w:val="00F60E50"/>
    <w:rsid w:val="00F60EF6"/>
    <w:rsid w:val="00F611C0"/>
    <w:rsid w:val="00F612B9"/>
    <w:rsid w:val="00F61481"/>
    <w:rsid w:val="00F614E3"/>
    <w:rsid w:val="00F6165C"/>
    <w:rsid w:val="00F6168A"/>
    <w:rsid w:val="00F61887"/>
    <w:rsid w:val="00F6190C"/>
    <w:rsid w:val="00F61CC4"/>
    <w:rsid w:val="00F62055"/>
    <w:rsid w:val="00F6216F"/>
    <w:rsid w:val="00F62461"/>
    <w:rsid w:val="00F625D5"/>
    <w:rsid w:val="00F627EC"/>
    <w:rsid w:val="00F62A3E"/>
    <w:rsid w:val="00F62A71"/>
    <w:rsid w:val="00F62CCE"/>
    <w:rsid w:val="00F62E7D"/>
    <w:rsid w:val="00F6300E"/>
    <w:rsid w:val="00F6305B"/>
    <w:rsid w:val="00F630C2"/>
    <w:rsid w:val="00F630E5"/>
    <w:rsid w:val="00F63207"/>
    <w:rsid w:val="00F63267"/>
    <w:rsid w:val="00F6326E"/>
    <w:rsid w:val="00F633F0"/>
    <w:rsid w:val="00F634D5"/>
    <w:rsid w:val="00F634FC"/>
    <w:rsid w:val="00F63529"/>
    <w:rsid w:val="00F6358C"/>
    <w:rsid w:val="00F63698"/>
    <w:rsid w:val="00F6390C"/>
    <w:rsid w:val="00F63956"/>
    <w:rsid w:val="00F63A5A"/>
    <w:rsid w:val="00F63F0A"/>
    <w:rsid w:val="00F641D5"/>
    <w:rsid w:val="00F643A2"/>
    <w:rsid w:val="00F645EC"/>
    <w:rsid w:val="00F645FA"/>
    <w:rsid w:val="00F64ABD"/>
    <w:rsid w:val="00F64F0E"/>
    <w:rsid w:val="00F65108"/>
    <w:rsid w:val="00F651B4"/>
    <w:rsid w:val="00F652D7"/>
    <w:rsid w:val="00F653B9"/>
    <w:rsid w:val="00F65458"/>
    <w:rsid w:val="00F654FB"/>
    <w:rsid w:val="00F65567"/>
    <w:rsid w:val="00F656F2"/>
    <w:rsid w:val="00F65807"/>
    <w:rsid w:val="00F6580F"/>
    <w:rsid w:val="00F65AC9"/>
    <w:rsid w:val="00F65EC5"/>
    <w:rsid w:val="00F65F4C"/>
    <w:rsid w:val="00F66298"/>
    <w:rsid w:val="00F66700"/>
    <w:rsid w:val="00F6670C"/>
    <w:rsid w:val="00F66923"/>
    <w:rsid w:val="00F66933"/>
    <w:rsid w:val="00F6694E"/>
    <w:rsid w:val="00F66C03"/>
    <w:rsid w:val="00F66D17"/>
    <w:rsid w:val="00F66E45"/>
    <w:rsid w:val="00F6711F"/>
    <w:rsid w:val="00F6714B"/>
    <w:rsid w:val="00F67171"/>
    <w:rsid w:val="00F673C9"/>
    <w:rsid w:val="00F67C04"/>
    <w:rsid w:val="00F67C4D"/>
    <w:rsid w:val="00F67D74"/>
    <w:rsid w:val="00F67DE2"/>
    <w:rsid w:val="00F67E03"/>
    <w:rsid w:val="00F67F6B"/>
    <w:rsid w:val="00F67FD3"/>
    <w:rsid w:val="00F7028A"/>
    <w:rsid w:val="00F70C1B"/>
    <w:rsid w:val="00F70F91"/>
    <w:rsid w:val="00F71532"/>
    <w:rsid w:val="00F71540"/>
    <w:rsid w:val="00F7165D"/>
    <w:rsid w:val="00F719CC"/>
    <w:rsid w:val="00F71B3E"/>
    <w:rsid w:val="00F71EA3"/>
    <w:rsid w:val="00F72038"/>
    <w:rsid w:val="00F72124"/>
    <w:rsid w:val="00F72142"/>
    <w:rsid w:val="00F725FD"/>
    <w:rsid w:val="00F72693"/>
    <w:rsid w:val="00F72715"/>
    <w:rsid w:val="00F72725"/>
    <w:rsid w:val="00F727D6"/>
    <w:rsid w:val="00F72A92"/>
    <w:rsid w:val="00F72AD5"/>
    <w:rsid w:val="00F72CFB"/>
    <w:rsid w:val="00F7307E"/>
    <w:rsid w:val="00F73109"/>
    <w:rsid w:val="00F732B9"/>
    <w:rsid w:val="00F732C5"/>
    <w:rsid w:val="00F738A5"/>
    <w:rsid w:val="00F73953"/>
    <w:rsid w:val="00F73B8E"/>
    <w:rsid w:val="00F74072"/>
    <w:rsid w:val="00F741F1"/>
    <w:rsid w:val="00F7427A"/>
    <w:rsid w:val="00F74D87"/>
    <w:rsid w:val="00F74E25"/>
    <w:rsid w:val="00F750C8"/>
    <w:rsid w:val="00F752B2"/>
    <w:rsid w:val="00F7531A"/>
    <w:rsid w:val="00F75D12"/>
    <w:rsid w:val="00F75E16"/>
    <w:rsid w:val="00F75EA5"/>
    <w:rsid w:val="00F75F15"/>
    <w:rsid w:val="00F761A0"/>
    <w:rsid w:val="00F76253"/>
    <w:rsid w:val="00F7639B"/>
    <w:rsid w:val="00F76482"/>
    <w:rsid w:val="00F765FF"/>
    <w:rsid w:val="00F76757"/>
    <w:rsid w:val="00F769F8"/>
    <w:rsid w:val="00F769F9"/>
    <w:rsid w:val="00F76B30"/>
    <w:rsid w:val="00F76B5C"/>
    <w:rsid w:val="00F7703C"/>
    <w:rsid w:val="00F77077"/>
    <w:rsid w:val="00F7741C"/>
    <w:rsid w:val="00F77715"/>
    <w:rsid w:val="00F77847"/>
    <w:rsid w:val="00F77910"/>
    <w:rsid w:val="00F77A15"/>
    <w:rsid w:val="00F77B27"/>
    <w:rsid w:val="00F77EF0"/>
    <w:rsid w:val="00F8005E"/>
    <w:rsid w:val="00F800DE"/>
    <w:rsid w:val="00F80224"/>
    <w:rsid w:val="00F80378"/>
    <w:rsid w:val="00F8039E"/>
    <w:rsid w:val="00F80DEC"/>
    <w:rsid w:val="00F80E6E"/>
    <w:rsid w:val="00F80FA4"/>
    <w:rsid w:val="00F810EC"/>
    <w:rsid w:val="00F81115"/>
    <w:rsid w:val="00F818CC"/>
    <w:rsid w:val="00F81C6D"/>
    <w:rsid w:val="00F81E09"/>
    <w:rsid w:val="00F81F27"/>
    <w:rsid w:val="00F81F7E"/>
    <w:rsid w:val="00F81F81"/>
    <w:rsid w:val="00F820C6"/>
    <w:rsid w:val="00F822A8"/>
    <w:rsid w:val="00F822B6"/>
    <w:rsid w:val="00F8233B"/>
    <w:rsid w:val="00F824BB"/>
    <w:rsid w:val="00F826EE"/>
    <w:rsid w:val="00F826F0"/>
    <w:rsid w:val="00F8276B"/>
    <w:rsid w:val="00F82CE1"/>
    <w:rsid w:val="00F82D59"/>
    <w:rsid w:val="00F830C3"/>
    <w:rsid w:val="00F83230"/>
    <w:rsid w:val="00F8324C"/>
    <w:rsid w:val="00F84090"/>
    <w:rsid w:val="00F84306"/>
    <w:rsid w:val="00F84818"/>
    <w:rsid w:val="00F84947"/>
    <w:rsid w:val="00F849CD"/>
    <w:rsid w:val="00F84BF5"/>
    <w:rsid w:val="00F84CF7"/>
    <w:rsid w:val="00F84D71"/>
    <w:rsid w:val="00F84F49"/>
    <w:rsid w:val="00F85123"/>
    <w:rsid w:val="00F85340"/>
    <w:rsid w:val="00F8541C"/>
    <w:rsid w:val="00F85702"/>
    <w:rsid w:val="00F858B1"/>
    <w:rsid w:val="00F859C5"/>
    <w:rsid w:val="00F85A88"/>
    <w:rsid w:val="00F85D3A"/>
    <w:rsid w:val="00F85D8D"/>
    <w:rsid w:val="00F86103"/>
    <w:rsid w:val="00F86156"/>
    <w:rsid w:val="00F86172"/>
    <w:rsid w:val="00F86327"/>
    <w:rsid w:val="00F863A6"/>
    <w:rsid w:val="00F86441"/>
    <w:rsid w:val="00F865B0"/>
    <w:rsid w:val="00F865CA"/>
    <w:rsid w:val="00F8672C"/>
    <w:rsid w:val="00F8684F"/>
    <w:rsid w:val="00F86895"/>
    <w:rsid w:val="00F86AD9"/>
    <w:rsid w:val="00F86BFA"/>
    <w:rsid w:val="00F8701A"/>
    <w:rsid w:val="00F870AE"/>
    <w:rsid w:val="00F87183"/>
    <w:rsid w:val="00F87270"/>
    <w:rsid w:val="00F87563"/>
    <w:rsid w:val="00F8759D"/>
    <w:rsid w:val="00F875F3"/>
    <w:rsid w:val="00F87732"/>
    <w:rsid w:val="00F8779E"/>
    <w:rsid w:val="00F878DA"/>
    <w:rsid w:val="00F878F4"/>
    <w:rsid w:val="00F87AA5"/>
    <w:rsid w:val="00F87E2A"/>
    <w:rsid w:val="00F87F07"/>
    <w:rsid w:val="00F87F72"/>
    <w:rsid w:val="00F87FC6"/>
    <w:rsid w:val="00F87FDB"/>
    <w:rsid w:val="00F90234"/>
    <w:rsid w:val="00F90240"/>
    <w:rsid w:val="00F9028D"/>
    <w:rsid w:val="00F90292"/>
    <w:rsid w:val="00F9035C"/>
    <w:rsid w:val="00F906B4"/>
    <w:rsid w:val="00F9071D"/>
    <w:rsid w:val="00F909EC"/>
    <w:rsid w:val="00F90F99"/>
    <w:rsid w:val="00F91097"/>
    <w:rsid w:val="00F91327"/>
    <w:rsid w:val="00F9134B"/>
    <w:rsid w:val="00F91399"/>
    <w:rsid w:val="00F913AC"/>
    <w:rsid w:val="00F91499"/>
    <w:rsid w:val="00F917D1"/>
    <w:rsid w:val="00F918C5"/>
    <w:rsid w:val="00F918EB"/>
    <w:rsid w:val="00F91A16"/>
    <w:rsid w:val="00F91FDC"/>
    <w:rsid w:val="00F9217C"/>
    <w:rsid w:val="00F9221F"/>
    <w:rsid w:val="00F9226D"/>
    <w:rsid w:val="00F92762"/>
    <w:rsid w:val="00F927E7"/>
    <w:rsid w:val="00F92966"/>
    <w:rsid w:val="00F92B88"/>
    <w:rsid w:val="00F92C76"/>
    <w:rsid w:val="00F92DF6"/>
    <w:rsid w:val="00F92F63"/>
    <w:rsid w:val="00F92F83"/>
    <w:rsid w:val="00F93111"/>
    <w:rsid w:val="00F931E9"/>
    <w:rsid w:val="00F935C9"/>
    <w:rsid w:val="00F9393C"/>
    <w:rsid w:val="00F93DDA"/>
    <w:rsid w:val="00F93DE0"/>
    <w:rsid w:val="00F93FF6"/>
    <w:rsid w:val="00F94251"/>
    <w:rsid w:val="00F94430"/>
    <w:rsid w:val="00F946F0"/>
    <w:rsid w:val="00F948B0"/>
    <w:rsid w:val="00F94B38"/>
    <w:rsid w:val="00F94BC6"/>
    <w:rsid w:val="00F94BE1"/>
    <w:rsid w:val="00F95087"/>
    <w:rsid w:val="00F951DF"/>
    <w:rsid w:val="00F95395"/>
    <w:rsid w:val="00F95633"/>
    <w:rsid w:val="00F956B3"/>
    <w:rsid w:val="00F958EA"/>
    <w:rsid w:val="00F958EB"/>
    <w:rsid w:val="00F9590F"/>
    <w:rsid w:val="00F95C4A"/>
    <w:rsid w:val="00F96109"/>
    <w:rsid w:val="00F961BE"/>
    <w:rsid w:val="00F96204"/>
    <w:rsid w:val="00F96550"/>
    <w:rsid w:val="00F9676E"/>
    <w:rsid w:val="00F9679C"/>
    <w:rsid w:val="00F96817"/>
    <w:rsid w:val="00F96B4B"/>
    <w:rsid w:val="00F97102"/>
    <w:rsid w:val="00F971BC"/>
    <w:rsid w:val="00F9720F"/>
    <w:rsid w:val="00F972F1"/>
    <w:rsid w:val="00F977F1"/>
    <w:rsid w:val="00F97890"/>
    <w:rsid w:val="00F979C7"/>
    <w:rsid w:val="00F97B94"/>
    <w:rsid w:val="00F97C80"/>
    <w:rsid w:val="00F97FD8"/>
    <w:rsid w:val="00FA034F"/>
    <w:rsid w:val="00FA05BD"/>
    <w:rsid w:val="00FA07DA"/>
    <w:rsid w:val="00FA080A"/>
    <w:rsid w:val="00FA09EC"/>
    <w:rsid w:val="00FA0A9A"/>
    <w:rsid w:val="00FA0ABB"/>
    <w:rsid w:val="00FA0D47"/>
    <w:rsid w:val="00FA0EB7"/>
    <w:rsid w:val="00FA1316"/>
    <w:rsid w:val="00FA1473"/>
    <w:rsid w:val="00FA1B4A"/>
    <w:rsid w:val="00FA1C27"/>
    <w:rsid w:val="00FA1D1D"/>
    <w:rsid w:val="00FA1E33"/>
    <w:rsid w:val="00FA2338"/>
    <w:rsid w:val="00FA2457"/>
    <w:rsid w:val="00FA2790"/>
    <w:rsid w:val="00FA2793"/>
    <w:rsid w:val="00FA2970"/>
    <w:rsid w:val="00FA2974"/>
    <w:rsid w:val="00FA2A7E"/>
    <w:rsid w:val="00FA2B99"/>
    <w:rsid w:val="00FA2C3E"/>
    <w:rsid w:val="00FA2CC8"/>
    <w:rsid w:val="00FA2DE9"/>
    <w:rsid w:val="00FA2F7D"/>
    <w:rsid w:val="00FA3246"/>
    <w:rsid w:val="00FA335F"/>
    <w:rsid w:val="00FA33B9"/>
    <w:rsid w:val="00FA344C"/>
    <w:rsid w:val="00FA3470"/>
    <w:rsid w:val="00FA36E6"/>
    <w:rsid w:val="00FA3770"/>
    <w:rsid w:val="00FA3798"/>
    <w:rsid w:val="00FA3A50"/>
    <w:rsid w:val="00FA3EF2"/>
    <w:rsid w:val="00FA40BF"/>
    <w:rsid w:val="00FA427D"/>
    <w:rsid w:val="00FA4409"/>
    <w:rsid w:val="00FA450F"/>
    <w:rsid w:val="00FA467B"/>
    <w:rsid w:val="00FA4A96"/>
    <w:rsid w:val="00FA4B74"/>
    <w:rsid w:val="00FA4C08"/>
    <w:rsid w:val="00FA4C40"/>
    <w:rsid w:val="00FA4CC6"/>
    <w:rsid w:val="00FA4D52"/>
    <w:rsid w:val="00FA4EE8"/>
    <w:rsid w:val="00FA4FCF"/>
    <w:rsid w:val="00FA5051"/>
    <w:rsid w:val="00FA54B0"/>
    <w:rsid w:val="00FA55C5"/>
    <w:rsid w:val="00FA579E"/>
    <w:rsid w:val="00FA5833"/>
    <w:rsid w:val="00FA5907"/>
    <w:rsid w:val="00FA6242"/>
    <w:rsid w:val="00FA641E"/>
    <w:rsid w:val="00FA64FD"/>
    <w:rsid w:val="00FA6545"/>
    <w:rsid w:val="00FA6657"/>
    <w:rsid w:val="00FA6659"/>
    <w:rsid w:val="00FA680B"/>
    <w:rsid w:val="00FA6AFF"/>
    <w:rsid w:val="00FA6B23"/>
    <w:rsid w:val="00FA6BD0"/>
    <w:rsid w:val="00FA6E72"/>
    <w:rsid w:val="00FA6EAF"/>
    <w:rsid w:val="00FA7315"/>
    <w:rsid w:val="00FA78C1"/>
    <w:rsid w:val="00FA7B86"/>
    <w:rsid w:val="00FA7B8F"/>
    <w:rsid w:val="00FA7C7D"/>
    <w:rsid w:val="00FA7E1F"/>
    <w:rsid w:val="00FA7EE7"/>
    <w:rsid w:val="00FB0308"/>
    <w:rsid w:val="00FB0A3F"/>
    <w:rsid w:val="00FB0B28"/>
    <w:rsid w:val="00FB0DFB"/>
    <w:rsid w:val="00FB0E21"/>
    <w:rsid w:val="00FB1413"/>
    <w:rsid w:val="00FB1416"/>
    <w:rsid w:val="00FB1452"/>
    <w:rsid w:val="00FB1576"/>
    <w:rsid w:val="00FB15C3"/>
    <w:rsid w:val="00FB1839"/>
    <w:rsid w:val="00FB1AEB"/>
    <w:rsid w:val="00FB1B0F"/>
    <w:rsid w:val="00FB1CD2"/>
    <w:rsid w:val="00FB1F0E"/>
    <w:rsid w:val="00FB1F78"/>
    <w:rsid w:val="00FB230D"/>
    <w:rsid w:val="00FB2317"/>
    <w:rsid w:val="00FB236C"/>
    <w:rsid w:val="00FB244B"/>
    <w:rsid w:val="00FB2770"/>
    <w:rsid w:val="00FB287F"/>
    <w:rsid w:val="00FB289C"/>
    <w:rsid w:val="00FB2954"/>
    <w:rsid w:val="00FB2A0A"/>
    <w:rsid w:val="00FB2B13"/>
    <w:rsid w:val="00FB2F33"/>
    <w:rsid w:val="00FB2F43"/>
    <w:rsid w:val="00FB2FA0"/>
    <w:rsid w:val="00FB34E0"/>
    <w:rsid w:val="00FB35B1"/>
    <w:rsid w:val="00FB386E"/>
    <w:rsid w:val="00FB3899"/>
    <w:rsid w:val="00FB3A34"/>
    <w:rsid w:val="00FB3E77"/>
    <w:rsid w:val="00FB4026"/>
    <w:rsid w:val="00FB41F5"/>
    <w:rsid w:val="00FB460A"/>
    <w:rsid w:val="00FB464E"/>
    <w:rsid w:val="00FB4C51"/>
    <w:rsid w:val="00FB4E37"/>
    <w:rsid w:val="00FB4E69"/>
    <w:rsid w:val="00FB4EF9"/>
    <w:rsid w:val="00FB5289"/>
    <w:rsid w:val="00FB5401"/>
    <w:rsid w:val="00FB5483"/>
    <w:rsid w:val="00FB54E9"/>
    <w:rsid w:val="00FB57CD"/>
    <w:rsid w:val="00FB580A"/>
    <w:rsid w:val="00FB5CB0"/>
    <w:rsid w:val="00FB6186"/>
    <w:rsid w:val="00FB62B4"/>
    <w:rsid w:val="00FB6386"/>
    <w:rsid w:val="00FB65FE"/>
    <w:rsid w:val="00FB6638"/>
    <w:rsid w:val="00FB6CF7"/>
    <w:rsid w:val="00FB7058"/>
    <w:rsid w:val="00FB71A3"/>
    <w:rsid w:val="00FB7363"/>
    <w:rsid w:val="00FB7524"/>
    <w:rsid w:val="00FB75C5"/>
    <w:rsid w:val="00FB75CA"/>
    <w:rsid w:val="00FB7802"/>
    <w:rsid w:val="00FB7A78"/>
    <w:rsid w:val="00FB7B0C"/>
    <w:rsid w:val="00FB7CE0"/>
    <w:rsid w:val="00FB7D0C"/>
    <w:rsid w:val="00FC006B"/>
    <w:rsid w:val="00FC0363"/>
    <w:rsid w:val="00FC0598"/>
    <w:rsid w:val="00FC0744"/>
    <w:rsid w:val="00FC08FB"/>
    <w:rsid w:val="00FC0DF7"/>
    <w:rsid w:val="00FC117D"/>
    <w:rsid w:val="00FC14FF"/>
    <w:rsid w:val="00FC16BF"/>
    <w:rsid w:val="00FC1702"/>
    <w:rsid w:val="00FC1767"/>
    <w:rsid w:val="00FC1BC0"/>
    <w:rsid w:val="00FC1C5D"/>
    <w:rsid w:val="00FC208B"/>
    <w:rsid w:val="00FC2207"/>
    <w:rsid w:val="00FC228E"/>
    <w:rsid w:val="00FC23ED"/>
    <w:rsid w:val="00FC24C4"/>
    <w:rsid w:val="00FC2B33"/>
    <w:rsid w:val="00FC3FC6"/>
    <w:rsid w:val="00FC402E"/>
    <w:rsid w:val="00FC4086"/>
    <w:rsid w:val="00FC415C"/>
    <w:rsid w:val="00FC431B"/>
    <w:rsid w:val="00FC4466"/>
    <w:rsid w:val="00FC48AD"/>
    <w:rsid w:val="00FC4987"/>
    <w:rsid w:val="00FC4CF9"/>
    <w:rsid w:val="00FC4D93"/>
    <w:rsid w:val="00FC51F1"/>
    <w:rsid w:val="00FC54B5"/>
    <w:rsid w:val="00FC5645"/>
    <w:rsid w:val="00FC566C"/>
    <w:rsid w:val="00FC57DD"/>
    <w:rsid w:val="00FC58A2"/>
    <w:rsid w:val="00FC59F6"/>
    <w:rsid w:val="00FC5C91"/>
    <w:rsid w:val="00FC5CD4"/>
    <w:rsid w:val="00FC5D9B"/>
    <w:rsid w:val="00FC5F81"/>
    <w:rsid w:val="00FC6089"/>
    <w:rsid w:val="00FC6183"/>
    <w:rsid w:val="00FC63EF"/>
    <w:rsid w:val="00FC64DD"/>
    <w:rsid w:val="00FC6A6E"/>
    <w:rsid w:val="00FC6C5F"/>
    <w:rsid w:val="00FC6F63"/>
    <w:rsid w:val="00FC722F"/>
    <w:rsid w:val="00FC7249"/>
    <w:rsid w:val="00FC7323"/>
    <w:rsid w:val="00FC7A00"/>
    <w:rsid w:val="00FC7FCF"/>
    <w:rsid w:val="00FD033E"/>
    <w:rsid w:val="00FD05A3"/>
    <w:rsid w:val="00FD05AF"/>
    <w:rsid w:val="00FD084B"/>
    <w:rsid w:val="00FD0889"/>
    <w:rsid w:val="00FD0B5C"/>
    <w:rsid w:val="00FD0BEB"/>
    <w:rsid w:val="00FD0D0B"/>
    <w:rsid w:val="00FD0E98"/>
    <w:rsid w:val="00FD0EEF"/>
    <w:rsid w:val="00FD0F90"/>
    <w:rsid w:val="00FD1310"/>
    <w:rsid w:val="00FD16FA"/>
    <w:rsid w:val="00FD1838"/>
    <w:rsid w:val="00FD19E4"/>
    <w:rsid w:val="00FD19FF"/>
    <w:rsid w:val="00FD1AE5"/>
    <w:rsid w:val="00FD1DBC"/>
    <w:rsid w:val="00FD1DC8"/>
    <w:rsid w:val="00FD1EB1"/>
    <w:rsid w:val="00FD2809"/>
    <w:rsid w:val="00FD2926"/>
    <w:rsid w:val="00FD33E1"/>
    <w:rsid w:val="00FD346D"/>
    <w:rsid w:val="00FD37FB"/>
    <w:rsid w:val="00FD3A86"/>
    <w:rsid w:val="00FD3D28"/>
    <w:rsid w:val="00FD41BF"/>
    <w:rsid w:val="00FD4425"/>
    <w:rsid w:val="00FD4469"/>
    <w:rsid w:val="00FD4592"/>
    <w:rsid w:val="00FD49F2"/>
    <w:rsid w:val="00FD4A3E"/>
    <w:rsid w:val="00FD4C20"/>
    <w:rsid w:val="00FD4C72"/>
    <w:rsid w:val="00FD4D0C"/>
    <w:rsid w:val="00FD4D9A"/>
    <w:rsid w:val="00FD4E4A"/>
    <w:rsid w:val="00FD4FCE"/>
    <w:rsid w:val="00FD5118"/>
    <w:rsid w:val="00FD5344"/>
    <w:rsid w:val="00FD54D9"/>
    <w:rsid w:val="00FD562E"/>
    <w:rsid w:val="00FD5EDA"/>
    <w:rsid w:val="00FD5F8B"/>
    <w:rsid w:val="00FD6115"/>
    <w:rsid w:val="00FD61F1"/>
    <w:rsid w:val="00FD65B0"/>
    <w:rsid w:val="00FD6788"/>
    <w:rsid w:val="00FD6B58"/>
    <w:rsid w:val="00FD6C5D"/>
    <w:rsid w:val="00FD6E9A"/>
    <w:rsid w:val="00FD7028"/>
    <w:rsid w:val="00FD761E"/>
    <w:rsid w:val="00FD7656"/>
    <w:rsid w:val="00FD77CD"/>
    <w:rsid w:val="00FD7D1F"/>
    <w:rsid w:val="00FD7D60"/>
    <w:rsid w:val="00FD7DDE"/>
    <w:rsid w:val="00FD7DF7"/>
    <w:rsid w:val="00FD7E55"/>
    <w:rsid w:val="00FE0120"/>
    <w:rsid w:val="00FE040D"/>
    <w:rsid w:val="00FE0649"/>
    <w:rsid w:val="00FE08AD"/>
    <w:rsid w:val="00FE09E0"/>
    <w:rsid w:val="00FE0A4B"/>
    <w:rsid w:val="00FE0C76"/>
    <w:rsid w:val="00FE0C7B"/>
    <w:rsid w:val="00FE0C99"/>
    <w:rsid w:val="00FE0F4D"/>
    <w:rsid w:val="00FE0F83"/>
    <w:rsid w:val="00FE0FDC"/>
    <w:rsid w:val="00FE16DE"/>
    <w:rsid w:val="00FE1AC4"/>
    <w:rsid w:val="00FE1EF9"/>
    <w:rsid w:val="00FE1F2E"/>
    <w:rsid w:val="00FE22B4"/>
    <w:rsid w:val="00FE2794"/>
    <w:rsid w:val="00FE2A6E"/>
    <w:rsid w:val="00FE2C7F"/>
    <w:rsid w:val="00FE3128"/>
    <w:rsid w:val="00FE314A"/>
    <w:rsid w:val="00FE3602"/>
    <w:rsid w:val="00FE3689"/>
    <w:rsid w:val="00FE36C6"/>
    <w:rsid w:val="00FE3726"/>
    <w:rsid w:val="00FE38EE"/>
    <w:rsid w:val="00FE39FF"/>
    <w:rsid w:val="00FE3D7A"/>
    <w:rsid w:val="00FE3DC0"/>
    <w:rsid w:val="00FE4077"/>
    <w:rsid w:val="00FE413B"/>
    <w:rsid w:val="00FE4424"/>
    <w:rsid w:val="00FE45F0"/>
    <w:rsid w:val="00FE467B"/>
    <w:rsid w:val="00FE472E"/>
    <w:rsid w:val="00FE4806"/>
    <w:rsid w:val="00FE4809"/>
    <w:rsid w:val="00FE48A8"/>
    <w:rsid w:val="00FE4902"/>
    <w:rsid w:val="00FE4B06"/>
    <w:rsid w:val="00FE4B93"/>
    <w:rsid w:val="00FE4DC8"/>
    <w:rsid w:val="00FE4EF8"/>
    <w:rsid w:val="00FE4F2E"/>
    <w:rsid w:val="00FE51F6"/>
    <w:rsid w:val="00FE5629"/>
    <w:rsid w:val="00FE587A"/>
    <w:rsid w:val="00FE58FC"/>
    <w:rsid w:val="00FE5AA7"/>
    <w:rsid w:val="00FE5AED"/>
    <w:rsid w:val="00FE5B1F"/>
    <w:rsid w:val="00FE5C79"/>
    <w:rsid w:val="00FE5CFE"/>
    <w:rsid w:val="00FE5D3C"/>
    <w:rsid w:val="00FE5DE3"/>
    <w:rsid w:val="00FE5E94"/>
    <w:rsid w:val="00FE5F1C"/>
    <w:rsid w:val="00FE62FB"/>
    <w:rsid w:val="00FE639F"/>
    <w:rsid w:val="00FE65FC"/>
    <w:rsid w:val="00FE662D"/>
    <w:rsid w:val="00FE6834"/>
    <w:rsid w:val="00FE6C33"/>
    <w:rsid w:val="00FE6D2A"/>
    <w:rsid w:val="00FE6DAC"/>
    <w:rsid w:val="00FE6DBE"/>
    <w:rsid w:val="00FE6DBF"/>
    <w:rsid w:val="00FE6F74"/>
    <w:rsid w:val="00FE7028"/>
    <w:rsid w:val="00FE7230"/>
    <w:rsid w:val="00FE74D1"/>
    <w:rsid w:val="00FE76AB"/>
    <w:rsid w:val="00FE77DC"/>
    <w:rsid w:val="00FE780E"/>
    <w:rsid w:val="00FE7D28"/>
    <w:rsid w:val="00FE7F17"/>
    <w:rsid w:val="00FE7F58"/>
    <w:rsid w:val="00FF0A24"/>
    <w:rsid w:val="00FF0C51"/>
    <w:rsid w:val="00FF100D"/>
    <w:rsid w:val="00FF1075"/>
    <w:rsid w:val="00FF136F"/>
    <w:rsid w:val="00FF174C"/>
    <w:rsid w:val="00FF1A6E"/>
    <w:rsid w:val="00FF1A9F"/>
    <w:rsid w:val="00FF2123"/>
    <w:rsid w:val="00FF21AC"/>
    <w:rsid w:val="00FF2470"/>
    <w:rsid w:val="00FF2599"/>
    <w:rsid w:val="00FF26B2"/>
    <w:rsid w:val="00FF26BE"/>
    <w:rsid w:val="00FF272A"/>
    <w:rsid w:val="00FF2817"/>
    <w:rsid w:val="00FF28F6"/>
    <w:rsid w:val="00FF2A01"/>
    <w:rsid w:val="00FF2BB9"/>
    <w:rsid w:val="00FF2BDA"/>
    <w:rsid w:val="00FF2D1D"/>
    <w:rsid w:val="00FF32FF"/>
    <w:rsid w:val="00FF37DA"/>
    <w:rsid w:val="00FF3A2F"/>
    <w:rsid w:val="00FF3B41"/>
    <w:rsid w:val="00FF426B"/>
    <w:rsid w:val="00FF45D1"/>
    <w:rsid w:val="00FF4AEF"/>
    <w:rsid w:val="00FF4B0A"/>
    <w:rsid w:val="00FF4CC2"/>
    <w:rsid w:val="00FF4E35"/>
    <w:rsid w:val="00FF5370"/>
    <w:rsid w:val="00FF53D6"/>
    <w:rsid w:val="00FF55A3"/>
    <w:rsid w:val="00FF5694"/>
    <w:rsid w:val="00FF57D3"/>
    <w:rsid w:val="00FF5BC0"/>
    <w:rsid w:val="00FF5C14"/>
    <w:rsid w:val="00FF5DE2"/>
    <w:rsid w:val="00FF5FD9"/>
    <w:rsid w:val="00FF6173"/>
    <w:rsid w:val="00FF619E"/>
    <w:rsid w:val="00FF6477"/>
    <w:rsid w:val="00FF67F8"/>
    <w:rsid w:val="00FF6892"/>
    <w:rsid w:val="00FF6B8B"/>
    <w:rsid w:val="00FF6BB3"/>
    <w:rsid w:val="00FF70CF"/>
    <w:rsid w:val="00FF743F"/>
    <w:rsid w:val="00FF74BF"/>
    <w:rsid w:val="00FF75B9"/>
    <w:rsid w:val="00FF79FA"/>
    <w:rsid w:val="00FF7D01"/>
    <w:rsid w:val="0103009C"/>
    <w:rsid w:val="010914E1"/>
    <w:rsid w:val="0127B2A2"/>
    <w:rsid w:val="01401833"/>
    <w:rsid w:val="01523355"/>
    <w:rsid w:val="015BB105"/>
    <w:rsid w:val="015D3264"/>
    <w:rsid w:val="01767B2F"/>
    <w:rsid w:val="018183B5"/>
    <w:rsid w:val="01853856"/>
    <w:rsid w:val="018CD248"/>
    <w:rsid w:val="019B5924"/>
    <w:rsid w:val="019ED92C"/>
    <w:rsid w:val="01A7EA90"/>
    <w:rsid w:val="01A7EEC2"/>
    <w:rsid w:val="01A7FA78"/>
    <w:rsid w:val="01B36235"/>
    <w:rsid w:val="01D9CA92"/>
    <w:rsid w:val="01DB6139"/>
    <w:rsid w:val="01DBEA97"/>
    <w:rsid w:val="01DD5849"/>
    <w:rsid w:val="01DE16AB"/>
    <w:rsid w:val="01DF4DCB"/>
    <w:rsid w:val="01E0FF02"/>
    <w:rsid w:val="01E72B1E"/>
    <w:rsid w:val="01ED4BE2"/>
    <w:rsid w:val="01F8CBD9"/>
    <w:rsid w:val="01FA8A3E"/>
    <w:rsid w:val="01FDC10A"/>
    <w:rsid w:val="01FDCA82"/>
    <w:rsid w:val="01FE2D51"/>
    <w:rsid w:val="021309CB"/>
    <w:rsid w:val="021FA7C0"/>
    <w:rsid w:val="022A1250"/>
    <w:rsid w:val="022CD2DA"/>
    <w:rsid w:val="02404D66"/>
    <w:rsid w:val="02451886"/>
    <w:rsid w:val="0263D2C4"/>
    <w:rsid w:val="026E2D01"/>
    <w:rsid w:val="026EDDDE"/>
    <w:rsid w:val="027584C5"/>
    <w:rsid w:val="02759D38"/>
    <w:rsid w:val="02844CCB"/>
    <w:rsid w:val="0294A218"/>
    <w:rsid w:val="0297A5F6"/>
    <w:rsid w:val="029AEA26"/>
    <w:rsid w:val="029B9772"/>
    <w:rsid w:val="02A9CF00"/>
    <w:rsid w:val="02C31CC3"/>
    <w:rsid w:val="02CB5E1B"/>
    <w:rsid w:val="02D288B5"/>
    <w:rsid w:val="02D42892"/>
    <w:rsid w:val="02D5508A"/>
    <w:rsid w:val="02E1E59C"/>
    <w:rsid w:val="02EAD1BB"/>
    <w:rsid w:val="030DD6DF"/>
    <w:rsid w:val="0322B149"/>
    <w:rsid w:val="03324D8F"/>
    <w:rsid w:val="03359CA7"/>
    <w:rsid w:val="0338981C"/>
    <w:rsid w:val="033A4C43"/>
    <w:rsid w:val="033B64D9"/>
    <w:rsid w:val="033ED0A7"/>
    <w:rsid w:val="0340F2D5"/>
    <w:rsid w:val="03485E42"/>
    <w:rsid w:val="034EEF12"/>
    <w:rsid w:val="03610914"/>
    <w:rsid w:val="0365C019"/>
    <w:rsid w:val="0369B900"/>
    <w:rsid w:val="036A14C8"/>
    <w:rsid w:val="036B23F6"/>
    <w:rsid w:val="036E3848"/>
    <w:rsid w:val="037EA72A"/>
    <w:rsid w:val="0385FA7B"/>
    <w:rsid w:val="03A0E386"/>
    <w:rsid w:val="03AEFB22"/>
    <w:rsid w:val="03CE0629"/>
    <w:rsid w:val="03E139EC"/>
    <w:rsid w:val="03E7B457"/>
    <w:rsid w:val="03F7378B"/>
    <w:rsid w:val="040195F2"/>
    <w:rsid w:val="04021529"/>
    <w:rsid w:val="0403A2F2"/>
    <w:rsid w:val="040E81E8"/>
    <w:rsid w:val="0413C6FE"/>
    <w:rsid w:val="0417392E"/>
    <w:rsid w:val="04180B4D"/>
    <w:rsid w:val="04371A02"/>
    <w:rsid w:val="0438E034"/>
    <w:rsid w:val="043C00E9"/>
    <w:rsid w:val="043DE657"/>
    <w:rsid w:val="044D9B5C"/>
    <w:rsid w:val="045034D9"/>
    <w:rsid w:val="04533B91"/>
    <w:rsid w:val="04596B88"/>
    <w:rsid w:val="045D604B"/>
    <w:rsid w:val="045E34A5"/>
    <w:rsid w:val="0463D094"/>
    <w:rsid w:val="04646FD4"/>
    <w:rsid w:val="04738FBC"/>
    <w:rsid w:val="04746173"/>
    <w:rsid w:val="047949AE"/>
    <w:rsid w:val="0482E255"/>
    <w:rsid w:val="0496606C"/>
    <w:rsid w:val="04B2C380"/>
    <w:rsid w:val="04B63286"/>
    <w:rsid w:val="04BFC566"/>
    <w:rsid w:val="04CF8364"/>
    <w:rsid w:val="04DD819F"/>
    <w:rsid w:val="04DFC995"/>
    <w:rsid w:val="04E3D199"/>
    <w:rsid w:val="04E52A11"/>
    <w:rsid w:val="04E921CA"/>
    <w:rsid w:val="04EAD03C"/>
    <w:rsid w:val="04EF5D2C"/>
    <w:rsid w:val="050BCB3F"/>
    <w:rsid w:val="05158FA1"/>
    <w:rsid w:val="05203349"/>
    <w:rsid w:val="052643BC"/>
    <w:rsid w:val="052A05C1"/>
    <w:rsid w:val="052A69F3"/>
    <w:rsid w:val="052BCB2B"/>
    <w:rsid w:val="052D09E4"/>
    <w:rsid w:val="05548927"/>
    <w:rsid w:val="055676B2"/>
    <w:rsid w:val="056DB897"/>
    <w:rsid w:val="056EF221"/>
    <w:rsid w:val="05795D7F"/>
    <w:rsid w:val="057D63FB"/>
    <w:rsid w:val="0583C5DA"/>
    <w:rsid w:val="0588C065"/>
    <w:rsid w:val="058E2539"/>
    <w:rsid w:val="058FD9D1"/>
    <w:rsid w:val="05A57D1F"/>
    <w:rsid w:val="05A891E0"/>
    <w:rsid w:val="05BAD278"/>
    <w:rsid w:val="05CA156D"/>
    <w:rsid w:val="05DB8D04"/>
    <w:rsid w:val="05FBA4E4"/>
    <w:rsid w:val="0602C276"/>
    <w:rsid w:val="061882AF"/>
    <w:rsid w:val="062346C8"/>
    <w:rsid w:val="063A864E"/>
    <w:rsid w:val="063A8E79"/>
    <w:rsid w:val="0643584B"/>
    <w:rsid w:val="065AADFB"/>
    <w:rsid w:val="066A6532"/>
    <w:rsid w:val="066E458D"/>
    <w:rsid w:val="0671ED1D"/>
    <w:rsid w:val="06990176"/>
    <w:rsid w:val="06995FFB"/>
    <w:rsid w:val="069F4864"/>
    <w:rsid w:val="069FE203"/>
    <w:rsid w:val="06AA2322"/>
    <w:rsid w:val="06AF2057"/>
    <w:rsid w:val="06BE7A2D"/>
    <w:rsid w:val="06C6DBB6"/>
    <w:rsid w:val="06EB75F0"/>
    <w:rsid w:val="06F17B15"/>
    <w:rsid w:val="070F65B9"/>
    <w:rsid w:val="071D2BE2"/>
    <w:rsid w:val="07200416"/>
    <w:rsid w:val="07236A08"/>
    <w:rsid w:val="0726A68F"/>
    <w:rsid w:val="07339811"/>
    <w:rsid w:val="07388557"/>
    <w:rsid w:val="073D11B8"/>
    <w:rsid w:val="0745B685"/>
    <w:rsid w:val="074B22A7"/>
    <w:rsid w:val="0760E04E"/>
    <w:rsid w:val="0768C84E"/>
    <w:rsid w:val="07751295"/>
    <w:rsid w:val="077D9C34"/>
    <w:rsid w:val="0788390F"/>
    <w:rsid w:val="078D3FFE"/>
    <w:rsid w:val="0791D38E"/>
    <w:rsid w:val="079264A4"/>
    <w:rsid w:val="079380BB"/>
    <w:rsid w:val="079390B0"/>
    <w:rsid w:val="07967FCD"/>
    <w:rsid w:val="079B6C8B"/>
    <w:rsid w:val="079F1FAB"/>
    <w:rsid w:val="07C000E0"/>
    <w:rsid w:val="07C2F71A"/>
    <w:rsid w:val="07CF0E3B"/>
    <w:rsid w:val="07D9A772"/>
    <w:rsid w:val="07EBE9BF"/>
    <w:rsid w:val="07EEB845"/>
    <w:rsid w:val="07EEF2B9"/>
    <w:rsid w:val="07F4E5FA"/>
    <w:rsid w:val="080157D6"/>
    <w:rsid w:val="08017E1E"/>
    <w:rsid w:val="081A79F7"/>
    <w:rsid w:val="083BBD80"/>
    <w:rsid w:val="083BC55C"/>
    <w:rsid w:val="083E9410"/>
    <w:rsid w:val="084087CB"/>
    <w:rsid w:val="084366F8"/>
    <w:rsid w:val="08531126"/>
    <w:rsid w:val="085C29A9"/>
    <w:rsid w:val="085CE86A"/>
    <w:rsid w:val="087BE14E"/>
    <w:rsid w:val="088037BE"/>
    <w:rsid w:val="0884385C"/>
    <w:rsid w:val="088B21B2"/>
    <w:rsid w:val="088BB6E1"/>
    <w:rsid w:val="089516F3"/>
    <w:rsid w:val="0898BBF0"/>
    <w:rsid w:val="089CA7A9"/>
    <w:rsid w:val="08ADCD3E"/>
    <w:rsid w:val="08B3CEF4"/>
    <w:rsid w:val="08B78932"/>
    <w:rsid w:val="08DFFABE"/>
    <w:rsid w:val="08E0E5AF"/>
    <w:rsid w:val="08E9B7A3"/>
    <w:rsid w:val="091BA448"/>
    <w:rsid w:val="093345A6"/>
    <w:rsid w:val="093B8F92"/>
    <w:rsid w:val="0942D29E"/>
    <w:rsid w:val="09447811"/>
    <w:rsid w:val="09543939"/>
    <w:rsid w:val="09564AA3"/>
    <w:rsid w:val="095DFDD1"/>
    <w:rsid w:val="095E6F6E"/>
    <w:rsid w:val="097CAFE7"/>
    <w:rsid w:val="097D7E74"/>
    <w:rsid w:val="0982DA42"/>
    <w:rsid w:val="0998D3C4"/>
    <w:rsid w:val="09B7B818"/>
    <w:rsid w:val="09CFCA9E"/>
    <w:rsid w:val="09D09F15"/>
    <w:rsid w:val="09D4D336"/>
    <w:rsid w:val="09D628A8"/>
    <w:rsid w:val="09EBFA63"/>
    <w:rsid w:val="09F43150"/>
    <w:rsid w:val="09FA9A23"/>
    <w:rsid w:val="0A0222DC"/>
    <w:rsid w:val="0A0EA9DE"/>
    <w:rsid w:val="0A17CA56"/>
    <w:rsid w:val="0A19E602"/>
    <w:rsid w:val="0A1EBAD0"/>
    <w:rsid w:val="0A242916"/>
    <w:rsid w:val="0A438030"/>
    <w:rsid w:val="0A465CE4"/>
    <w:rsid w:val="0A5EB0CA"/>
    <w:rsid w:val="0A666168"/>
    <w:rsid w:val="0A746E6C"/>
    <w:rsid w:val="0A8EC10E"/>
    <w:rsid w:val="0A980837"/>
    <w:rsid w:val="0A989FBC"/>
    <w:rsid w:val="0AA6A0E2"/>
    <w:rsid w:val="0AA93DC4"/>
    <w:rsid w:val="0AC9274D"/>
    <w:rsid w:val="0AD287D2"/>
    <w:rsid w:val="0AD992B1"/>
    <w:rsid w:val="0AE08E47"/>
    <w:rsid w:val="0AEBDCA7"/>
    <w:rsid w:val="0B010A03"/>
    <w:rsid w:val="0B083A61"/>
    <w:rsid w:val="0B172F26"/>
    <w:rsid w:val="0B3154BE"/>
    <w:rsid w:val="0B32091F"/>
    <w:rsid w:val="0B3522BA"/>
    <w:rsid w:val="0B389AF2"/>
    <w:rsid w:val="0B44504D"/>
    <w:rsid w:val="0B5D3CB9"/>
    <w:rsid w:val="0B6ACAA1"/>
    <w:rsid w:val="0B74BAC2"/>
    <w:rsid w:val="0B762472"/>
    <w:rsid w:val="0B7CEE73"/>
    <w:rsid w:val="0B84B1DE"/>
    <w:rsid w:val="0BAC92F4"/>
    <w:rsid w:val="0BAE1349"/>
    <w:rsid w:val="0BAE1B7B"/>
    <w:rsid w:val="0BBFEC8D"/>
    <w:rsid w:val="0BC8EEDF"/>
    <w:rsid w:val="0BD21212"/>
    <w:rsid w:val="0BD7D75D"/>
    <w:rsid w:val="0BEA31B7"/>
    <w:rsid w:val="0BF48852"/>
    <w:rsid w:val="0BFEB0CC"/>
    <w:rsid w:val="0C12B641"/>
    <w:rsid w:val="0C145C54"/>
    <w:rsid w:val="0C15B253"/>
    <w:rsid w:val="0C18BD90"/>
    <w:rsid w:val="0C2F1AA4"/>
    <w:rsid w:val="0C338823"/>
    <w:rsid w:val="0C415A23"/>
    <w:rsid w:val="0C50E2F2"/>
    <w:rsid w:val="0C538162"/>
    <w:rsid w:val="0C556269"/>
    <w:rsid w:val="0C58B333"/>
    <w:rsid w:val="0C6CB877"/>
    <w:rsid w:val="0C6F6F60"/>
    <w:rsid w:val="0C7BD9D0"/>
    <w:rsid w:val="0C944EF6"/>
    <w:rsid w:val="0C9AC030"/>
    <w:rsid w:val="0C9F78DF"/>
    <w:rsid w:val="0CB7E9D2"/>
    <w:rsid w:val="0CC012AD"/>
    <w:rsid w:val="0CC5FDA3"/>
    <w:rsid w:val="0CDA9339"/>
    <w:rsid w:val="0CE7C1A2"/>
    <w:rsid w:val="0CE9F5D6"/>
    <w:rsid w:val="0CEAFDEC"/>
    <w:rsid w:val="0CEB3613"/>
    <w:rsid w:val="0CEFE184"/>
    <w:rsid w:val="0D113796"/>
    <w:rsid w:val="0D19B653"/>
    <w:rsid w:val="0D1C33F9"/>
    <w:rsid w:val="0D2978B8"/>
    <w:rsid w:val="0D2B02FC"/>
    <w:rsid w:val="0D301D9B"/>
    <w:rsid w:val="0D33DD08"/>
    <w:rsid w:val="0D36E26F"/>
    <w:rsid w:val="0D3E5F53"/>
    <w:rsid w:val="0D4095DE"/>
    <w:rsid w:val="0D5C35AE"/>
    <w:rsid w:val="0D6B3E7A"/>
    <w:rsid w:val="0D6C0928"/>
    <w:rsid w:val="0D6DDB64"/>
    <w:rsid w:val="0D77D4A2"/>
    <w:rsid w:val="0D7F1CA7"/>
    <w:rsid w:val="0D7F7CC8"/>
    <w:rsid w:val="0D82FEA0"/>
    <w:rsid w:val="0D862D1C"/>
    <w:rsid w:val="0D883D81"/>
    <w:rsid w:val="0D95249D"/>
    <w:rsid w:val="0DA0C37A"/>
    <w:rsid w:val="0DB1B60F"/>
    <w:rsid w:val="0DBA84B5"/>
    <w:rsid w:val="0DD2812E"/>
    <w:rsid w:val="0DE4542D"/>
    <w:rsid w:val="0DF6F372"/>
    <w:rsid w:val="0E02A866"/>
    <w:rsid w:val="0E21E3FE"/>
    <w:rsid w:val="0E27028A"/>
    <w:rsid w:val="0E4263AE"/>
    <w:rsid w:val="0E429F80"/>
    <w:rsid w:val="0E4BEA41"/>
    <w:rsid w:val="0E4EB5BF"/>
    <w:rsid w:val="0E523054"/>
    <w:rsid w:val="0E66FC41"/>
    <w:rsid w:val="0E67097A"/>
    <w:rsid w:val="0E783D07"/>
    <w:rsid w:val="0E7906C2"/>
    <w:rsid w:val="0E8512D5"/>
    <w:rsid w:val="0E9546DD"/>
    <w:rsid w:val="0EBE9ED6"/>
    <w:rsid w:val="0EC7E428"/>
    <w:rsid w:val="0EC7EA89"/>
    <w:rsid w:val="0ECA5419"/>
    <w:rsid w:val="0ECA664D"/>
    <w:rsid w:val="0ED220F9"/>
    <w:rsid w:val="0ED6C784"/>
    <w:rsid w:val="0EF55DAF"/>
    <w:rsid w:val="0EF97383"/>
    <w:rsid w:val="0F085C96"/>
    <w:rsid w:val="0F192656"/>
    <w:rsid w:val="0F1B70BF"/>
    <w:rsid w:val="0F31BC2E"/>
    <w:rsid w:val="0F393DF7"/>
    <w:rsid w:val="0F41A0A0"/>
    <w:rsid w:val="0F4DEFED"/>
    <w:rsid w:val="0F54C2FB"/>
    <w:rsid w:val="0F568700"/>
    <w:rsid w:val="0F69DC2A"/>
    <w:rsid w:val="0F7AEA61"/>
    <w:rsid w:val="0F86821F"/>
    <w:rsid w:val="0F8995E3"/>
    <w:rsid w:val="0F98BF7A"/>
    <w:rsid w:val="0F9E5420"/>
    <w:rsid w:val="0F9FD920"/>
    <w:rsid w:val="0F9FE3A4"/>
    <w:rsid w:val="0FA0E04B"/>
    <w:rsid w:val="0FB3B995"/>
    <w:rsid w:val="0FB851A8"/>
    <w:rsid w:val="0FBA0523"/>
    <w:rsid w:val="0FC1959D"/>
    <w:rsid w:val="0FE4072E"/>
    <w:rsid w:val="0FE913EC"/>
    <w:rsid w:val="0FFC35D5"/>
    <w:rsid w:val="10046DD7"/>
    <w:rsid w:val="1008DED9"/>
    <w:rsid w:val="100D1A5F"/>
    <w:rsid w:val="101D21DE"/>
    <w:rsid w:val="102271C0"/>
    <w:rsid w:val="102D30D8"/>
    <w:rsid w:val="103D42D3"/>
    <w:rsid w:val="103FBA86"/>
    <w:rsid w:val="1057FF97"/>
    <w:rsid w:val="10586D09"/>
    <w:rsid w:val="105DEA88"/>
    <w:rsid w:val="107AE44E"/>
    <w:rsid w:val="1082A03A"/>
    <w:rsid w:val="108AA578"/>
    <w:rsid w:val="10912D63"/>
    <w:rsid w:val="109D7075"/>
    <w:rsid w:val="10ABD5A9"/>
    <w:rsid w:val="10AC035C"/>
    <w:rsid w:val="10B6D31B"/>
    <w:rsid w:val="10BE5C07"/>
    <w:rsid w:val="10C0517B"/>
    <w:rsid w:val="10C684B1"/>
    <w:rsid w:val="10E66747"/>
    <w:rsid w:val="10F1E469"/>
    <w:rsid w:val="10F8B0FD"/>
    <w:rsid w:val="11049508"/>
    <w:rsid w:val="11070490"/>
    <w:rsid w:val="110976AB"/>
    <w:rsid w:val="110BA8D9"/>
    <w:rsid w:val="110ED7E8"/>
    <w:rsid w:val="1123EEE2"/>
    <w:rsid w:val="11241128"/>
    <w:rsid w:val="113DAED1"/>
    <w:rsid w:val="1153B068"/>
    <w:rsid w:val="115B0DE9"/>
    <w:rsid w:val="1177FCE9"/>
    <w:rsid w:val="11821800"/>
    <w:rsid w:val="119E486E"/>
    <w:rsid w:val="11A93829"/>
    <w:rsid w:val="11B75676"/>
    <w:rsid w:val="11CF1446"/>
    <w:rsid w:val="11D37324"/>
    <w:rsid w:val="11D3F1D0"/>
    <w:rsid w:val="11D866A7"/>
    <w:rsid w:val="11DBFD78"/>
    <w:rsid w:val="11DE681F"/>
    <w:rsid w:val="11E85E1D"/>
    <w:rsid w:val="11EC1145"/>
    <w:rsid w:val="11F8AC0E"/>
    <w:rsid w:val="11FD15F2"/>
    <w:rsid w:val="11FF94F9"/>
    <w:rsid w:val="120860FA"/>
    <w:rsid w:val="120FECB6"/>
    <w:rsid w:val="121E0BF4"/>
    <w:rsid w:val="12208DCF"/>
    <w:rsid w:val="1221DCC8"/>
    <w:rsid w:val="1222275B"/>
    <w:rsid w:val="1227EB37"/>
    <w:rsid w:val="122B9B5C"/>
    <w:rsid w:val="123A6B2D"/>
    <w:rsid w:val="123A80D9"/>
    <w:rsid w:val="12508F63"/>
    <w:rsid w:val="1253EE6C"/>
    <w:rsid w:val="125945A0"/>
    <w:rsid w:val="125D3E67"/>
    <w:rsid w:val="12612A9A"/>
    <w:rsid w:val="1265AA1F"/>
    <w:rsid w:val="126E0A39"/>
    <w:rsid w:val="1274EE3C"/>
    <w:rsid w:val="1282C6C6"/>
    <w:rsid w:val="12906CB9"/>
    <w:rsid w:val="12911CC1"/>
    <w:rsid w:val="1294E201"/>
    <w:rsid w:val="12975C0C"/>
    <w:rsid w:val="12AFEEC3"/>
    <w:rsid w:val="12BCFAC9"/>
    <w:rsid w:val="12C9D458"/>
    <w:rsid w:val="12DBA27B"/>
    <w:rsid w:val="12E0E9EA"/>
    <w:rsid w:val="12E2C0D1"/>
    <w:rsid w:val="12E59A74"/>
    <w:rsid w:val="12EACA98"/>
    <w:rsid w:val="12ED1D6B"/>
    <w:rsid w:val="12EDA5E2"/>
    <w:rsid w:val="12EDC17F"/>
    <w:rsid w:val="12F4AC51"/>
    <w:rsid w:val="12FA9D6B"/>
    <w:rsid w:val="13029F60"/>
    <w:rsid w:val="130774C2"/>
    <w:rsid w:val="130DFE62"/>
    <w:rsid w:val="1312B739"/>
    <w:rsid w:val="131D73AE"/>
    <w:rsid w:val="1324479F"/>
    <w:rsid w:val="1341A15F"/>
    <w:rsid w:val="1342CF8A"/>
    <w:rsid w:val="1344A49D"/>
    <w:rsid w:val="134708D8"/>
    <w:rsid w:val="1348F463"/>
    <w:rsid w:val="1351C9F7"/>
    <w:rsid w:val="13542011"/>
    <w:rsid w:val="1358B93F"/>
    <w:rsid w:val="135C3B02"/>
    <w:rsid w:val="135D2447"/>
    <w:rsid w:val="13647899"/>
    <w:rsid w:val="136598D0"/>
    <w:rsid w:val="13675905"/>
    <w:rsid w:val="13846525"/>
    <w:rsid w:val="1391C078"/>
    <w:rsid w:val="13949ABE"/>
    <w:rsid w:val="139BC99A"/>
    <w:rsid w:val="139D7B15"/>
    <w:rsid w:val="13A8A4E7"/>
    <w:rsid w:val="13A9534F"/>
    <w:rsid w:val="13AAF1BA"/>
    <w:rsid w:val="13AE6F45"/>
    <w:rsid w:val="13AF87DB"/>
    <w:rsid w:val="13B94CEA"/>
    <w:rsid w:val="13BDC5E6"/>
    <w:rsid w:val="13BE1F13"/>
    <w:rsid w:val="13C53AA5"/>
    <w:rsid w:val="13C76DCF"/>
    <w:rsid w:val="13C8C3C6"/>
    <w:rsid w:val="13D00447"/>
    <w:rsid w:val="13F5A100"/>
    <w:rsid w:val="140622CE"/>
    <w:rsid w:val="1407497F"/>
    <w:rsid w:val="1407CA33"/>
    <w:rsid w:val="140BD6BB"/>
    <w:rsid w:val="14116714"/>
    <w:rsid w:val="141C6BA9"/>
    <w:rsid w:val="142E526A"/>
    <w:rsid w:val="142F576F"/>
    <w:rsid w:val="143479E9"/>
    <w:rsid w:val="1445A0A9"/>
    <w:rsid w:val="1454AECD"/>
    <w:rsid w:val="1456151F"/>
    <w:rsid w:val="1456A482"/>
    <w:rsid w:val="145B37F7"/>
    <w:rsid w:val="145B3C87"/>
    <w:rsid w:val="145B94DA"/>
    <w:rsid w:val="145CCB85"/>
    <w:rsid w:val="145D4EF5"/>
    <w:rsid w:val="1461821C"/>
    <w:rsid w:val="1463CF3A"/>
    <w:rsid w:val="1466BA1D"/>
    <w:rsid w:val="1468DA41"/>
    <w:rsid w:val="146CE8E3"/>
    <w:rsid w:val="146F43DF"/>
    <w:rsid w:val="1470CFA0"/>
    <w:rsid w:val="14724E67"/>
    <w:rsid w:val="147E573B"/>
    <w:rsid w:val="148B3F7A"/>
    <w:rsid w:val="148F183E"/>
    <w:rsid w:val="14955FC3"/>
    <w:rsid w:val="149C6B83"/>
    <w:rsid w:val="149CF5BE"/>
    <w:rsid w:val="14A4F1FD"/>
    <w:rsid w:val="14B63496"/>
    <w:rsid w:val="14CE03C6"/>
    <w:rsid w:val="14D6C6A7"/>
    <w:rsid w:val="14D76721"/>
    <w:rsid w:val="14F0B435"/>
    <w:rsid w:val="14F717D3"/>
    <w:rsid w:val="150699CE"/>
    <w:rsid w:val="151402B7"/>
    <w:rsid w:val="15216133"/>
    <w:rsid w:val="152B7C17"/>
    <w:rsid w:val="15436B3E"/>
    <w:rsid w:val="154B7D19"/>
    <w:rsid w:val="1553731C"/>
    <w:rsid w:val="155422A8"/>
    <w:rsid w:val="155873D9"/>
    <w:rsid w:val="155AADE3"/>
    <w:rsid w:val="155C641D"/>
    <w:rsid w:val="15621703"/>
    <w:rsid w:val="156747C5"/>
    <w:rsid w:val="15695E01"/>
    <w:rsid w:val="156BB864"/>
    <w:rsid w:val="15786D35"/>
    <w:rsid w:val="157E9179"/>
    <w:rsid w:val="15860DA7"/>
    <w:rsid w:val="158B010B"/>
    <w:rsid w:val="158D917D"/>
    <w:rsid w:val="159822AF"/>
    <w:rsid w:val="15A8680B"/>
    <w:rsid w:val="15B52D35"/>
    <w:rsid w:val="15BFEFFB"/>
    <w:rsid w:val="15C17BB8"/>
    <w:rsid w:val="15C379C3"/>
    <w:rsid w:val="15EC617F"/>
    <w:rsid w:val="15F908CE"/>
    <w:rsid w:val="15FA6415"/>
    <w:rsid w:val="15FAD7D8"/>
    <w:rsid w:val="16001411"/>
    <w:rsid w:val="160674A5"/>
    <w:rsid w:val="162BC640"/>
    <w:rsid w:val="16335C3F"/>
    <w:rsid w:val="1663DF11"/>
    <w:rsid w:val="16684222"/>
    <w:rsid w:val="1671AA80"/>
    <w:rsid w:val="167C035D"/>
    <w:rsid w:val="167F614F"/>
    <w:rsid w:val="167FB92A"/>
    <w:rsid w:val="16A66DD8"/>
    <w:rsid w:val="16AD1F76"/>
    <w:rsid w:val="16B4346B"/>
    <w:rsid w:val="16BBE870"/>
    <w:rsid w:val="16D10782"/>
    <w:rsid w:val="16D25D4D"/>
    <w:rsid w:val="16D4F71E"/>
    <w:rsid w:val="16DC3439"/>
    <w:rsid w:val="16DD1C70"/>
    <w:rsid w:val="16DED3F6"/>
    <w:rsid w:val="16E81CD6"/>
    <w:rsid w:val="16EAF1D8"/>
    <w:rsid w:val="16EC8A56"/>
    <w:rsid w:val="16F9CDFA"/>
    <w:rsid w:val="170938AC"/>
    <w:rsid w:val="170C6E8E"/>
    <w:rsid w:val="171262DB"/>
    <w:rsid w:val="1718B441"/>
    <w:rsid w:val="171E7257"/>
    <w:rsid w:val="171F3F6E"/>
    <w:rsid w:val="171F4794"/>
    <w:rsid w:val="1727CD4A"/>
    <w:rsid w:val="172F7EEF"/>
    <w:rsid w:val="1739968E"/>
    <w:rsid w:val="173B0BD1"/>
    <w:rsid w:val="174054F5"/>
    <w:rsid w:val="176641D5"/>
    <w:rsid w:val="176AE3C3"/>
    <w:rsid w:val="176D5AED"/>
    <w:rsid w:val="176F1D9A"/>
    <w:rsid w:val="1771B4EC"/>
    <w:rsid w:val="1777EA9E"/>
    <w:rsid w:val="177A892F"/>
    <w:rsid w:val="17866212"/>
    <w:rsid w:val="17890D7F"/>
    <w:rsid w:val="178CE823"/>
    <w:rsid w:val="17979AEC"/>
    <w:rsid w:val="17A61FCA"/>
    <w:rsid w:val="17A69A6C"/>
    <w:rsid w:val="17A98E5C"/>
    <w:rsid w:val="17AC44E1"/>
    <w:rsid w:val="17B2FBF2"/>
    <w:rsid w:val="17B54146"/>
    <w:rsid w:val="17B68B8F"/>
    <w:rsid w:val="17D0CA8C"/>
    <w:rsid w:val="17D2494A"/>
    <w:rsid w:val="17D42E6A"/>
    <w:rsid w:val="17E02DEF"/>
    <w:rsid w:val="17E99B9A"/>
    <w:rsid w:val="17F04A08"/>
    <w:rsid w:val="17F2B88E"/>
    <w:rsid w:val="17F634AE"/>
    <w:rsid w:val="17FDADA3"/>
    <w:rsid w:val="17FEE251"/>
    <w:rsid w:val="1802C39C"/>
    <w:rsid w:val="1806D24C"/>
    <w:rsid w:val="18076B04"/>
    <w:rsid w:val="180781E4"/>
    <w:rsid w:val="1808765A"/>
    <w:rsid w:val="180CC699"/>
    <w:rsid w:val="1814B9FF"/>
    <w:rsid w:val="1815F935"/>
    <w:rsid w:val="181A5E05"/>
    <w:rsid w:val="18324E56"/>
    <w:rsid w:val="18386215"/>
    <w:rsid w:val="183CCAC9"/>
    <w:rsid w:val="183E17D5"/>
    <w:rsid w:val="183E8F83"/>
    <w:rsid w:val="1840324A"/>
    <w:rsid w:val="1845DC1C"/>
    <w:rsid w:val="18518423"/>
    <w:rsid w:val="1851CE9B"/>
    <w:rsid w:val="18559A50"/>
    <w:rsid w:val="1865FCAF"/>
    <w:rsid w:val="18689D78"/>
    <w:rsid w:val="186A7210"/>
    <w:rsid w:val="186B226C"/>
    <w:rsid w:val="1878A542"/>
    <w:rsid w:val="188CC783"/>
    <w:rsid w:val="189F83FA"/>
    <w:rsid w:val="18AAB37B"/>
    <w:rsid w:val="18B1E972"/>
    <w:rsid w:val="18BBF1BF"/>
    <w:rsid w:val="18BCBBD9"/>
    <w:rsid w:val="18CB6A56"/>
    <w:rsid w:val="18CEB1E5"/>
    <w:rsid w:val="18D0BC9C"/>
    <w:rsid w:val="18DAB256"/>
    <w:rsid w:val="18DC0D59"/>
    <w:rsid w:val="18E17F5D"/>
    <w:rsid w:val="18E2C62A"/>
    <w:rsid w:val="18F109CE"/>
    <w:rsid w:val="191993F3"/>
    <w:rsid w:val="19264DD0"/>
    <w:rsid w:val="192E9876"/>
    <w:rsid w:val="19312BD9"/>
    <w:rsid w:val="19437D70"/>
    <w:rsid w:val="194DB798"/>
    <w:rsid w:val="194E17B0"/>
    <w:rsid w:val="194E2C9E"/>
    <w:rsid w:val="19570271"/>
    <w:rsid w:val="195AC6C9"/>
    <w:rsid w:val="1964A633"/>
    <w:rsid w:val="19653389"/>
    <w:rsid w:val="1973F5E4"/>
    <w:rsid w:val="1981FC76"/>
    <w:rsid w:val="1990B6D1"/>
    <w:rsid w:val="19AC87E5"/>
    <w:rsid w:val="19AFDE47"/>
    <w:rsid w:val="19C9447D"/>
    <w:rsid w:val="19CD0851"/>
    <w:rsid w:val="19D81ECD"/>
    <w:rsid w:val="19F07051"/>
    <w:rsid w:val="19F3AAAC"/>
    <w:rsid w:val="19F77AD8"/>
    <w:rsid w:val="1A0D5C0B"/>
    <w:rsid w:val="1A125B69"/>
    <w:rsid w:val="1A1F753D"/>
    <w:rsid w:val="1A20809B"/>
    <w:rsid w:val="1A288661"/>
    <w:rsid w:val="1A33FBB0"/>
    <w:rsid w:val="1A44F818"/>
    <w:rsid w:val="1A4F4A8A"/>
    <w:rsid w:val="1A5324A0"/>
    <w:rsid w:val="1A5608DD"/>
    <w:rsid w:val="1A5F2D1B"/>
    <w:rsid w:val="1A66C31A"/>
    <w:rsid w:val="1A6D10E8"/>
    <w:rsid w:val="1A74805C"/>
    <w:rsid w:val="1A8E9358"/>
    <w:rsid w:val="1A92C153"/>
    <w:rsid w:val="1A9751FA"/>
    <w:rsid w:val="1AA0ABA8"/>
    <w:rsid w:val="1AA3CC3F"/>
    <w:rsid w:val="1AB066B3"/>
    <w:rsid w:val="1AB14DE5"/>
    <w:rsid w:val="1AB4A9AD"/>
    <w:rsid w:val="1AB5260C"/>
    <w:rsid w:val="1AB9F38D"/>
    <w:rsid w:val="1ABB9AE0"/>
    <w:rsid w:val="1AC5249C"/>
    <w:rsid w:val="1ACF8532"/>
    <w:rsid w:val="1AD6EE87"/>
    <w:rsid w:val="1AEC5DF0"/>
    <w:rsid w:val="1AF88FC1"/>
    <w:rsid w:val="1AFEBB15"/>
    <w:rsid w:val="1B020B59"/>
    <w:rsid w:val="1B04342D"/>
    <w:rsid w:val="1B0C4B2C"/>
    <w:rsid w:val="1B115A16"/>
    <w:rsid w:val="1B118CCF"/>
    <w:rsid w:val="1B124DEB"/>
    <w:rsid w:val="1B284747"/>
    <w:rsid w:val="1B2C00B1"/>
    <w:rsid w:val="1B3B3F83"/>
    <w:rsid w:val="1B3C7014"/>
    <w:rsid w:val="1B47624D"/>
    <w:rsid w:val="1B5211B0"/>
    <w:rsid w:val="1B5F2D05"/>
    <w:rsid w:val="1B69666E"/>
    <w:rsid w:val="1B6B70D2"/>
    <w:rsid w:val="1B72F176"/>
    <w:rsid w:val="1B788F5A"/>
    <w:rsid w:val="1B79E43A"/>
    <w:rsid w:val="1B843771"/>
    <w:rsid w:val="1B8C5C8C"/>
    <w:rsid w:val="1B961E90"/>
    <w:rsid w:val="1BA19C97"/>
    <w:rsid w:val="1BAAFB3D"/>
    <w:rsid w:val="1BB96FBA"/>
    <w:rsid w:val="1BC05632"/>
    <w:rsid w:val="1BCB9FEB"/>
    <w:rsid w:val="1BCDB360"/>
    <w:rsid w:val="1BD6BFB4"/>
    <w:rsid w:val="1BDB7413"/>
    <w:rsid w:val="1C19EFE5"/>
    <w:rsid w:val="1C1A490D"/>
    <w:rsid w:val="1C3377D9"/>
    <w:rsid w:val="1C3436CF"/>
    <w:rsid w:val="1C36B4AD"/>
    <w:rsid w:val="1C376FA3"/>
    <w:rsid w:val="1C465130"/>
    <w:rsid w:val="1C4D2513"/>
    <w:rsid w:val="1C563AB4"/>
    <w:rsid w:val="1C5FD375"/>
    <w:rsid w:val="1C64A53F"/>
    <w:rsid w:val="1C67C489"/>
    <w:rsid w:val="1C6A1C4E"/>
    <w:rsid w:val="1C6CC6BC"/>
    <w:rsid w:val="1C7E2444"/>
    <w:rsid w:val="1C7EB1C1"/>
    <w:rsid w:val="1C8101C6"/>
    <w:rsid w:val="1C93F3FC"/>
    <w:rsid w:val="1C9FE35E"/>
    <w:rsid w:val="1CA071E2"/>
    <w:rsid w:val="1CA23BF9"/>
    <w:rsid w:val="1CA349B1"/>
    <w:rsid w:val="1CA59F34"/>
    <w:rsid w:val="1CB174D8"/>
    <w:rsid w:val="1CBCC484"/>
    <w:rsid w:val="1CCA32DD"/>
    <w:rsid w:val="1CD5F802"/>
    <w:rsid w:val="1CE8632C"/>
    <w:rsid w:val="1CEAF771"/>
    <w:rsid w:val="1CF5E0A3"/>
    <w:rsid w:val="1D103BEC"/>
    <w:rsid w:val="1D15B278"/>
    <w:rsid w:val="1D2B8183"/>
    <w:rsid w:val="1D2CE270"/>
    <w:rsid w:val="1D59F679"/>
    <w:rsid w:val="1D7ABC60"/>
    <w:rsid w:val="1D7D04AB"/>
    <w:rsid w:val="1D97FD6C"/>
    <w:rsid w:val="1D99E518"/>
    <w:rsid w:val="1DA11F5F"/>
    <w:rsid w:val="1DA29D2A"/>
    <w:rsid w:val="1DC3EFA1"/>
    <w:rsid w:val="1DEB1559"/>
    <w:rsid w:val="1DEC7939"/>
    <w:rsid w:val="1DEDB6E8"/>
    <w:rsid w:val="1E08AEEF"/>
    <w:rsid w:val="1E152CB5"/>
    <w:rsid w:val="1E2064A9"/>
    <w:rsid w:val="1E24FAF3"/>
    <w:rsid w:val="1E2BEF0D"/>
    <w:rsid w:val="1E33536F"/>
    <w:rsid w:val="1E3361EE"/>
    <w:rsid w:val="1E3C2AA5"/>
    <w:rsid w:val="1E3C67CB"/>
    <w:rsid w:val="1E45B617"/>
    <w:rsid w:val="1E4BD1E5"/>
    <w:rsid w:val="1E52B35E"/>
    <w:rsid w:val="1E5D38F1"/>
    <w:rsid w:val="1E6552D0"/>
    <w:rsid w:val="1E680358"/>
    <w:rsid w:val="1E6E3B93"/>
    <w:rsid w:val="1E755452"/>
    <w:rsid w:val="1E7E3F64"/>
    <w:rsid w:val="1E808D46"/>
    <w:rsid w:val="1E809163"/>
    <w:rsid w:val="1E8C6B5D"/>
    <w:rsid w:val="1E921D70"/>
    <w:rsid w:val="1E9BEA65"/>
    <w:rsid w:val="1EA10582"/>
    <w:rsid w:val="1EA3A1DA"/>
    <w:rsid w:val="1EA7CDC1"/>
    <w:rsid w:val="1EA95B1C"/>
    <w:rsid w:val="1EB1DDA3"/>
    <w:rsid w:val="1EBC7DB1"/>
    <w:rsid w:val="1EC0D4FF"/>
    <w:rsid w:val="1EC875D4"/>
    <w:rsid w:val="1EE05FAF"/>
    <w:rsid w:val="1EE43BEB"/>
    <w:rsid w:val="1EFA01F5"/>
    <w:rsid w:val="1EFA65D7"/>
    <w:rsid w:val="1EFBD1FE"/>
    <w:rsid w:val="1EFC8217"/>
    <w:rsid w:val="1F04DF88"/>
    <w:rsid w:val="1F2012DD"/>
    <w:rsid w:val="1F307BF2"/>
    <w:rsid w:val="1F3B147F"/>
    <w:rsid w:val="1F466319"/>
    <w:rsid w:val="1F4EAEF5"/>
    <w:rsid w:val="1F504617"/>
    <w:rsid w:val="1F67DFFE"/>
    <w:rsid w:val="1F69A8C9"/>
    <w:rsid w:val="1F714441"/>
    <w:rsid w:val="1F7EC3AE"/>
    <w:rsid w:val="1F8BB53C"/>
    <w:rsid w:val="1F9A9A65"/>
    <w:rsid w:val="1FAC85AE"/>
    <w:rsid w:val="1FAC90BF"/>
    <w:rsid w:val="1FB310AF"/>
    <w:rsid w:val="1FC4B40B"/>
    <w:rsid w:val="1FCB357B"/>
    <w:rsid w:val="1FCFC106"/>
    <w:rsid w:val="1FD95771"/>
    <w:rsid w:val="1FDEC487"/>
    <w:rsid w:val="1FE8D2FB"/>
    <w:rsid w:val="1FE90170"/>
    <w:rsid w:val="1FF58979"/>
    <w:rsid w:val="20050F8E"/>
    <w:rsid w:val="20106F83"/>
    <w:rsid w:val="2010D211"/>
    <w:rsid w:val="202861C4"/>
    <w:rsid w:val="20316C6A"/>
    <w:rsid w:val="203842A1"/>
    <w:rsid w:val="204A694E"/>
    <w:rsid w:val="2050FD0E"/>
    <w:rsid w:val="205CB572"/>
    <w:rsid w:val="20617059"/>
    <w:rsid w:val="20679D27"/>
    <w:rsid w:val="2069DE05"/>
    <w:rsid w:val="206EFFA4"/>
    <w:rsid w:val="207053E3"/>
    <w:rsid w:val="207E5816"/>
    <w:rsid w:val="208E655F"/>
    <w:rsid w:val="2097FB18"/>
    <w:rsid w:val="20B85356"/>
    <w:rsid w:val="20C5AF4B"/>
    <w:rsid w:val="20C8B050"/>
    <w:rsid w:val="20CA1D1E"/>
    <w:rsid w:val="20CC4C47"/>
    <w:rsid w:val="20D0C38D"/>
    <w:rsid w:val="20D10170"/>
    <w:rsid w:val="20D4D14A"/>
    <w:rsid w:val="20DB0B9A"/>
    <w:rsid w:val="20E7373B"/>
    <w:rsid w:val="20FC94EF"/>
    <w:rsid w:val="20FD58DA"/>
    <w:rsid w:val="21003437"/>
    <w:rsid w:val="2105A908"/>
    <w:rsid w:val="2114F112"/>
    <w:rsid w:val="211A90AE"/>
    <w:rsid w:val="2129B46D"/>
    <w:rsid w:val="212EC324"/>
    <w:rsid w:val="2132B5B9"/>
    <w:rsid w:val="21383028"/>
    <w:rsid w:val="213959C3"/>
    <w:rsid w:val="213CC36E"/>
    <w:rsid w:val="21412424"/>
    <w:rsid w:val="2144AD2B"/>
    <w:rsid w:val="2151ABE1"/>
    <w:rsid w:val="2165AF76"/>
    <w:rsid w:val="2171751E"/>
    <w:rsid w:val="2181A289"/>
    <w:rsid w:val="218E9517"/>
    <w:rsid w:val="2195B71A"/>
    <w:rsid w:val="2199B0F5"/>
    <w:rsid w:val="21A3CBCA"/>
    <w:rsid w:val="21A3F034"/>
    <w:rsid w:val="21A6230F"/>
    <w:rsid w:val="21AB7F42"/>
    <w:rsid w:val="21C600B1"/>
    <w:rsid w:val="21CA84B2"/>
    <w:rsid w:val="21D9329A"/>
    <w:rsid w:val="22071299"/>
    <w:rsid w:val="221CC0E4"/>
    <w:rsid w:val="22380027"/>
    <w:rsid w:val="22437564"/>
    <w:rsid w:val="22470192"/>
    <w:rsid w:val="22493DDE"/>
    <w:rsid w:val="225DC757"/>
    <w:rsid w:val="22733972"/>
    <w:rsid w:val="2290A363"/>
    <w:rsid w:val="2299C498"/>
    <w:rsid w:val="22A084F6"/>
    <w:rsid w:val="22AE8A53"/>
    <w:rsid w:val="22B67615"/>
    <w:rsid w:val="22BEAD3F"/>
    <w:rsid w:val="22CA6BBA"/>
    <w:rsid w:val="22D95D16"/>
    <w:rsid w:val="22E4E5B4"/>
    <w:rsid w:val="22E84C5F"/>
    <w:rsid w:val="22F1CB88"/>
    <w:rsid w:val="23038BAD"/>
    <w:rsid w:val="2309BAA9"/>
    <w:rsid w:val="231372DE"/>
    <w:rsid w:val="2326CA86"/>
    <w:rsid w:val="232C9E11"/>
    <w:rsid w:val="2339EEF5"/>
    <w:rsid w:val="23413AA9"/>
    <w:rsid w:val="2347092E"/>
    <w:rsid w:val="23483434"/>
    <w:rsid w:val="2348983C"/>
    <w:rsid w:val="2348EE70"/>
    <w:rsid w:val="234AB935"/>
    <w:rsid w:val="2350549C"/>
    <w:rsid w:val="235627B5"/>
    <w:rsid w:val="235D83F7"/>
    <w:rsid w:val="23621B37"/>
    <w:rsid w:val="236860A8"/>
    <w:rsid w:val="23720B7D"/>
    <w:rsid w:val="23732E41"/>
    <w:rsid w:val="23747C8D"/>
    <w:rsid w:val="2374F3A6"/>
    <w:rsid w:val="2376773F"/>
    <w:rsid w:val="2376F226"/>
    <w:rsid w:val="23791A29"/>
    <w:rsid w:val="237C0C94"/>
    <w:rsid w:val="23852E02"/>
    <w:rsid w:val="238FF77D"/>
    <w:rsid w:val="23910AD1"/>
    <w:rsid w:val="23914F67"/>
    <w:rsid w:val="2399F2F3"/>
    <w:rsid w:val="239A8DFF"/>
    <w:rsid w:val="239C42B8"/>
    <w:rsid w:val="23A06957"/>
    <w:rsid w:val="23A79E9D"/>
    <w:rsid w:val="23AD1B13"/>
    <w:rsid w:val="23B1A92C"/>
    <w:rsid w:val="23B5A370"/>
    <w:rsid w:val="23C87A48"/>
    <w:rsid w:val="23CDA8EE"/>
    <w:rsid w:val="23D82C9B"/>
    <w:rsid w:val="23F02BB7"/>
    <w:rsid w:val="23F100DE"/>
    <w:rsid w:val="23F46A5D"/>
    <w:rsid w:val="23F786F1"/>
    <w:rsid w:val="240121BA"/>
    <w:rsid w:val="240229D6"/>
    <w:rsid w:val="24163752"/>
    <w:rsid w:val="24182755"/>
    <w:rsid w:val="241AACA0"/>
    <w:rsid w:val="241D7F19"/>
    <w:rsid w:val="2427CE3C"/>
    <w:rsid w:val="24288405"/>
    <w:rsid w:val="242A1186"/>
    <w:rsid w:val="24322BC2"/>
    <w:rsid w:val="24475CDF"/>
    <w:rsid w:val="244C78F7"/>
    <w:rsid w:val="244FF4F5"/>
    <w:rsid w:val="2458CAC3"/>
    <w:rsid w:val="2471DF28"/>
    <w:rsid w:val="247833F2"/>
    <w:rsid w:val="247F487C"/>
    <w:rsid w:val="2481D668"/>
    <w:rsid w:val="2488FB24"/>
    <w:rsid w:val="248F2327"/>
    <w:rsid w:val="24916DEB"/>
    <w:rsid w:val="2498D108"/>
    <w:rsid w:val="24BA4F15"/>
    <w:rsid w:val="24C4ED45"/>
    <w:rsid w:val="24C79D03"/>
    <w:rsid w:val="24D55055"/>
    <w:rsid w:val="24EBBB80"/>
    <w:rsid w:val="24F82475"/>
    <w:rsid w:val="25134DD7"/>
    <w:rsid w:val="25196448"/>
    <w:rsid w:val="251BDADB"/>
    <w:rsid w:val="252F4930"/>
    <w:rsid w:val="253519E4"/>
    <w:rsid w:val="25388739"/>
    <w:rsid w:val="253A93E5"/>
    <w:rsid w:val="2541A651"/>
    <w:rsid w:val="255322C8"/>
    <w:rsid w:val="2556E02C"/>
    <w:rsid w:val="2570D18E"/>
    <w:rsid w:val="2572A247"/>
    <w:rsid w:val="2573E45F"/>
    <w:rsid w:val="2583B61F"/>
    <w:rsid w:val="258642FC"/>
    <w:rsid w:val="2589586B"/>
    <w:rsid w:val="258B77E7"/>
    <w:rsid w:val="25A610A6"/>
    <w:rsid w:val="25AAABCB"/>
    <w:rsid w:val="25BAF5AD"/>
    <w:rsid w:val="25DD2B88"/>
    <w:rsid w:val="25E3FD8F"/>
    <w:rsid w:val="25E9F90F"/>
    <w:rsid w:val="25F7AC5E"/>
    <w:rsid w:val="26162263"/>
    <w:rsid w:val="263C05DB"/>
    <w:rsid w:val="264993E1"/>
    <w:rsid w:val="265A7134"/>
    <w:rsid w:val="265C91AB"/>
    <w:rsid w:val="2666D18F"/>
    <w:rsid w:val="2669A6F2"/>
    <w:rsid w:val="268134AD"/>
    <w:rsid w:val="2684D468"/>
    <w:rsid w:val="268577C7"/>
    <w:rsid w:val="268A4C1E"/>
    <w:rsid w:val="268FD560"/>
    <w:rsid w:val="26A4628B"/>
    <w:rsid w:val="26B365B2"/>
    <w:rsid w:val="26B5D6DB"/>
    <w:rsid w:val="26BBC193"/>
    <w:rsid w:val="26CA1C00"/>
    <w:rsid w:val="26CE1F7E"/>
    <w:rsid w:val="26EAED31"/>
    <w:rsid w:val="26EB996B"/>
    <w:rsid w:val="26F78EC1"/>
    <w:rsid w:val="26FF130D"/>
    <w:rsid w:val="270952B2"/>
    <w:rsid w:val="270E5791"/>
    <w:rsid w:val="2719C5E2"/>
    <w:rsid w:val="271FFF62"/>
    <w:rsid w:val="27220D45"/>
    <w:rsid w:val="2731CAAD"/>
    <w:rsid w:val="2735762C"/>
    <w:rsid w:val="27444B3C"/>
    <w:rsid w:val="27541D10"/>
    <w:rsid w:val="277514C4"/>
    <w:rsid w:val="278347FF"/>
    <w:rsid w:val="27864B56"/>
    <w:rsid w:val="27B327E2"/>
    <w:rsid w:val="27BB39C9"/>
    <w:rsid w:val="27CBE1A1"/>
    <w:rsid w:val="27D7CD44"/>
    <w:rsid w:val="27E7216A"/>
    <w:rsid w:val="28091049"/>
    <w:rsid w:val="28160F91"/>
    <w:rsid w:val="28315A43"/>
    <w:rsid w:val="2832D4A5"/>
    <w:rsid w:val="284EF822"/>
    <w:rsid w:val="28583672"/>
    <w:rsid w:val="28601313"/>
    <w:rsid w:val="28709F0E"/>
    <w:rsid w:val="287D342D"/>
    <w:rsid w:val="288395EC"/>
    <w:rsid w:val="2886F269"/>
    <w:rsid w:val="2893FC55"/>
    <w:rsid w:val="28A584D4"/>
    <w:rsid w:val="28B00DF7"/>
    <w:rsid w:val="28C4271C"/>
    <w:rsid w:val="28CB8DED"/>
    <w:rsid w:val="28D30731"/>
    <w:rsid w:val="28D6C5F0"/>
    <w:rsid w:val="28E1DA94"/>
    <w:rsid w:val="28F40DC2"/>
    <w:rsid w:val="28F8E357"/>
    <w:rsid w:val="290BAB8D"/>
    <w:rsid w:val="290CF171"/>
    <w:rsid w:val="291A70ED"/>
    <w:rsid w:val="291AD172"/>
    <w:rsid w:val="291CA88B"/>
    <w:rsid w:val="2926DB89"/>
    <w:rsid w:val="292E8BC3"/>
    <w:rsid w:val="292ED90B"/>
    <w:rsid w:val="29377F0E"/>
    <w:rsid w:val="293B6F97"/>
    <w:rsid w:val="293C279F"/>
    <w:rsid w:val="29415024"/>
    <w:rsid w:val="2946A0E0"/>
    <w:rsid w:val="295F8079"/>
    <w:rsid w:val="2961675F"/>
    <w:rsid w:val="2964BAEC"/>
    <w:rsid w:val="2964E0F0"/>
    <w:rsid w:val="296F6C31"/>
    <w:rsid w:val="2982E3CA"/>
    <w:rsid w:val="298E0023"/>
    <w:rsid w:val="2990D260"/>
    <w:rsid w:val="29A43E87"/>
    <w:rsid w:val="29AD78FD"/>
    <w:rsid w:val="29B9AD08"/>
    <w:rsid w:val="29C188A5"/>
    <w:rsid w:val="29C3AF55"/>
    <w:rsid w:val="29C59BF0"/>
    <w:rsid w:val="29CBA223"/>
    <w:rsid w:val="29D776EB"/>
    <w:rsid w:val="29DE9A44"/>
    <w:rsid w:val="29DEDBAE"/>
    <w:rsid w:val="29EAB752"/>
    <w:rsid w:val="29EBEC08"/>
    <w:rsid w:val="29EDF2BE"/>
    <w:rsid w:val="29FF0451"/>
    <w:rsid w:val="2A05EF3A"/>
    <w:rsid w:val="2A1478B0"/>
    <w:rsid w:val="2A277C3D"/>
    <w:rsid w:val="2A342D1C"/>
    <w:rsid w:val="2A3741E2"/>
    <w:rsid w:val="2A4521DD"/>
    <w:rsid w:val="2A45BED7"/>
    <w:rsid w:val="2A4D6793"/>
    <w:rsid w:val="2A5C8A34"/>
    <w:rsid w:val="2A6804CF"/>
    <w:rsid w:val="2A718BBA"/>
    <w:rsid w:val="2A775D76"/>
    <w:rsid w:val="2A7CD5CE"/>
    <w:rsid w:val="2A81122F"/>
    <w:rsid w:val="2A9127B6"/>
    <w:rsid w:val="2A9F9A11"/>
    <w:rsid w:val="2AA48CE4"/>
    <w:rsid w:val="2AABC23E"/>
    <w:rsid w:val="2AB0D898"/>
    <w:rsid w:val="2AB4F2C9"/>
    <w:rsid w:val="2AB768EA"/>
    <w:rsid w:val="2AC97CBE"/>
    <w:rsid w:val="2AD2E687"/>
    <w:rsid w:val="2AD4342E"/>
    <w:rsid w:val="2AD7188D"/>
    <w:rsid w:val="2AD99E69"/>
    <w:rsid w:val="2ADA0757"/>
    <w:rsid w:val="2AEFC3A7"/>
    <w:rsid w:val="2AFA8DFC"/>
    <w:rsid w:val="2AFCE41E"/>
    <w:rsid w:val="2B08CF5E"/>
    <w:rsid w:val="2B0C19E9"/>
    <w:rsid w:val="2B2456E5"/>
    <w:rsid w:val="2B29D0BF"/>
    <w:rsid w:val="2B2CD3D3"/>
    <w:rsid w:val="2B2EF5BF"/>
    <w:rsid w:val="2B3093E0"/>
    <w:rsid w:val="2B342E0C"/>
    <w:rsid w:val="2B4EE19A"/>
    <w:rsid w:val="2B4EEDD5"/>
    <w:rsid w:val="2B5EE1AA"/>
    <w:rsid w:val="2B63E72E"/>
    <w:rsid w:val="2B686628"/>
    <w:rsid w:val="2B699A3A"/>
    <w:rsid w:val="2B6A1AD4"/>
    <w:rsid w:val="2B72676C"/>
    <w:rsid w:val="2B8ACAD0"/>
    <w:rsid w:val="2B8DB008"/>
    <w:rsid w:val="2BA0F555"/>
    <w:rsid w:val="2BA8BB2B"/>
    <w:rsid w:val="2BB120C9"/>
    <w:rsid w:val="2BB58E05"/>
    <w:rsid w:val="2BBCDEA6"/>
    <w:rsid w:val="2BC752D8"/>
    <w:rsid w:val="2BD0D64D"/>
    <w:rsid w:val="2BD95E89"/>
    <w:rsid w:val="2BE5BA5F"/>
    <w:rsid w:val="2BE71E02"/>
    <w:rsid w:val="2BEF5C8C"/>
    <w:rsid w:val="2BF43126"/>
    <w:rsid w:val="2C006B69"/>
    <w:rsid w:val="2C0FF526"/>
    <w:rsid w:val="2C11003D"/>
    <w:rsid w:val="2C1270B8"/>
    <w:rsid w:val="2C20EBA7"/>
    <w:rsid w:val="2C218A30"/>
    <w:rsid w:val="2C251624"/>
    <w:rsid w:val="2C278BD8"/>
    <w:rsid w:val="2C2D4B3E"/>
    <w:rsid w:val="2C2DD95F"/>
    <w:rsid w:val="2C44C02F"/>
    <w:rsid w:val="2C5569B1"/>
    <w:rsid w:val="2C56DF54"/>
    <w:rsid w:val="2C58DCD4"/>
    <w:rsid w:val="2C5CFE03"/>
    <w:rsid w:val="2C5E5153"/>
    <w:rsid w:val="2C6D8FB3"/>
    <w:rsid w:val="2C6FC5A9"/>
    <w:rsid w:val="2C754AA9"/>
    <w:rsid w:val="2C7B7D70"/>
    <w:rsid w:val="2CACF3AF"/>
    <w:rsid w:val="2CB07FB0"/>
    <w:rsid w:val="2CB24902"/>
    <w:rsid w:val="2CC155D4"/>
    <w:rsid w:val="2CCE54BB"/>
    <w:rsid w:val="2CD4C9D8"/>
    <w:rsid w:val="2CD94671"/>
    <w:rsid w:val="2CE1F466"/>
    <w:rsid w:val="2CE7D810"/>
    <w:rsid w:val="2CFB89F8"/>
    <w:rsid w:val="2D063E41"/>
    <w:rsid w:val="2D0A6597"/>
    <w:rsid w:val="2D0FC772"/>
    <w:rsid w:val="2D1AAA6F"/>
    <w:rsid w:val="2D1EBA90"/>
    <w:rsid w:val="2D357B7E"/>
    <w:rsid w:val="2D37F044"/>
    <w:rsid w:val="2D433D5A"/>
    <w:rsid w:val="2D49556E"/>
    <w:rsid w:val="2D55DA6D"/>
    <w:rsid w:val="2D7018DC"/>
    <w:rsid w:val="2D7A02D2"/>
    <w:rsid w:val="2D7B4C87"/>
    <w:rsid w:val="2D800FFF"/>
    <w:rsid w:val="2D845E66"/>
    <w:rsid w:val="2D87DB80"/>
    <w:rsid w:val="2D8E6C86"/>
    <w:rsid w:val="2D96E881"/>
    <w:rsid w:val="2D98618D"/>
    <w:rsid w:val="2D99F47C"/>
    <w:rsid w:val="2D9C94CB"/>
    <w:rsid w:val="2DA26DC0"/>
    <w:rsid w:val="2DA6BBFE"/>
    <w:rsid w:val="2DB1FB9D"/>
    <w:rsid w:val="2DB2D8DD"/>
    <w:rsid w:val="2DB5C115"/>
    <w:rsid w:val="2DB708EA"/>
    <w:rsid w:val="2DBCC198"/>
    <w:rsid w:val="2DBF6698"/>
    <w:rsid w:val="2DEEE54D"/>
    <w:rsid w:val="2DEFCD9C"/>
    <w:rsid w:val="2DF42FB1"/>
    <w:rsid w:val="2DF88B36"/>
    <w:rsid w:val="2DFB46A3"/>
    <w:rsid w:val="2E0D2555"/>
    <w:rsid w:val="2E1F157C"/>
    <w:rsid w:val="2E210FCA"/>
    <w:rsid w:val="2E247131"/>
    <w:rsid w:val="2E2CB801"/>
    <w:rsid w:val="2E32F5F1"/>
    <w:rsid w:val="2E3FB066"/>
    <w:rsid w:val="2E4AA1B2"/>
    <w:rsid w:val="2E4B8276"/>
    <w:rsid w:val="2E5D5CE4"/>
    <w:rsid w:val="2E6DFA35"/>
    <w:rsid w:val="2E6F9A70"/>
    <w:rsid w:val="2E7BDA08"/>
    <w:rsid w:val="2E918757"/>
    <w:rsid w:val="2EAE4459"/>
    <w:rsid w:val="2EAF3D52"/>
    <w:rsid w:val="2EBDA46B"/>
    <w:rsid w:val="2ECD9847"/>
    <w:rsid w:val="2ECEFDCD"/>
    <w:rsid w:val="2EE2BD80"/>
    <w:rsid w:val="2EE50444"/>
    <w:rsid w:val="2EE83A69"/>
    <w:rsid w:val="2EE9B378"/>
    <w:rsid w:val="2EEBA1AB"/>
    <w:rsid w:val="2EF47096"/>
    <w:rsid w:val="2EF57C1F"/>
    <w:rsid w:val="2F04058A"/>
    <w:rsid w:val="2F066769"/>
    <w:rsid w:val="2F177321"/>
    <w:rsid w:val="2F1BFD1F"/>
    <w:rsid w:val="2F1F0814"/>
    <w:rsid w:val="2F1F750E"/>
    <w:rsid w:val="2F230667"/>
    <w:rsid w:val="2F26F2B6"/>
    <w:rsid w:val="2F4398F7"/>
    <w:rsid w:val="2F4D1240"/>
    <w:rsid w:val="2F51554F"/>
    <w:rsid w:val="2F5835B0"/>
    <w:rsid w:val="2F618B2F"/>
    <w:rsid w:val="2F661A1F"/>
    <w:rsid w:val="2F67CFCC"/>
    <w:rsid w:val="2F73419C"/>
    <w:rsid w:val="2F7A5CCD"/>
    <w:rsid w:val="2F7F4B3F"/>
    <w:rsid w:val="2F92FF07"/>
    <w:rsid w:val="2FAD2744"/>
    <w:rsid w:val="2FD27495"/>
    <w:rsid w:val="2FD508A9"/>
    <w:rsid w:val="2FD541B4"/>
    <w:rsid w:val="2FEB8EAA"/>
    <w:rsid w:val="2FF6318C"/>
    <w:rsid w:val="3010206A"/>
    <w:rsid w:val="301725CA"/>
    <w:rsid w:val="301A6444"/>
    <w:rsid w:val="3022C017"/>
    <w:rsid w:val="302DAEAA"/>
    <w:rsid w:val="30332E22"/>
    <w:rsid w:val="30373AA1"/>
    <w:rsid w:val="30437D48"/>
    <w:rsid w:val="3045FFF3"/>
    <w:rsid w:val="304CB369"/>
    <w:rsid w:val="305023CA"/>
    <w:rsid w:val="305B84B4"/>
    <w:rsid w:val="306517CA"/>
    <w:rsid w:val="3065D1E1"/>
    <w:rsid w:val="307462BC"/>
    <w:rsid w:val="307AE3A1"/>
    <w:rsid w:val="308A24FC"/>
    <w:rsid w:val="30959C8E"/>
    <w:rsid w:val="309E4A96"/>
    <w:rsid w:val="30B7DC0B"/>
    <w:rsid w:val="30BE4735"/>
    <w:rsid w:val="30C5138C"/>
    <w:rsid w:val="30C9490C"/>
    <w:rsid w:val="30D9F7E6"/>
    <w:rsid w:val="30DE9E2F"/>
    <w:rsid w:val="30F35542"/>
    <w:rsid w:val="30FB264C"/>
    <w:rsid w:val="31138E63"/>
    <w:rsid w:val="31213D0C"/>
    <w:rsid w:val="31516021"/>
    <w:rsid w:val="315981AA"/>
    <w:rsid w:val="315FC8D2"/>
    <w:rsid w:val="3163B558"/>
    <w:rsid w:val="316B4B48"/>
    <w:rsid w:val="319E1235"/>
    <w:rsid w:val="319E5AAB"/>
    <w:rsid w:val="31B5BBC4"/>
    <w:rsid w:val="31B9FD49"/>
    <w:rsid w:val="31BC74E2"/>
    <w:rsid w:val="31CA6B97"/>
    <w:rsid w:val="31CC4F83"/>
    <w:rsid w:val="31D7D817"/>
    <w:rsid w:val="31D84CDC"/>
    <w:rsid w:val="31D8F143"/>
    <w:rsid w:val="31E8C689"/>
    <w:rsid w:val="31F46100"/>
    <w:rsid w:val="31F4FEBE"/>
    <w:rsid w:val="32084D1C"/>
    <w:rsid w:val="32091C37"/>
    <w:rsid w:val="32096010"/>
    <w:rsid w:val="32154477"/>
    <w:rsid w:val="3222C608"/>
    <w:rsid w:val="3229975D"/>
    <w:rsid w:val="3232F9A0"/>
    <w:rsid w:val="3238D21D"/>
    <w:rsid w:val="324057BC"/>
    <w:rsid w:val="325222E4"/>
    <w:rsid w:val="3254B18B"/>
    <w:rsid w:val="32648A1E"/>
    <w:rsid w:val="327A515F"/>
    <w:rsid w:val="328E6034"/>
    <w:rsid w:val="329B592F"/>
    <w:rsid w:val="329C32A2"/>
    <w:rsid w:val="329C3F0A"/>
    <w:rsid w:val="32ABF794"/>
    <w:rsid w:val="32B9EF90"/>
    <w:rsid w:val="32BCC0AD"/>
    <w:rsid w:val="32DC5C0E"/>
    <w:rsid w:val="32E61F56"/>
    <w:rsid w:val="32F5C1AC"/>
    <w:rsid w:val="32FBB237"/>
    <w:rsid w:val="33075699"/>
    <w:rsid w:val="3308C537"/>
    <w:rsid w:val="33103A07"/>
    <w:rsid w:val="33123CB8"/>
    <w:rsid w:val="33194A74"/>
    <w:rsid w:val="331AD886"/>
    <w:rsid w:val="331DA82D"/>
    <w:rsid w:val="3321D9EF"/>
    <w:rsid w:val="33221FD5"/>
    <w:rsid w:val="333DC28B"/>
    <w:rsid w:val="3349421B"/>
    <w:rsid w:val="334CC44E"/>
    <w:rsid w:val="335A3776"/>
    <w:rsid w:val="335DC294"/>
    <w:rsid w:val="336AC440"/>
    <w:rsid w:val="337093D0"/>
    <w:rsid w:val="33886028"/>
    <w:rsid w:val="33897187"/>
    <w:rsid w:val="33984676"/>
    <w:rsid w:val="33BA6CD5"/>
    <w:rsid w:val="33BDD946"/>
    <w:rsid w:val="33BE3D4A"/>
    <w:rsid w:val="33CBC8D4"/>
    <w:rsid w:val="3400F7D4"/>
    <w:rsid w:val="3411DEC9"/>
    <w:rsid w:val="34184FE1"/>
    <w:rsid w:val="3423FE1C"/>
    <w:rsid w:val="3425C8D3"/>
    <w:rsid w:val="34281E23"/>
    <w:rsid w:val="342A9A8E"/>
    <w:rsid w:val="34333E96"/>
    <w:rsid w:val="343DFD9E"/>
    <w:rsid w:val="3445640F"/>
    <w:rsid w:val="344B6723"/>
    <w:rsid w:val="344F8A6F"/>
    <w:rsid w:val="344FA8ED"/>
    <w:rsid w:val="3451ED49"/>
    <w:rsid w:val="346A157E"/>
    <w:rsid w:val="346C0277"/>
    <w:rsid w:val="3474A69A"/>
    <w:rsid w:val="347CAB40"/>
    <w:rsid w:val="3495E092"/>
    <w:rsid w:val="349E9373"/>
    <w:rsid w:val="34AFE069"/>
    <w:rsid w:val="34C84F48"/>
    <w:rsid w:val="34CB9852"/>
    <w:rsid w:val="34D8EBDD"/>
    <w:rsid w:val="34E83044"/>
    <w:rsid w:val="34E8A387"/>
    <w:rsid w:val="34EEE27C"/>
    <w:rsid w:val="34F425AE"/>
    <w:rsid w:val="34F99DB0"/>
    <w:rsid w:val="34FA8A38"/>
    <w:rsid w:val="3507E103"/>
    <w:rsid w:val="350A7A8B"/>
    <w:rsid w:val="351425AE"/>
    <w:rsid w:val="351585D8"/>
    <w:rsid w:val="3525A684"/>
    <w:rsid w:val="35311A50"/>
    <w:rsid w:val="353A76A9"/>
    <w:rsid w:val="3549065D"/>
    <w:rsid w:val="356CE522"/>
    <w:rsid w:val="35755425"/>
    <w:rsid w:val="357928D4"/>
    <w:rsid w:val="35814CF5"/>
    <w:rsid w:val="35816867"/>
    <w:rsid w:val="3583BA07"/>
    <w:rsid w:val="35883AC4"/>
    <w:rsid w:val="358A68E0"/>
    <w:rsid w:val="358DCE9C"/>
    <w:rsid w:val="359895C1"/>
    <w:rsid w:val="35A0093B"/>
    <w:rsid w:val="35A3913D"/>
    <w:rsid w:val="35B6FB8A"/>
    <w:rsid w:val="35C96223"/>
    <w:rsid w:val="35CB6F9A"/>
    <w:rsid w:val="35D6EC68"/>
    <w:rsid w:val="35D717B6"/>
    <w:rsid w:val="35DFF5F9"/>
    <w:rsid w:val="35E31638"/>
    <w:rsid w:val="35E9A50B"/>
    <w:rsid w:val="35EBD414"/>
    <w:rsid w:val="35F4DCCA"/>
    <w:rsid w:val="35FEF8C4"/>
    <w:rsid w:val="3603F87C"/>
    <w:rsid w:val="36095190"/>
    <w:rsid w:val="360E4962"/>
    <w:rsid w:val="362BB0A3"/>
    <w:rsid w:val="362DB90C"/>
    <w:rsid w:val="3634CB59"/>
    <w:rsid w:val="366E8F01"/>
    <w:rsid w:val="3683B7C9"/>
    <w:rsid w:val="3689558D"/>
    <w:rsid w:val="368B8099"/>
    <w:rsid w:val="368C916D"/>
    <w:rsid w:val="3692580F"/>
    <w:rsid w:val="36961A9C"/>
    <w:rsid w:val="3696F4D5"/>
    <w:rsid w:val="36A15384"/>
    <w:rsid w:val="36A5B129"/>
    <w:rsid w:val="36A64789"/>
    <w:rsid w:val="36AF6D3B"/>
    <w:rsid w:val="36B9C47F"/>
    <w:rsid w:val="36BB6C0E"/>
    <w:rsid w:val="36C5E43A"/>
    <w:rsid w:val="36DC19C4"/>
    <w:rsid w:val="36DC2B4F"/>
    <w:rsid w:val="36DDD5C9"/>
    <w:rsid w:val="36EB0102"/>
    <w:rsid w:val="36ED44A7"/>
    <w:rsid w:val="36F8761D"/>
    <w:rsid w:val="36F8CFDA"/>
    <w:rsid w:val="36FAFBD6"/>
    <w:rsid w:val="36FC10DA"/>
    <w:rsid w:val="370737AD"/>
    <w:rsid w:val="370C15C0"/>
    <w:rsid w:val="37164D47"/>
    <w:rsid w:val="372ACF50"/>
    <w:rsid w:val="3731A31C"/>
    <w:rsid w:val="37417031"/>
    <w:rsid w:val="3754A5CB"/>
    <w:rsid w:val="3754D1FA"/>
    <w:rsid w:val="375D71F3"/>
    <w:rsid w:val="3761D733"/>
    <w:rsid w:val="376FAEC5"/>
    <w:rsid w:val="37762D4E"/>
    <w:rsid w:val="377EE699"/>
    <w:rsid w:val="3784AC8E"/>
    <w:rsid w:val="37970DE9"/>
    <w:rsid w:val="37A99F9F"/>
    <w:rsid w:val="37AA27C7"/>
    <w:rsid w:val="37AC4576"/>
    <w:rsid w:val="37BFAEA8"/>
    <w:rsid w:val="37C37A5D"/>
    <w:rsid w:val="37C9BC73"/>
    <w:rsid w:val="37CC4C13"/>
    <w:rsid w:val="37D0D204"/>
    <w:rsid w:val="37DCC2DB"/>
    <w:rsid w:val="37DCF75E"/>
    <w:rsid w:val="37E5B087"/>
    <w:rsid w:val="380CB48E"/>
    <w:rsid w:val="38143009"/>
    <w:rsid w:val="381D939C"/>
    <w:rsid w:val="381F264F"/>
    <w:rsid w:val="3822F7F8"/>
    <w:rsid w:val="383EE83C"/>
    <w:rsid w:val="384C3293"/>
    <w:rsid w:val="385CD73B"/>
    <w:rsid w:val="385E17B8"/>
    <w:rsid w:val="3867CB27"/>
    <w:rsid w:val="386832F8"/>
    <w:rsid w:val="38711973"/>
    <w:rsid w:val="387A2D7E"/>
    <w:rsid w:val="38813EE4"/>
    <w:rsid w:val="3889679A"/>
    <w:rsid w:val="38991CC5"/>
    <w:rsid w:val="389E4D90"/>
    <w:rsid w:val="38A971EB"/>
    <w:rsid w:val="38AF155B"/>
    <w:rsid w:val="38B0EAEA"/>
    <w:rsid w:val="38BC6290"/>
    <w:rsid w:val="38C51378"/>
    <w:rsid w:val="38DE03AF"/>
    <w:rsid w:val="38E401F6"/>
    <w:rsid w:val="38F37AB4"/>
    <w:rsid w:val="39125BE8"/>
    <w:rsid w:val="39292C9C"/>
    <w:rsid w:val="392F4C8F"/>
    <w:rsid w:val="39357E07"/>
    <w:rsid w:val="3939030A"/>
    <w:rsid w:val="394C0449"/>
    <w:rsid w:val="394C32AC"/>
    <w:rsid w:val="39566BB1"/>
    <w:rsid w:val="39615D4F"/>
    <w:rsid w:val="396BC320"/>
    <w:rsid w:val="397B4320"/>
    <w:rsid w:val="39859F87"/>
    <w:rsid w:val="398618E2"/>
    <w:rsid w:val="398F15CF"/>
    <w:rsid w:val="39A835C0"/>
    <w:rsid w:val="39B4CB90"/>
    <w:rsid w:val="39B664AF"/>
    <w:rsid w:val="39DA78BC"/>
    <w:rsid w:val="39DC089B"/>
    <w:rsid w:val="39E50CA0"/>
    <w:rsid w:val="39EF80A7"/>
    <w:rsid w:val="39F66202"/>
    <w:rsid w:val="39FF6EC6"/>
    <w:rsid w:val="3A067B22"/>
    <w:rsid w:val="3A115E3F"/>
    <w:rsid w:val="3A26ACFD"/>
    <w:rsid w:val="3A4C7A76"/>
    <w:rsid w:val="3A50FCA0"/>
    <w:rsid w:val="3A519932"/>
    <w:rsid w:val="3A54FA9F"/>
    <w:rsid w:val="3A56FC93"/>
    <w:rsid w:val="3A60FEA9"/>
    <w:rsid w:val="3A65E363"/>
    <w:rsid w:val="3A70A62C"/>
    <w:rsid w:val="3A71D886"/>
    <w:rsid w:val="3A896F4E"/>
    <w:rsid w:val="3A964B71"/>
    <w:rsid w:val="3A97C0E6"/>
    <w:rsid w:val="3AA48C77"/>
    <w:rsid w:val="3AB343B6"/>
    <w:rsid w:val="3AB48E66"/>
    <w:rsid w:val="3ABA4AEC"/>
    <w:rsid w:val="3AC2D8C9"/>
    <w:rsid w:val="3AC49F64"/>
    <w:rsid w:val="3AD5D117"/>
    <w:rsid w:val="3ADA6D71"/>
    <w:rsid w:val="3AE4228A"/>
    <w:rsid w:val="3AFEDC44"/>
    <w:rsid w:val="3B105269"/>
    <w:rsid w:val="3B18D9D6"/>
    <w:rsid w:val="3B58863A"/>
    <w:rsid w:val="3B58C0A3"/>
    <w:rsid w:val="3B62D7CD"/>
    <w:rsid w:val="3B679C6A"/>
    <w:rsid w:val="3B7ED7E1"/>
    <w:rsid w:val="3B81D5C6"/>
    <w:rsid w:val="3B8713D8"/>
    <w:rsid w:val="3B878555"/>
    <w:rsid w:val="3B90C517"/>
    <w:rsid w:val="3B94A7D7"/>
    <w:rsid w:val="3B96708C"/>
    <w:rsid w:val="3B97CC7D"/>
    <w:rsid w:val="3B9D805E"/>
    <w:rsid w:val="3BA4EFCD"/>
    <w:rsid w:val="3BB85405"/>
    <w:rsid w:val="3BD65207"/>
    <w:rsid w:val="3BF4DCF7"/>
    <w:rsid w:val="3BF8BD5A"/>
    <w:rsid w:val="3BF9AA64"/>
    <w:rsid w:val="3BFAFD81"/>
    <w:rsid w:val="3BFBDC5C"/>
    <w:rsid w:val="3C09A629"/>
    <w:rsid w:val="3C1203A4"/>
    <w:rsid w:val="3C17EC21"/>
    <w:rsid w:val="3C239F08"/>
    <w:rsid w:val="3C29D60F"/>
    <w:rsid w:val="3C2F0005"/>
    <w:rsid w:val="3C3049F0"/>
    <w:rsid w:val="3C316B4E"/>
    <w:rsid w:val="3C3E1E27"/>
    <w:rsid w:val="3C3E5B05"/>
    <w:rsid w:val="3C49E7AE"/>
    <w:rsid w:val="3C4C5935"/>
    <w:rsid w:val="3C54BF96"/>
    <w:rsid w:val="3C5BFE05"/>
    <w:rsid w:val="3C621C89"/>
    <w:rsid w:val="3C64822A"/>
    <w:rsid w:val="3C6C28FB"/>
    <w:rsid w:val="3C7366FD"/>
    <w:rsid w:val="3C927BE3"/>
    <w:rsid w:val="3C9307A8"/>
    <w:rsid w:val="3C938301"/>
    <w:rsid w:val="3C98EFCF"/>
    <w:rsid w:val="3C9DD0C7"/>
    <w:rsid w:val="3CA2F255"/>
    <w:rsid w:val="3CB0864C"/>
    <w:rsid w:val="3CB7FF4A"/>
    <w:rsid w:val="3CB827FC"/>
    <w:rsid w:val="3CB95E39"/>
    <w:rsid w:val="3CBAC375"/>
    <w:rsid w:val="3CBC0911"/>
    <w:rsid w:val="3CC671B7"/>
    <w:rsid w:val="3CC8FF95"/>
    <w:rsid w:val="3CDBA576"/>
    <w:rsid w:val="3CE04F7C"/>
    <w:rsid w:val="3CE17D24"/>
    <w:rsid w:val="3CE5434A"/>
    <w:rsid w:val="3CE7A821"/>
    <w:rsid w:val="3CFF3A37"/>
    <w:rsid w:val="3D04105D"/>
    <w:rsid w:val="3D12204C"/>
    <w:rsid w:val="3D22F27B"/>
    <w:rsid w:val="3D246033"/>
    <w:rsid w:val="3D27D7FD"/>
    <w:rsid w:val="3D316247"/>
    <w:rsid w:val="3D3397DB"/>
    <w:rsid w:val="3D33AD24"/>
    <w:rsid w:val="3D3651F4"/>
    <w:rsid w:val="3D365D06"/>
    <w:rsid w:val="3D392214"/>
    <w:rsid w:val="3D53429E"/>
    <w:rsid w:val="3D56DE0A"/>
    <w:rsid w:val="3D6CA413"/>
    <w:rsid w:val="3D955D8F"/>
    <w:rsid w:val="3D994950"/>
    <w:rsid w:val="3DC00EB8"/>
    <w:rsid w:val="3DD3A9FC"/>
    <w:rsid w:val="3DE9EF0D"/>
    <w:rsid w:val="3DEB486A"/>
    <w:rsid w:val="3DF31283"/>
    <w:rsid w:val="3DF88E76"/>
    <w:rsid w:val="3DFE0DCC"/>
    <w:rsid w:val="3E1ADF44"/>
    <w:rsid w:val="3E252751"/>
    <w:rsid w:val="3E515D69"/>
    <w:rsid w:val="3E595FE3"/>
    <w:rsid w:val="3E625A61"/>
    <w:rsid w:val="3E65F6DC"/>
    <w:rsid w:val="3E7AC49F"/>
    <w:rsid w:val="3E7BFF1A"/>
    <w:rsid w:val="3E7C5BB6"/>
    <w:rsid w:val="3E7D2747"/>
    <w:rsid w:val="3E839E7D"/>
    <w:rsid w:val="3E8FD7FE"/>
    <w:rsid w:val="3EA07463"/>
    <w:rsid w:val="3EAD418A"/>
    <w:rsid w:val="3EB0178D"/>
    <w:rsid w:val="3EB65FAA"/>
    <w:rsid w:val="3EC7190A"/>
    <w:rsid w:val="3ECC817E"/>
    <w:rsid w:val="3ECDFF08"/>
    <w:rsid w:val="3ED4665D"/>
    <w:rsid w:val="3ED7137E"/>
    <w:rsid w:val="3EEA3F02"/>
    <w:rsid w:val="3EF1B92B"/>
    <w:rsid w:val="3EFF6DBC"/>
    <w:rsid w:val="3F0B2831"/>
    <w:rsid w:val="3F0CE52E"/>
    <w:rsid w:val="3F1D7F98"/>
    <w:rsid w:val="3F1E183B"/>
    <w:rsid w:val="3F21E44F"/>
    <w:rsid w:val="3F22D523"/>
    <w:rsid w:val="3F30AE7F"/>
    <w:rsid w:val="3F4FDE14"/>
    <w:rsid w:val="3F5A5370"/>
    <w:rsid w:val="3F67B696"/>
    <w:rsid w:val="3F69FD03"/>
    <w:rsid w:val="3F86ABDD"/>
    <w:rsid w:val="3F891399"/>
    <w:rsid w:val="3F8C7CA1"/>
    <w:rsid w:val="3F98980C"/>
    <w:rsid w:val="3F9A5975"/>
    <w:rsid w:val="3FA32A4E"/>
    <w:rsid w:val="3FABBAA5"/>
    <w:rsid w:val="3FB75052"/>
    <w:rsid w:val="3FBC0F27"/>
    <w:rsid w:val="3FCF0714"/>
    <w:rsid w:val="3FCFE799"/>
    <w:rsid w:val="3FD242EE"/>
    <w:rsid w:val="3FD40963"/>
    <w:rsid w:val="3FE2EC5E"/>
    <w:rsid w:val="3FEA364B"/>
    <w:rsid w:val="3FEC8438"/>
    <w:rsid w:val="3FEF03D9"/>
    <w:rsid w:val="3FF340E0"/>
    <w:rsid w:val="3FF64C8D"/>
    <w:rsid w:val="3FF97091"/>
    <w:rsid w:val="3FFB14CE"/>
    <w:rsid w:val="400BCC8B"/>
    <w:rsid w:val="4019C89F"/>
    <w:rsid w:val="404A9075"/>
    <w:rsid w:val="40570359"/>
    <w:rsid w:val="406297E5"/>
    <w:rsid w:val="406BA8BA"/>
    <w:rsid w:val="407987CD"/>
    <w:rsid w:val="4084F55F"/>
    <w:rsid w:val="409266F3"/>
    <w:rsid w:val="409D1E8A"/>
    <w:rsid w:val="40A73BD4"/>
    <w:rsid w:val="40A7F858"/>
    <w:rsid w:val="40B4F526"/>
    <w:rsid w:val="40B5EEEB"/>
    <w:rsid w:val="40BA31F1"/>
    <w:rsid w:val="40BFE513"/>
    <w:rsid w:val="40C37201"/>
    <w:rsid w:val="40C3FD0C"/>
    <w:rsid w:val="40CBF4BE"/>
    <w:rsid w:val="40CDFC68"/>
    <w:rsid w:val="40CE2D0E"/>
    <w:rsid w:val="40CEABEA"/>
    <w:rsid w:val="40D26B01"/>
    <w:rsid w:val="40D46CD9"/>
    <w:rsid w:val="40EAADE0"/>
    <w:rsid w:val="40EAEE76"/>
    <w:rsid w:val="40FBE348"/>
    <w:rsid w:val="40FF02DD"/>
    <w:rsid w:val="410174C6"/>
    <w:rsid w:val="4107C53D"/>
    <w:rsid w:val="410D2BB9"/>
    <w:rsid w:val="411EEF1F"/>
    <w:rsid w:val="41276874"/>
    <w:rsid w:val="412EB9BE"/>
    <w:rsid w:val="41312FA3"/>
    <w:rsid w:val="413AB4E4"/>
    <w:rsid w:val="413C9647"/>
    <w:rsid w:val="413EFAAF"/>
    <w:rsid w:val="414DF7CF"/>
    <w:rsid w:val="414EBD89"/>
    <w:rsid w:val="41543D94"/>
    <w:rsid w:val="415D78D0"/>
    <w:rsid w:val="415F8B66"/>
    <w:rsid w:val="4176596F"/>
    <w:rsid w:val="418009B0"/>
    <w:rsid w:val="41849461"/>
    <w:rsid w:val="418592DE"/>
    <w:rsid w:val="41926776"/>
    <w:rsid w:val="41987F17"/>
    <w:rsid w:val="419C2BC9"/>
    <w:rsid w:val="419E59DE"/>
    <w:rsid w:val="41A1C16F"/>
    <w:rsid w:val="41AE07FC"/>
    <w:rsid w:val="41B14921"/>
    <w:rsid w:val="41B57839"/>
    <w:rsid w:val="41CF4216"/>
    <w:rsid w:val="41D2C5A6"/>
    <w:rsid w:val="41E83EF0"/>
    <w:rsid w:val="41FD21DB"/>
    <w:rsid w:val="41FFBBA1"/>
    <w:rsid w:val="4215A010"/>
    <w:rsid w:val="4232F232"/>
    <w:rsid w:val="4235FC60"/>
    <w:rsid w:val="423AD7A3"/>
    <w:rsid w:val="4248C34F"/>
    <w:rsid w:val="424A9E15"/>
    <w:rsid w:val="424FB792"/>
    <w:rsid w:val="4272D694"/>
    <w:rsid w:val="427E63A7"/>
    <w:rsid w:val="42814248"/>
    <w:rsid w:val="428D315D"/>
    <w:rsid w:val="42988348"/>
    <w:rsid w:val="42A06B6C"/>
    <w:rsid w:val="42A1FD08"/>
    <w:rsid w:val="42B5E995"/>
    <w:rsid w:val="42BA82F8"/>
    <w:rsid w:val="42BAEA72"/>
    <w:rsid w:val="42BB84DD"/>
    <w:rsid w:val="42BD2A2A"/>
    <w:rsid w:val="42BF486F"/>
    <w:rsid w:val="42C033A5"/>
    <w:rsid w:val="42C4DA85"/>
    <w:rsid w:val="42CFED16"/>
    <w:rsid w:val="42DFA963"/>
    <w:rsid w:val="42E7CB09"/>
    <w:rsid w:val="42E9A42D"/>
    <w:rsid w:val="42EC38E2"/>
    <w:rsid w:val="42F049DB"/>
    <w:rsid w:val="42F4227F"/>
    <w:rsid w:val="42F4FE84"/>
    <w:rsid w:val="42F70B9E"/>
    <w:rsid w:val="4302D831"/>
    <w:rsid w:val="4308E3B4"/>
    <w:rsid w:val="431DF800"/>
    <w:rsid w:val="4326C27F"/>
    <w:rsid w:val="4337D87F"/>
    <w:rsid w:val="434F6E71"/>
    <w:rsid w:val="43504DD8"/>
    <w:rsid w:val="4350BBF0"/>
    <w:rsid w:val="4351F7FC"/>
    <w:rsid w:val="4359D85D"/>
    <w:rsid w:val="43621E70"/>
    <w:rsid w:val="4387C63E"/>
    <w:rsid w:val="439A844C"/>
    <w:rsid w:val="439A863A"/>
    <w:rsid w:val="43A03BF9"/>
    <w:rsid w:val="43B0E43C"/>
    <w:rsid w:val="43B2E2D1"/>
    <w:rsid w:val="43B32D34"/>
    <w:rsid w:val="43B3DC24"/>
    <w:rsid w:val="43B3FBC5"/>
    <w:rsid w:val="43B5BBDB"/>
    <w:rsid w:val="43B5FFBF"/>
    <w:rsid w:val="43BB065E"/>
    <w:rsid w:val="43C29FE5"/>
    <w:rsid w:val="43C88454"/>
    <w:rsid w:val="43CC8FB7"/>
    <w:rsid w:val="43D1E82C"/>
    <w:rsid w:val="43EA6C88"/>
    <w:rsid w:val="43F43CD0"/>
    <w:rsid w:val="43FF12FA"/>
    <w:rsid w:val="440102E5"/>
    <w:rsid w:val="44045961"/>
    <w:rsid w:val="440CB64D"/>
    <w:rsid w:val="440F64B6"/>
    <w:rsid w:val="44102FBE"/>
    <w:rsid w:val="44130A4A"/>
    <w:rsid w:val="44214FDC"/>
    <w:rsid w:val="4423933E"/>
    <w:rsid w:val="442397DC"/>
    <w:rsid w:val="44254318"/>
    <w:rsid w:val="442FC415"/>
    <w:rsid w:val="442FD99B"/>
    <w:rsid w:val="443D7C38"/>
    <w:rsid w:val="444B9DCA"/>
    <w:rsid w:val="444FD59A"/>
    <w:rsid w:val="4450F599"/>
    <w:rsid w:val="4453DE9F"/>
    <w:rsid w:val="445B9057"/>
    <w:rsid w:val="446CF734"/>
    <w:rsid w:val="4477F1FA"/>
    <w:rsid w:val="447B3655"/>
    <w:rsid w:val="447DDA48"/>
    <w:rsid w:val="44873A7D"/>
    <w:rsid w:val="448F940E"/>
    <w:rsid w:val="449D1D8C"/>
    <w:rsid w:val="44A52695"/>
    <w:rsid w:val="44AC0332"/>
    <w:rsid w:val="44BF022E"/>
    <w:rsid w:val="44C85A6E"/>
    <w:rsid w:val="44DE76E0"/>
    <w:rsid w:val="44E18DAB"/>
    <w:rsid w:val="44F9BFC4"/>
    <w:rsid w:val="44FF32E6"/>
    <w:rsid w:val="450773E2"/>
    <w:rsid w:val="450DE754"/>
    <w:rsid w:val="452048BC"/>
    <w:rsid w:val="4529B325"/>
    <w:rsid w:val="4531A3A3"/>
    <w:rsid w:val="45347264"/>
    <w:rsid w:val="453E0A20"/>
    <w:rsid w:val="4545A97E"/>
    <w:rsid w:val="455C74C2"/>
    <w:rsid w:val="456E21A7"/>
    <w:rsid w:val="4572F61B"/>
    <w:rsid w:val="457F1560"/>
    <w:rsid w:val="4588E7F2"/>
    <w:rsid w:val="4591E3AD"/>
    <w:rsid w:val="4592F5D5"/>
    <w:rsid w:val="459927BA"/>
    <w:rsid w:val="45A43884"/>
    <w:rsid w:val="45AB683C"/>
    <w:rsid w:val="45BB9A75"/>
    <w:rsid w:val="45C4479D"/>
    <w:rsid w:val="45CBBCF2"/>
    <w:rsid w:val="45D04829"/>
    <w:rsid w:val="45D74E64"/>
    <w:rsid w:val="45DB1DD7"/>
    <w:rsid w:val="45DBFE33"/>
    <w:rsid w:val="461466B1"/>
    <w:rsid w:val="4622D819"/>
    <w:rsid w:val="4632EB15"/>
    <w:rsid w:val="46344F63"/>
    <w:rsid w:val="463A5A82"/>
    <w:rsid w:val="46492F81"/>
    <w:rsid w:val="46542C26"/>
    <w:rsid w:val="466091F8"/>
    <w:rsid w:val="4664C143"/>
    <w:rsid w:val="466D2C6C"/>
    <w:rsid w:val="467360B7"/>
    <w:rsid w:val="4686CB5C"/>
    <w:rsid w:val="4686E57B"/>
    <w:rsid w:val="4697F39F"/>
    <w:rsid w:val="4699F9A0"/>
    <w:rsid w:val="469E34DB"/>
    <w:rsid w:val="46A881FE"/>
    <w:rsid w:val="46AEF7A5"/>
    <w:rsid w:val="46AF8224"/>
    <w:rsid w:val="46B4990B"/>
    <w:rsid w:val="46BDABC0"/>
    <w:rsid w:val="46BEA630"/>
    <w:rsid w:val="46C35FC9"/>
    <w:rsid w:val="46CA4484"/>
    <w:rsid w:val="46CA7F55"/>
    <w:rsid w:val="46DBAF04"/>
    <w:rsid w:val="46EE6AAF"/>
    <w:rsid w:val="46FDB178"/>
    <w:rsid w:val="46FF1199"/>
    <w:rsid w:val="4702F85D"/>
    <w:rsid w:val="470DA1A3"/>
    <w:rsid w:val="471270DA"/>
    <w:rsid w:val="47143EEB"/>
    <w:rsid w:val="47168490"/>
    <w:rsid w:val="472E51A4"/>
    <w:rsid w:val="4736E4DE"/>
    <w:rsid w:val="473A1D95"/>
    <w:rsid w:val="475D8EF6"/>
    <w:rsid w:val="4768B43D"/>
    <w:rsid w:val="4769F8FB"/>
    <w:rsid w:val="47771509"/>
    <w:rsid w:val="47847DC5"/>
    <w:rsid w:val="4792EBD0"/>
    <w:rsid w:val="47944A73"/>
    <w:rsid w:val="4798ABF1"/>
    <w:rsid w:val="47A65B6B"/>
    <w:rsid w:val="47ABF8E3"/>
    <w:rsid w:val="47AD91D1"/>
    <w:rsid w:val="47AF7D9E"/>
    <w:rsid w:val="47BBFF43"/>
    <w:rsid w:val="47CC2A22"/>
    <w:rsid w:val="47DD2443"/>
    <w:rsid w:val="47E5D169"/>
    <w:rsid w:val="47E6803D"/>
    <w:rsid w:val="47E6998D"/>
    <w:rsid w:val="47EC77BF"/>
    <w:rsid w:val="47F2CA54"/>
    <w:rsid w:val="47FDA1F7"/>
    <w:rsid w:val="47FFC60A"/>
    <w:rsid w:val="480E1FD7"/>
    <w:rsid w:val="4813BA8B"/>
    <w:rsid w:val="48163B3F"/>
    <w:rsid w:val="481734B3"/>
    <w:rsid w:val="48179D5F"/>
    <w:rsid w:val="4825FC8C"/>
    <w:rsid w:val="482833F0"/>
    <w:rsid w:val="483BB720"/>
    <w:rsid w:val="4849E19F"/>
    <w:rsid w:val="484BAF52"/>
    <w:rsid w:val="484D32F8"/>
    <w:rsid w:val="484DF577"/>
    <w:rsid w:val="485E99DD"/>
    <w:rsid w:val="48620934"/>
    <w:rsid w:val="486468C4"/>
    <w:rsid w:val="486CBC18"/>
    <w:rsid w:val="486E3EAE"/>
    <w:rsid w:val="4875D2D1"/>
    <w:rsid w:val="4875F3D1"/>
    <w:rsid w:val="4876D539"/>
    <w:rsid w:val="487FAD46"/>
    <w:rsid w:val="48813CF0"/>
    <w:rsid w:val="488958DF"/>
    <w:rsid w:val="488C5B2B"/>
    <w:rsid w:val="489CEACB"/>
    <w:rsid w:val="48A95A02"/>
    <w:rsid w:val="48AD563A"/>
    <w:rsid w:val="48B04A43"/>
    <w:rsid w:val="48B29090"/>
    <w:rsid w:val="48B37A07"/>
    <w:rsid w:val="48B87589"/>
    <w:rsid w:val="48B96C59"/>
    <w:rsid w:val="48BEA2A1"/>
    <w:rsid w:val="48DF3584"/>
    <w:rsid w:val="48E7D41C"/>
    <w:rsid w:val="48F14E84"/>
    <w:rsid w:val="48F90A7C"/>
    <w:rsid w:val="4907E105"/>
    <w:rsid w:val="49160F39"/>
    <w:rsid w:val="4916B080"/>
    <w:rsid w:val="491D2AA0"/>
    <w:rsid w:val="491D4DCD"/>
    <w:rsid w:val="4924D637"/>
    <w:rsid w:val="49299076"/>
    <w:rsid w:val="49301101"/>
    <w:rsid w:val="493BFB8C"/>
    <w:rsid w:val="493F8AA8"/>
    <w:rsid w:val="4941B5E4"/>
    <w:rsid w:val="49480798"/>
    <w:rsid w:val="4954DAA3"/>
    <w:rsid w:val="49555FBA"/>
    <w:rsid w:val="495BDDB8"/>
    <w:rsid w:val="4963F45C"/>
    <w:rsid w:val="496A2587"/>
    <w:rsid w:val="4971453D"/>
    <w:rsid w:val="49753675"/>
    <w:rsid w:val="49819413"/>
    <w:rsid w:val="4982D31E"/>
    <w:rsid w:val="498E6D14"/>
    <w:rsid w:val="49910CEF"/>
    <w:rsid w:val="499B3B1F"/>
    <w:rsid w:val="49A0F0CD"/>
    <w:rsid w:val="49A63A7C"/>
    <w:rsid w:val="49A9E768"/>
    <w:rsid w:val="49B210D3"/>
    <w:rsid w:val="49CC234E"/>
    <w:rsid w:val="49CEDD20"/>
    <w:rsid w:val="49CFD276"/>
    <w:rsid w:val="49E24393"/>
    <w:rsid w:val="49E44514"/>
    <w:rsid w:val="49E84272"/>
    <w:rsid w:val="49F3FD7D"/>
    <w:rsid w:val="49F6B8E7"/>
    <w:rsid w:val="49F92DD2"/>
    <w:rsid w:val="49F98BAA"/>
    <w:rsid w:val="4A2C43D3"/>
    <w:rsid w:val="4A50139A"/>
    <w:rsid w:val="4A540B09"/>
    <w:rsid w:val="4A5BF8AA"/>
    <w:rsid w:val="4A5FE7E6"/>
    <w:rsid w:val="4A65D739"/>
    <w:rsid w:val="4A6E2A19"/>
    <w:rsid w:val="4A7FF972"/>
    <w:rsid w:val="4A863B86"/>
    <w:rsid w:val="4A86FB7C"/>
    <w:rsid w:val="4A8FFDE1"/>
    <w:rsid w:val="4A920195"/>
    <w:rsid w:val="4AA09DDE"/>
    <w:rsid w:val="4AC3FF72"/>
    <w:rsid w:val="4AF430A8"/>
    <w:rsid w:val="4AFB9716"/>
    <w:rsid w:val="4AFE727D"/>
    <w:rsid w:val="4B223259"/>
    <w:rsid w:val="4B279CC3"/>
    <w:rsid w:val="4B2B6FFF"/>
    <w:rsid w:val="4B2F8A49"/>
    <w:rsid w:val="4B380221"/>
    <w:rsid w:val="4B447F47"/>
    <w:rsid w:val="4B4F1DA4"/>
    <w:rsid w:val="4B613BB9"/>
    <w:rsid w:val="4B7212B2"/>
    <w:rsid w:val="4B7BD2F5"/>
    <w:rsid w:val="4B7FCC58"/>
    <w:rsid w:val="4B839161"/>
    <w:rsid w:val="4B8712C3"/>
    <w:rsid w:val="4B8CE53B"/>
    <w:rsid w:val="4B8E9F6C"/>
    <w:rsid w:val="4B90D675"/>
    <w:rsid w:val="4B936939"/>
    <w:rsid w:val="4B93E047"/>
    <w:rsid w:val="4B9ADD2B"/>
    <w:rsid w:val="4B9E0C08"/>
    <w:rsid w:val="4B9FC982"/>
    <w:rsid w:val="4BB544A4"/>
    <w:rsid w:val="4BC8ECA1"/>
    <w:rsid w:val="4BC98536"/>
    <w:rsid w:val="4BCDB01B"/>
    <w:rsid w:val="4BD0C7B1"/>
    <w:rsid w:val="4BE38353"/>
    <w:rsid w:val="4BECEBC9"/>
    <w:rsid w:val="4BED8E36"/>
    <w:rsid w:val="4BFFF14F"/>
    <w:rsid w:val="4C0D340A"/>
    <w:rsid w:val="4C1998BD"/>
    <w:rsid w:val="4C1A1E4B"/>
    <w:rsid w:val="4C1B5FB6"/>
    <w:rsid w:val="4C1B8FF4"/>
    <w:rsid w:val="4C2437FD"/>
    <w:rsid w:val="4C3D6F3E"/>
    <w:rsid w:val="4C559CE2"/>
    <w:rsid w:val="4C59D8C2"/>
    <w:rsid w:val="4C647DA2"/>
    <w:rsid w:val="4C74940A"/>
    <w:rsid w:val="4C7E2390"/>
    <w:rsid w:val="4C8374C3"/>
    <w:rsid w:val="4C8843A6"/>
    <w:rsid w:val="4C95FFEE"/>
    <w:rsid w:val="4CA8E34E"/>
    <w:rsid w:val="4CC65597"/>
    <w:rsid w:val="4CCBB136"/>
    <w:rsid w:val="4CCEEB65"/>
    <w:rsid w:val="4CD83551"/>
    <w:rsid w:val="4CE0110A"/>
    <w:rsid w:val="4CEB8FE6"/>
    <w:rsid w:val="4CED717C"/>
    <w:rsid w:val="4CEF538C"/>
    <w:rsid w:val="4CF25C70"/>
    <w:rsid w:val="4CFB5A94"/>
    <w:rsid w:val="4D06AA2C"/>
    <w:rsid w:val="4D11418C"/>
    <w:rsid w:val="4D186F1D"/>
    <w:rsid w:val="4D1F4A95"/>
    <w:rsid w:val="4D4B262F"/>
    <w:rsid w:val="4D4D6B62"/>
    <w:rsid w:val="4D4DFC90"/>
    <w:rsid w:val="4D4E4A55"/>
    <w:rsid w:val="4D4F22FC"/>
    <w:rsid w:val="4D54846C"/>
    <w:rsid w:val="4D5AFF53"/>
    <w:rsid w:val="4D6E60BC"/>
    <w:rsid w:val="4D709DC7"/>
    <w:rsid w:val="4D71333A"/>
    <w:rsid w:val="4D72F79F"/>
    <w:rsid w:val="4D74892B"/>
    <w:rsid w:val="4D7B68EC"/>
    <w:rsid w:val="4D81227B"/>
    <w:rsid w:val="4D85CB15"/>
    <w:rsid w:val="4D888133"/>
    <w:rsid w:val="4D8FFE02"/>
    <w:rsid w:val="4DAAB58A"/>
    <w:rsid w:val="4DAE966F"/>
    <w:rsid w:val="4DBE685A"/>
    <w:rsid w:val="4DC57178"/>
    <w:rsid w:val="4DE60E8C"/>
    <w:rsid w:val="4DE7AF5C"/>
    <w:rsid w:val="4DEFA6DB"/>
    <w:rsid w:val="4DF29641"/>
    <w:rsid w:val="4DF8D5E6"/>
    <w:rsid w:val="4DFD0199"/>
    <w:rsid w:val="4DFFACA3"/>
    <w:rsid w:val="4E094BE7"/>
    <w:rsid w:val="4E24D3D8"/>
    <w:rsid w:val="4E2B76A0"/>
    <w:rsid w:val="4E2F4DE7"/>
    <w:rsid w:val="4E3112A5"/>
    <w:rsid w:val="4E5039FA"/>
    <w:rsid w:val="4E6BBF05"/>
    <w:rsid w:val="4E7F9E25"/>
    <w:rsid w:val="4EA8731C"/>
    <w:rsid w:val="4EB10C84"/>
    <w:rsid w:val="4EB7325F"/>
    <w:rsid w:val="4EBC3477"/>
    <w:rsid w:val="4EBE188A"/>
    <w:rsid w:val="4EC60610"/>
    <w:rsid w:val="4EC96329"/>
    <w:rsid w:val="4ED356F7"/>
    <w:rsid w:val="4ED36E4A"/>
    <w:rsid w:val="4EE4DD0B"/>
    <w:rsid w:val="4EEC74FF"/>
    <w:rsid w:val="4EEE38FC"/>
    <w:rsid w:val="4EF82FF4"/>
    <w:rsid w:val="4EF91F07"/>
    <w:rsid w:val="4F0030D6"/>
    <w:rsid w:val="4F03CB61"/>
    <w:rsid w:val="4F06B433"/>
    <w:rsid w:val="4F0A4147"/>
    <w:rsid w:val="4F0AFE84"/>
    <w:rsid w:val="4F16CDAD"/>
    <w:rsid w:val="4F1D143E"/>
    <w:rsid w:val="4F1D89F6"/>
    <w:rsid w:val="4F24F328"/>
    <w:rsid w:val="4F27D0CF"/>
    <w:rsid w:val="4F294750"/>
    <w:rsid w:val="4F2AE6A4"/>
    <w:rsid w:val="4F3E2B03"/>
    <w:rsid w:val="4F3ECA75"/>
    <w:rsid w:val="4F4E29D6"/>
    <w:rsid w:val="4F5F99D2"/>
    <w:rsid w:val="4F622FF4"/>
    <w:rsid w:val="4F6B5646"/>
    <w:rsid w:val="4F70FFCB"/>
    <w:rsid w:val="4F802819"/>
    <w:rsid w:val="4F89878D"/>
    <w:rsid w:val="4F8CFFDF"/>
    <w:rsid w:val="4F8E02D2"/>
    <w:rsid w:val="4F8F7300"/>
    <w:rsid w:val="4F9A3FA2"/>
    <w:rsid w:val="4F9CB054"/>
    <w:rsid w:val="4F9D7492"/>
    <w:rsid w:val="4FA2FABD"/>
    <w:rsid w:val="4FA84CFA"/>
    <w:rsid w:val="4FAE8D11"/>
    <w:rsid w:val="4FAFE9E4"/>
    <w:rsid w:val="4FB57A6C"/>
    <w:rsid w:val="4FDD817F"/>
    <w:rsid w:val="4FDEB1DA"/>
    <w:rsid w:val="4FE42E1A"/>
    <w:rsid w:val="4FFB0DE6"/>
    <w:rsid w:val="5011F2EE"/>
    <w:rsid w:val="5013DBB6"/>
    <w:rsid w:val="5017B226"/>
    <w:rsid w:val="501F186B"/>
    <w:rsid w:val="50293C53"/>
    <w:rsid w:val="5029D362"/>
    <w:rsid w:val="502FC50C"/>
    <w:rsid w:val="5030FB8E"/>
    <w:rsid w:val="50353E1C"/>
    <w:rsid w:val="503AFAA2"/>
    <w:rsid w:val="504467E9"/>
    <w:rsid w:val="5044D4E0"/>
    <w:rsid w:val="5044F77E"/>
    <w:rsid w:val="505620F0"/>
    <w:rsid w:val="50603F90"/>
    <w:rsid w:val="50609AC6"/>
    <w:rsid w:val="5066F661"/>
    <w:rsid w:val="506C0EF8"/>
    <w:rsid w:val="508C731F"/>
    <w:rsid w:val="508D6D32"/>
    <w:rsid w:val="509B69C7"/>
    <w:rsid w:val="509ED997"/>
    <w:rsid w:val="50AA8747"/>
    <w:rsid w:val="50B57F19"/>
    <w:rsid w:val="50C00159"/>
    <w:rsid w:val="50CD4F04"/>
    <w:rsid w:val="50D96173"/>
    <w:rsid w:val="50DBEAD2"/>
    <w:rsid w:val="50E4468E"/>
    <w:rsid w:val="50F2E144"/>
    <w:rsid w:val="5104FA39"/>
    <w:rsid w:val="510CF18D"/>
    <w:rsid w:val="51277D3C"/>
    <w:rsid w:val="513AB2B4"/>
    <w:rsid w:val="513CD931"/>
    <w:rsid w:val="514A5D72"/>
    <w:rsid w:val="514B3AA6"/>
    <w:rsid w:val="514FBCCF"/>
    <w:rsid w:val="5151C343"/>
    <w:rsid w:val="51549BC1"/>
    <w:rsid w:val="515716B5"/>
    <w:rsid w:val="516CA850"/>
    <w:rsid w:val="51713108"/>
    <w:rsid w:val="5178E3F0"/>
    <w:rsid w:val="5184A155"/>
    <w:rsid w:val="51872283"/>
    <w:rsid w:val="519001D2"/>
    <w:rsid w:val="5192F7A7"/>
    <w:rsid w:val="5196CDE4"/>
    <w:rsid w:val="51A03678"/>
    <w:rsid w:val="51B17E7A"/>
    <w:rsid w:val="51B6EF6D"/>
    <w:rsid w:val="51BE45C1"/>
    <w:rsid w:val="51D40E0D"/>
    <w:rsid w:val="51DF0FA3"/>
    <w:rsid w:val="51E67679"/>
    <w:rsid w:val="51E9F2C4"/>
    <w:rsid w:val="51F69C36"/>
    <w:rsid w:val="51F9D8D5"/>
    <w:rsid w:val="51FE8E31"/>
    <w:rsid w:val="52052BE8"/>
    <w:rsid w:val="520C2768"/>
    <w:rsid w:val="520F7ED3"/>
    <w:rsid w:val="520F9887"/>
    <w:rsid w:val="5222667E"/>
    <w:rsid w:val="5227C8ED"/>
    <w:rsid w:val="522B2AFD"/>
    <w:rsid w:val="522B9FA7"/>
    <w:rsid w:val="523CA783"/>
    <w:rsid w:val="523DDAEC"/>
    <w:rsid w:val="52433FFD"/>
    <w:rsid w:val="52481E1D"/>
    <w:rsid w:val="52542083"/>
    <w:rsid w:val="52601C7A"/>
    <w:rsid w:val="526208CE"/>
    <w:rsid w:val="526B5277"/>
    <w:rsid w:val="52738829"/>
    <w:rsid w:val="52769FA1"/>
    <w:rsid w:val="52809262"/>
    <w:rsid w:val="528285E0"/>
    <w:rsid w:val="5282DE32"/>
    <w:rsid w:val="528D5377"/>
    <w:rsid w:val="52AA0C1D"/>
    <w:rsid w:val="52ADCD4B"/>
    <w:rsid w:val="52B79FE1"/>
    <w:rsid w:val="52C7F119"/>
    <w:rsid w:val="52D07EA3"/>
    <w:rsid w:val="52E28582"/>
    <w:rsid w:val="52ED1A11"/>
    <w:rsid w:val="5306F8BF"/>
    <w:rsid w:val="5314060D"/>
    <w:rsid w:val="531498DF"/>
    <w:rsid w:val="53164A73"/>
    <w:rsid w:val="532607A9"/>
    <w:rsid w:val="532E47E4"/>
    <w:rsid w:val="5353B75F"/>
    <w:rsid w:val="535A263F"/>
    <w:rsid w:val="536599CA"/>
    <w:rsid w:val="536BF534"/>
    <w:rsid w:val="53731038"/>
    <w:rsid w:val="537D3301"/>
    <w:rsid w:val="537EF797"/>
    <w:rsid w:val="53852C42"/>
    <w:rsid w:val="538A9769"/>
    <w:rsid w:val="538E5FA7"/>
    <w:rsid w:val="53925938"/>
    <w:rsid w:val="53ADDF87"/>
    <w:rsid w:val="53B08C55"/>
    <w:rsid w:val="53B66B56"/>
    <w:rsid w:val="53C2EB03"/>
    <w:rsid w:val="53C2ED6D"/>
    <w:rsid w:val="53CB2A21"/>
    <w:rsid w:val="53D13794"/>
    <w:rsid w:val="53D4BAC5"/>
    <w:rsid w:val="53E5A1BB"/>
    <w:rsid w:val="53E778F7"/>
    <w:rsid w:val="53EA7C94"/>
    <w:rsid w:val="53EFC8DE"/>
    <w:rsid w:val="5403AD70"/>
    <w:rsid w:val="540A128F"/>
    <w:rsid w:val="540D493E"/>
    <w:rsid w:val="54130C62"/>
    <w:rsid w:val="541DCB75"/>
    <w:rsid w:val="54257748"/>
    <w:rsid w:val="542665EF"/>
    <w:rsid w:val="54391E47"/>
    <w:rsid w:val="543B7DF2"/>
    <w:rsid w:val="5445FD5C"/>
    <w:rsid w:val="54474D50"/>
    <w:rsid w:val="544E42FE"/>
    <w:rsid w:val="5452D17B"/>
    <w:rsid w:val="545BDEB9"/>
    <w:rsid w:val="5466DADE"/>
    <w:rsid w:val="546A5B23"/>
    <w:rsid w:val="547DF2C0"/>
    <w:rsid w:val="54844DB3"/>
    <w:rsid w:val="549F06D7"/>
    <w:rsid w:val="54B22A6B"/>
    <w:rsid w:val="54B5AF1A"/>
    <w:rsid w:val="54C39A3A"/>
    <w:rsid w:val="54C3B25B"/>
    <w:rsid w:val="54C742CC"/>
    <w:rsid w:val="54CB89B3"/>
    <w:rsid w:val="54D885B2"/>
    <w:rsid w:val="54E39AD7"/>
    <w:rsid w:val="54E949E6"/>
    <w:rsid w:val="54E9DED8"/>
    <w:rsid w:val="54EFE3EE"/>
    <w:rsid w:val="54F6AD1C"/>
    <w:rsid w:val="54FFE95D"/>
    <w:rsid w:val="5508836F"/>
    <w:rsid w:val="550B5348"/>
    <w:rsid w:val="550E7232"/>
    <w:rsid w:val="5524F52F"/>
    <w:rsid w:val="55276844"/>
    <w:rsid w:val="5529D6BA"/>
    <w:rsid w:val="5533BD80"/>
    <w:rsid w:val="5533EAC7"/>
    <w:rsid w:val="5547B426"/>
    <w:rsid w:val="554B8CA9"/>
    <w:rsid w:val="5550A49D"/>
    <w:rsid w:val="5552CEC6"/>
    <w:rsid w:val="555A979D"/>
    <w:rsid w:val="5579797C"/>
    <w:rsid w:val="557A15B7"/>
    <w:rsid w:val="5582C50E"/>
    <w:rsid w:val="55841E37"/>
    <w:rsid w:val="558702BD"/>
    <w:rsid w:val="559912CB"/>
    <w:rsid w:val="559B3467"/>
    <w:rsid w:val="55A02B2B"/>
    <w:rsid w:val="55A26CD5"/>
    <w:rsid w:val="55ABAE67"/>
    <w:rsid w:val="55ABFDAD"/>
    <w:rsid w:val="55B35EF7"/>
    <w:rsid w:val="55B7297D"/>
    <w:rsid w:val="55F44B05"/>
    <w:rsid w:val="55F69B82"/>
    <w:rsid w:val="55F6B07A"/>
    <w:rsid w:val="5621875A"/>
    <w:rsid w:val="5630E410"/>
    <w:rsid w:val="563EFF02"/>
    <w:rsid w:val="5649FEBD"/>
    <w:rsid w:val="564CBDB0"/>
    <w:rsid w:val="565424B9"/>
    <w:rsid w:val="5660509C"/>
    <w:rsid w:val="56631491"/>
    <w:rsid w:val="56723CF0"/>
    <w:rsid w:val="567B8D81"/>
    <w:rsid w:val="56829786"/>
    <w:rsid w:val="56860DC8"/>
    <w:rsid w:val="5687C5CC"/>
    <w:rsid w:val="5690385B"/>
    <w:rsid w:val="56A1562E"/>
    <w:rsid w:val="56A1E626"/>
    <w:rsid w:val="56A42E51"/>
    <w:rsid w:val="56A5B7DF"/>
    <w:rsid w:val="56AA7367"/>
    <w:rsid w:val="56AA7D96"/>
    <w:rsid w:val="56C4C06C"/>
    <w:rsid w:val="56C94606"/>
    <w:rsid w:val="56C9F740"/>
    <w:rsid w:val="56D1D668"/>
    <w:rsid w:val="56D29FBC"/>
    <w:rsid w:val="56DA74C9"/>
    <w:rsid w:val="56DCB3BC"/>
    <w:rsid w:val="56E5F20A"/>
    <w:rsid w:val="56E78635"/>
    <w:rsid w:val="56FD0093"/>
    <w:rsid w:val="570CC5B0"/>
    <w:rsid w:val="570CE78E"/>
    <w:rsid w:val="57285278"/>
    <w:rsid w:val="57291BBE"/>
    <w:rsid w:val="5734E39E"/>
    <w:rsid w:val="573B593D"/>
    <w:rsid w:val="57447FD4"/>
    <w:rsid w:val="5748071C"/>
    <w:rsid w:val="574A34AF"/>
    <w:rsid w:val="574B5E1C"/>
    <w:rsid w:val="574F7640"/>
    <w:rsid w:val="574FDB58"/>
    <w:rsid w:val="57500D15"/>
    <w:rsid w:val="57548A6A"/>
    <w:rsid w:val="57554143"/>
    <w:rsid w:val="5757376D"/>
    <w:rsid w:val="575A984E"/>
    <w:rsid w:val="575B27C1"/>
    <w:rsid w:val="576051D9"/>
    <w:rsid w:val="5760F1AB"/>
    <w:rsid w:val="57651B95"/>
    <w:rsid w:val="5784243B"/>
    <w:rsid w:val="57A23BAF"/>
    <w:rsid w:val="57A6131A"/>
    <w:rsid w:val="57B11DD4"/>
    <w:rsid w:val="57BBA4C9"/>
    <w:rsid w:val="57BCFB7D"/>
    <w:rsid w:val="57BD523F"/>
    <w:rsid w:val="57C2378F"/>
    <w:rsid w:val="57C29E4E"/>
    <w:rsid w:val="57C960F8"/>
    <w:rsid w:val="57CFD94F"/>
    <w:rsid w:val="57D19457"/>
    <w:rsid w:val="57E1BE51"/>
    <w:rsid w:val="57F80A07"/>
    <w:rsid w:val="57F92177"/>
    <w:rsid w:val="57FB91E2"/>
    <w:rsid w:val="581150C6"/>
    <w:rsid w:val="58170DE5"/>
    <w:rsid w:val="581EEF2E"/>
    <w:rsid w:val="582C1011"/>
    <w:rsid w:val="582D8D09"/>
    <w:rsid w:val="5830DAA0"/>
    <w:rsid w:val="583D5213"/>
    <w:rsid w:val="583D888B"/>
    <w:rsid w:val="58447C4F"/>
    <w:rsid w:val="584BB7A7"/>
    <w:rsid w:val="58573EC4"/>
    <w:rsid w:val="585B9B61"/>
    <w:rsid w:val="5864EDF5"/>
    <w:rsid w:val="5867066B"/>
    <w:rsid w:val="586C46D7"/>
    <w:rsid w:val="5877C38C"/>
    <w:rsid w:val="5883D9A7"/>
    <w:rsid w:val="588B27CC"/>
    <w:rsid w:val="588D0634"/>
    <w:rsid w:val="588F9DF5"/>
    <w:rsid w:val="5895542E"/>
    <w:rsid w:val="5897DBC0"/>
    <w:rsid w:val="589A18C7"/>
    <w:rsid w:val="589A32A7"/>
    <w:rsid w:val="589CCC0C"/>
    <w:rsid w:val="58A7A69C"/>
    <w:rsid w:val="58ACF78D"/>
    <w:rsid w:val="58BD6A63"/>
    <w:rsid w:val="58C30B39"/>
    <w:rsid w:val="58D63921"/>
    <w:rsid w:val="58DA1B5E"/>
    <w:rsid w:val="58DB8919"/>
    <w:rsid w:val="58F29235"/>
    <w:rsid w:val="58FBE14D"/>
    <w:rsid w:val="58FEFF89"/>
    <w:rsid w:val="590567A7"/>
    <w:rsid w:val="5906EC5F"/>
    <w:rsid w:val="59095D94"/>
    <w:rsid w:val="590B4D69"/>
    <w:rsid w:val="590D1CD7"/>
    <w:rsid w:val="59252C10"/>
    <w:rsid w:val="592A50CB"/>
    <w:rsid w:val="5931825C"/>
    <w:rsid w:val="59477D0F"/>
    <w:rsid w:val="59498C6F"/>
    <w:rsid w:val="594ACC2C"/>
    <w:rsid w:val="5952A109"/>
    <w:rsid w:val="5953C18F"/>
    <w:rsid w:val="595A1958"/>
    <w:rsid w:val="595A7DDA"/>
    <w:rsid w:val="59601525"/>
    <w:rsid w:val="5964325F"/>
    <w:rsid w:val="5979EB5E"/>
    <w:rsid w:val="59851AF4"/>
    <w:rsid w:val="59873B0B"/>
    <w:rsid w:val="5987457D"/>
    <w:rsid w:val="5987B340"/>
    <w:rsid w:val="598C198E"/>
    <w:rsid w:val="598C48D7"/>
    <w:rsid w:val="598DE341"/>
    <w:rsid w:val="59993259"/>
    <w:rsid w:val="599A83BD"/>
    <w:rsid w:val="599C3825"/>
    <w:rsid w:val="59A052AD"/>
    <w:rsid w:val="59B5D79A"/>
    <w:rsid w:val="59BBEA43"/>
    <w:rsid w:val="59BFA3A0"/>
    <w:rsid w:val="59C3212A"/>
    <w:rsid w:val="59C3BDD5"/>
    <w:rsid w:val="59CE3205"/>
    <w:rsid w:val="59D26520"/>
    <w:rsid w:val="59E13C2E"/>
    <w:rsid w:val="59E2B8C1"/>
    <w:rsid w:val="59E49B56"/>
    <w:rsid w:val="59F4900F"/>
    <w:rsid w:val="5A085730"/>
    <w:rsid w:val="5A0EC4A1"/>
    <w:rsid w:val="5A2D5366"/>
    <w:rsid w:val="5A3188EB"/>
    <w:rsid w:val="5A38697D"/>
    <w:rsid w:val="5A4FF06C"/>
    <w:rsid w:val="5A67883F"/>
    <w:rsid w:val="5A72C9CA"/>
    <w:rsid w:val="5A81CE80"/>
    <w:rsid w:val="5A83CB28"/>
    <w:rsid w:val="5A8767D5"/>
    <w:rsid w:val="5A8B632F"/>
    <w:rsid w:val="5A935CDF"/>
    <w:rsid w:val="5A9A7969"/>
    <w:rsid w:val="5A9B2288"/>
    <w:rsid w:val="5AA7E02D"/>
    <w:rsid w:val="5AA83CC5"/>
    <w:rsid w:val="5AAFA730"/>
    <w:rsid w:val="5AB5CBFF"/>
    <w:rsid w:val="5AC032E5"/>
    <w:rsid w:val="5AD21F1B"/>
    <w:rsid w:val="5AD39B52"/>
    <w:rsid w:val="5AD3A961"/>
    <w:rsid w:val="5AD73C84"/>
    <w:rsid w:val="5ADD3D1A"/>
    <w:rsid w:val="5AE4DAE8"/>
    <w:rsid w:val="5AE583AE"/>
    <w:rsid w:val="5AF03630"/>
    <w:rsid w:val="5AF26775"/>
    <w:rsid w:val="5AFEAB1C"/>
    <w:rsid w:val="5B058D2B"/>
    <w:rsid w:val="5B08FB0F"/>
    <w:rsid w:val="5B1AD0A8"/>
    <w:rsid w:val="5B1B935A"/>
    <w:rsid w:val="5B2BC7FC"/>
    <w:rsid w:val="5B535E7F"/>
    <w:rsid w:val="5B53D833"/>
    <w:rsid w:val="5B574C58"/>
    <w:rsid w:val="5B6AE110"/>
    <w:rsid w:val="5B844F4E"/>
    <w:rsid w:val="5B85B203"/>
    <w:rsid w:val="5B9EA515"/>
    <w:rsid w:val="5BA0A172"/>
    <w:rsid w:val="5BB2922B"/>
    <w:rsid w:val="5BB37566"/>
    <w:rsid w:val="5BBB197C"/>
    <w:rsid w:val="5BC15F19"/>
    <w:rsid w:val="5BC214DD"/>
    <w:rsid w:val="5BE3035F"/>
    <w:rsid w:val="5BED6AAC"/>
    <w:rsid w:val="5BEE4D04"/>
    <w:rsid w:val="5BEE5C15"/>
    <w:rsid w:val="5BF3C77E"/>
    <w:rsid w:val="5C04A089"/>
    <w:rsid w:val="5C071B1C"/>
    <w:rsid w:val="5C0B0C25"/>
    <w:rsid w:val="5C19D3F5"/>
    <w:rsid w:val="5C1E3328"/>
    <w:rsid w:val="5C2924B9"/>
    <w:rsid w:val="5C2EC536"/>
    <w:rsid w:val="5C2F2712"/>
    <w:rsid w:val="5C2FEFEE"/>
    <w:rsid w:val="5C30ADB1"/>
    <w:rsid w:val="5C31B202"/>
    <w:rsid w:val="5C339101"/>
    <w:rsid w:val="5C3612E9"/>
    <w:rsid w:val="5C52A3FB"/>
    <w:rsid w:val="5C6B0AAB"/>
    <w:rsid w:val="5C74E2D7"/>
    <w:rsid w:val="5C7F7658"/>
    <w:rsid w:val="5C882866"/>
    <w:rsid w:val="5C8CA333"/>
    <w:rsid w:val="5C8F1816"/>
    <w:rsid w:val="5C921CDD"/>
    <w:rsid w:val="5C94E554"/>
    <w:rsid w:val="5C97D4B2"/>
    <w:rsid w:val="5CC74453"/>
    <w:rsid w:val="5CCC3DFD"/>
    <w:rsid w:val="5CE24C65"/>
    <w:rsid w:val="5CEA3C4D"/>
    <w:rsid w:val="5CEBF380"/>
    <w:rsid w:val="5CFBB077"/>
    <w:rsid w:val="5D005843"/>
    <w:rsid w:val="5D0EF300"/>
    <w:rsid w:val="5D21CD97"/>
    <w:rsid w:val="5D290558"/>
    <w:rsid w:val="5D29A81F"/>
    <w:rsid w:val="5D392C7E"/>
    <w:rsid w:val="5D39883B"/>
    <w:rsid w:val="5D39BB7C"/>
    <w:rsid w:val="5D471C30"/>
    <w:rsid w:val="5D610E61"/>
    <w:rsid w:val="5D62179C"/>
    <w:rsid w:val="5D6635C0"/>
    <w:rsid w:val="5D6E9171"/>
    <w:rsid w:val="5D7F71D6"/>
    <w:rsid w:val="5D843397"/>
    <w:rsid w:val="5D8E0B07"/>
    <w:rsid w:val="5D9FB234"/>
    <w:rsid w:val="5DAAF168"/>
    <w:rsid w:val="5DABAB34"/>
    <w:rsid w:val="5DACDCF8"/>
    <w:rsid w:val="5DAE18D1"/>
    <w:rsid w:val="5DC25E78"/>
    <w:rsid w:val="5DCD8716"/>
    <w:rsid w:val="5DE68E47"/>
    <w:rsid w:val="5DEC4E98"/>
    <w:rsid w:val="5E0E9B21"/>
    <w:rsid w:val="5E183A65"/>
    <w:rsid w:val="5E18E917"/>
    <w:rsid w:val="5E1FAA42"/>
    <w:rsid w:val="5E326E31"/>
    <w:rsid w:val="5E469595"/>
    <w:rsid w:val="5E58C66F"/>
    <w:rsid w:val="5E5C3F54"/>
    <w:rsid w:val="5E5C9EF7"/>
    <w:rsid w:val="5E63E03D"/>
    <w:rsid w:val="5E6979D5"/>
    <w:rsid w:val="5E72D066"/>
    <w:rsid w:val="5E77C622"/>
    <w:rsid w:val="5E784644"/>
    <w:rsid w:val="5E951511"/>
    <w:rsid w:val="5E96B3A0"/>
    <w:rsid w:val="5E97A22A"/>
    <w:rsid w:val="5E9C0732"/>
    <w:rsid w:val="5EA8E8A9"/>
    <w:rsid w:val="5EC8AC2F"/>
    <w:rsid w:val="5ECFF6C1"/>
    <w:rsid w:val="5EE131E2"/>
    <w:rsid w:val="5EEC504C"/>
    <w:rsid w:val="5F01EDD2"/>
    <w:rsid w:val="5F02FDB6"/>
    <w:rsid w:val="5F0436E2"/>
    <w:rsid w:val="5F07F668"/>
    <w:rsid w:val="5F0A94AF"/>
    <w:rsid w:val="5F1708BA"/>
    <w:rsid w:val="5F1B84EC"/>
    <w:rsid w:val="5F232CC1"/>
    <w:rsid w:val="5F24A7EF"/>
    <w:rsid w:val="5F27A5D6"/>
    <w:rsid w:val="5F2C7C83"/>
    <w:rsid w:val="5F2D90A5"/>
    <w:rsid w:val="5F319B7F"/>
    <w:rsid w:val="5F3B70E0"/>
    <w:rsid w:val="5F41C842"/>
    <w:rsid w:val="5F5131DC"/>
    <w:rsid w:val="5F644C9E"/>
    <w:rsid w:val="5F68A8CC"/>
    <w:rsid w:val="5F707D2C"/>
    <w:rsid w:val="5F761B8F"/>
    <w:rsid w:val="5F7AB889"/>
    <w:rsid w:val="5F821D63"/>
    <w:rsid w:val="5F8B93E8"/>
    <w:rsid w:val="5F8FD05C"/>
    <w:rsid w:val="5FA0932A"/>
    <w:rsid w:val="5FA15E3C"/>
    <w:rsid w:val="5FBD258A"/>
    <w:rsid w:val="5FBE4444"/>
    <w:rsid w:val="5FC23610"/>
    <w:rsid w:val="5FE5DDFE"/>
    <w:rsid w:val="5FF15BD5"/>
    <w:rsid w:val="5FF83F87"/>
    <w:rsid w:val="600D7903"/>
    <w:rsid w:val="6011C3B9"/>
    <w:rsid w:val="60242C73"/>
    <w:rsid w:val="602B12F8"/>
    <w:rsid w:val="604348C2"/>
    <w:rsid w:val="604521A6"/>
    <w:rsid w:val="60467EF6"/>
    <w:rsid w:val="6056EA13"/>
    <w:rsid w:val="606254F5"/>
    <w:rsid w:val="606343A7"/>
    <w:rsid w:val="6065E6D7"/>
    <w:rsid w:val="607C235F"/>
    <w:rsid w:val="608DF63A"/>
    <w:rsid w:val="60B4DC66"/>
    <w:rsid w:val="60CDAF14"/>
    <w:rsid w:val="60DE977C"/>
    <w:rsid w:val="60DF79D2"/>
    <w:rsid w:val="60E09A0F"/>
    <w:rsid w:val="60E1388C"/>
    <w:rsid w:val="60FAF0D8"/>
    <w:rsid w:val="6111E483"/>
    <w:rsid w:val="61162335"/>
    <w:rsid w:val="61289376"/>
    <w:rsid w:val="612ED73A"/>
    <w:rsid w:val="61357EEF"/>
    <w:rsid w:val="6141414D"/>
    <w:rsid w:val="614A4811"/>
    <w:rsid w:val="614D081B"/>
    <w:rsid w:val="614F0F5E"/>
    <w:rsid w:val="6151E738"/>
    <w:rsid w:val="6157F970"/>
    <w:rsid w:val="6161416E"/>
    <w:rsid w:val="61616242"/>
    <w:rsid w:val="6176E883"/>
    <w:rsid w:val="6177A9C8"/>
    <w:rsid w:val="6187C8E6"/>
    <w:rsid w:val="61894D03"/>
    <w:rsid w:val="61A3C63F"/>
    <w:rsid w:val="61AE73C5"/>
    <w:rsid w:val="61B93DD2"/>
    <w:rsid w:val="61BC0AF1"/>
    <w:rsid w:val="61BCAEAC"/>
    <w:rsid w:val="61BFA34B"/>
    <w:rsid w:val="61D41127"/>
    <w:rsid w:val="61D7646B"/>
    <w:rsid w:val="61E2C04C"/>
    <w:rsid w:val="61F6D0F1"/>
    <w:rsid w:val="61FBB7BA"/>
    <w:rsid w:val="620DF500"/>
    <w:rsid w:val="622B2CB8"/>
    <w:rsid w:val="622E32E3"/>
    <w:rsid w:val="62321A46"/>
    <w:rsid w:val="6249DD59"/>
    <w:rsid w:val="624ED0B0"/>
    <w:rsid w:val="62584AF6"/>
    <w:rsid w:val="625A24D9"/>
    <w:rsid w:val="626B2C0A"/>
    <w:rsid w:val="626D9355"/>
    <w:rsid w:val="62735571"/>
    <w:rsid w:val="6279E777"/>
    <w:rsid w:val="6284989D"/>
    <w:rsid w:val="6284A22E"/>
    <w:rsid w:val="628A0429"/>
    <w:rsid w:val="62947BEF"/>
    <w:rsid w:val="62AB3E2D"/>
    <w:rsid w:val="62B1C692"/>
    <w:rsid w:val="62B43516"/>
    <w:rsid w:val="62CEF051"/>
    <w:rsid w:val="62D3C818"/>
    <w:rsid w:val="62DBDB4D"/>
    <w:rsid w:val="62E0E9F2"/>
    <w:rsid w:val="62E34969"/>
    <w:rsid w:val="62E80E69"/>
    <w:rsid w:val="62ECB6F7"/>
    <w:rsid w:val="62F2043C"/>
    <w:rsid w:val="62F25E25"/>
    <w:rsid w:val="62F3D9F7"/>
    <w:rsid w:val="630D2C6A"/>
    <w:rsid w:val="631B6575"/>
    <w:rsid w:val="632E5D56"/>
    <w:rsid w:val="63390C75"/>
    <w:rsid w:val="6358E34B"/>
    <w:rsid w:val="637827CF"/>
    <w:rsid w:val="63889820"/>
    <w:rsid w:val="638C2AEC"/>
    <w:rsid w:val="63928F01"/>
    <w:rsid w:val="63A29879"/>
    <w:rsid w:val="63B1A385"/>
    <w:rsid w:val="63C21726"/>
    <w:rsid w:val="63E0EBB9"/>
    <w:rsid w:val="63E94DEA"/>
    <w:rsid w:val="63EFD6E3"/>
    <w:rsid w:val="6402D7D9"/>
    <w:rsid w:val="6417CE13"/>
    <w:rsid w:val="641EEAE5"/>
    <w:rsid w:val="64228D44"/>
    <w:rsid w:val="6422EB75"/>
    <w:rsid w:val="6429D72F"/>
    <w:rsid w:val="642A0602"/>
    <w:rsid w:val="642B7F78"/>
    <w:rsid w:val="6436FBAD"/>
    <w:rsid w:val="643FEB66"/>
    <w:rsid w:val="6440AFEF"/>
    <w:rsid w:val="6446E972"/>
    <w:rsid w:val="644FFEFB"/>
    <w:rsid w:val="645D8385"/>
    <w:rsid w:val="6462635C"/>
    <w:rsid w:val="6467EA5D"/>
    <w:rsid w:val="64711859"/>
    <w:rsid w:val="6471F8F5"/>
    <w:rsid w:val="6474A560"/>
    <w:rsid w:val="649B4CD0"/>
    <w:rsid w:val="64A64B10"/>
    <w:rsid w:val="64B74A4C"/>
    <w:rsid w:val="64BB13CD"/>
    <w:rsid w:val="64BEF987"/>
    <w:rsid w:val="64C194B7"/>
    <w:rsid w:val="64C2C1A0"/>
    <w:rsid w:val="64D11FAF"/>
    <w:rsid w:val="64D999AD"/>
    <w:rsid w:val="64D9B687"/>
    <w:rsid w:val="64E3F50E"/>
    <w:rsid w:val="64ECDCBA"/>
    <w:rsid w:val="64ED8774"/>
    <w:rsid w:val="64F1B0BB"/>
    <w:rsid w:val="64F42014"/>
    <w:rsid w:val="64FF9F89"/>
    <w:rsid w:val="6505F524"/>
    <w:rsid w:val="652A5DFD"/>
    <w:rsid w:val="652AAA76"/>
    <w:rsid w:val="652F6D3B"/>
    <w:rsid w:val="653A921B"/>
    <w:rsid w:val="654F440A"/>
    <w:rsid w:val="655A191F"/>
    <w:rsid w:val="655AEB60"/>
    <w:rsid w:val="6567380E"/>
    <w:rsid w:val="65708122"/>
    <w:rsid w:val="6570AEAF"/>
    <w:rsid w:val="6573509F"/>
    <w:rsid w:val="65742057"/>
    <w:rsid w:val="65866A2D"/>
    <w:rsid w:val="659578F0"/>
    <w:rsid w:val="65974187"/>
    <w:rsid w:val="65A00CEF"/>
    <w:rsid w:val="65A46E90"/>
    <w:rsid w:val="65A4FF48"/>
    <w:rsid w:val="65BB0D69"/>
    <w:rsid w:val="65CFBC4F"/>
    <w:rsid w:val="65D1D829"/>
    <w:rsid w:val="65DB8DA4"/>
    <w:rsid w:val="65EDEF69"/>
    <w:rsid w:val="65F64467"/>
    <w:rsid w:val="660A446A"/>
    <w:rsid w:val="66178E70"/>
    <w:rsid w:val="661D008D"/>
    <w:rsid w:val="66282705"/>
    <w:rsid w:val="664D2F9D"/>
    <w:rsid w:val="665A5069"/>
    <w:rsid w:val="6664B4A6"/>
    <w:rsid w:val="66697290"/>
    <w:rsid w:val="6677E923"/>
    <w:rsid w:val="667F3FFA"/>
    <w:rsid w:val="667F4553"/>
    <w:rsid w:val="6684C6C6"/>
    <w:rsid w:val="6695452F"/>
    <w:rsid w:val="669A1B76"/>
    <w:rsid w:val="669F45C2"/>
    <w:rsid w:val="66A8B581"/>
    <w:rsid w:val="66ACB2FF"/>
    <w:rsid w:val="66C2621C"/>
    <w:rsid w:val="66C71A1D"/>
    <w:rsid w:val="66D0C30C"/>
    <w:rsid w:val="66DB3AA5"/>
    <w:rsid w:val="66DF992C"/>
    <w:rsid w:val="66E8FC65"/>
    <w:rsid w:val="66F5370C"/>
    <w:rsid w:val="67060F79"/>
    <w:rsid w:val="671810C4"/>
    <w:rsid w:val="671962A8"/>
    <w:rsid w:val="6720D030"/>
    <w:rsid w:val="67364488"/>
    <w:rsid w:val="6738AF3D"/>
    <w:rsid w:val="673C1B04"/>
    <w:rsid w:val="673D8A12"/>
    <w:rsid w:val="67498E83"/>
    <w:rsid w:val="6753CEBE"/>
    <w:rsid w:val="675B3D2A"/>
    <w:rsid w:val="675E92B4"/>
    <w:rsid w:val="675FB39D"/>
    <w:rsid w:val="6766E128"/>
    <w:rsid w:val="677747B0"/>
    <w:rsid w:val="677D8826"/>
    <w:rsid w:val="6782CE98"/>
    <w:rsid w:val="6785DA05"/>
    <w:rsid w:val="6788C42F"/>
    <w:rsid w:val="6789D346"/>
    <w:rsid w:val="678A3307"/>
    <w:rsid w:val="6794F393"/>
    <w:rsid w:val="67B23507"/>
    <w:rsid w:val="67B731DB"/>
    <w:rsid w:val="67C73EDF"/>
    <w:rsid w:val="67DB9439"/>
    <w:rsid w:val="67DCFFCB"/>
    <w:rsid w:val="67F55E63"/>
    <w:rsid w:val="68048F6F"/>
    <w:rsid w:val="680DE189"/>
    <w:rsid w:val="6815C92C"/>
    <w:rsid w:val="68187E07"/>
    <w:rsid w:val="6822A614"/>
    <w:rsid w:val="68272F24"/>
    <w:rsid w:val="6847858F"/>
    <w:rsid w:val="685D2290"/>
    <w:rsid w:val="685F63BA"/>
    <w:rsid w:val="686140B0"/>
    <w:rsid w:val="6868CEB3"/>
    <w:rsid w:val="686957C9"/>
    <w:rsid w:val="68723156"/>
    <w:rsid w:val="68795F1F"/>
    <w:rsid w:val="687EBC14"/>
    <w:rsid w:val="689B8E5D"/>
    <w:rsid w:val="68ABDCAC"/>
    <w:rsid w:val="68AD1333"/>
    <w:rsid w:val="68B282BD"/>
    <w:rsid w:val="68C643A8"/>
    <w:rsid w:val="68D27BFB"/>
    <w:rsid w:val="68D28B1C"/>
    <w:rsid w:val="68E58224"/>
    <w:rsid w:val="68EF68B3"/>
    <w:rsid w:val="68F276C0"/>
    <w:rsid w:val="6908F374"/>
    <w:rsid w:val="690E02D3"/>
    <w:rsid w:val="69111D7D"/>
    <w:rsid w:val="69127C52"/>
    <w:rsid w:val="691C3D66"/>
    <w:rsid w:val="691FD0B4"/>
    <w:rsid w:val="692BDD6E"/>
    <w:rsid w:val="693158D9"/>
    <w:rsid w:val="6935EF70"/>
    <w:rsid w:val="693FEE69"/>
    <w:rsid w:val="6940674C"/>
    <w:rsid w:val="6945D769"/>
    <w:rsid w:val="694A095D"/>
    <w:rsid w:val="6959E48F"/>
    <w:rsid w:val="695BB51D"/>
    <w:rsid w:val="695E74AB"/>
    <w:rsid w:val="695ED868"/>
    <w:rsid w:val="69636E3D"/>
    <w:rsid w:val="69656B70"/>
    <w:rsid w:val="6969AFE9"/>
    <w:rsid w:val="6971E92E"/>
    <w:rsid w:val="697BA0C6"/>
    <w:rsid w:val="698300FD"/>
    <w:rsid w:val="698C3908"/>
    <w:rsid w:val="6992B133"/>
    <w:rsid w:val="699B5212"/>
    <w:rsid w:val="699B69C2"/>
    <w:rsid w:val="69AF0561"/>
    <w:rsid w:val="69AF7F90"/>
    <w:rsid w:val="69B1B2DC"/>
    <w:rsid w:val="69C5D24E"/>
    <w:rsid w:val="69D2C2F5"/>
    <w:rsid w:val="69D4F64D"/>
    <w:rsid w:val="69E72ACE"/>
    <w:rsid w:val="69F2835C"/>
    <w:rsid w:val="6A0FE565"/>
    <w:rsid w:val="6A148DA1"/>
    <w:rsid w:val="6A15210A"/>
    <w:rsid w:val="6A1CC678"/>
    <w:rsid w:val="6A210D3F"/>
    <w:rsid w:val="6A233A69"/>
    <w:rsid w:val="6A3598DD"/>
    <w:rsid w:val="6A383930"/>
    <w:rsid w:val="6A3B44E9"/>
    <w:rsid w:val="6A4B45F0"/>
    <w:rsid w:val="6A4BA8EC"/>
    <w:rsid w:val="6A52D4F3"/>
    <w:rsid w:val="6A58C9AB"/>
    <w:rsid w:val="6A62727B"/>
    <w:rsid w:val="6A84BAD9"/>
    <w:rsid w:val="6A864664"/>
    <w:rsid w:val="6A8DBB35"/>
    <w:rsid w:val="6A9471A0"/>
    <w:rsid w:val="6A9518A7"/>
    <w:rsid w:val="6A996D65"/>
    <w:rsid w:val="6A9A7967"/>
    <w:rsid w:val="6AA06667"/>
    <w:rsid w:val="6AA71FE7"/>
    <w:rsid w:val="6AD478F9"/>
    <w:rsid w:val="6ADC2EF0"/>
    <w:rsid w:val="6ADF38CC"/>
    <w:rsid w:val="6AF52B3A"/>
    <w:rsid w:val="6AF63F56"/>
    <w:rsid w:val="6B14B564"/>
    <w:rsid w:val="6B265506"/>
    <w:rsid w:val="6B2B6271"/>
    <w:rsid w:val="6B2CB636"/>
    <w:rsid w:val="6B2F8165"/>
    <w:rsid w:val="6B3038D1"/>
    <w:rsid w:val="6B342313"/>
    <w:rsid w:val="6B3F9C81"/>
    <w:rsid w:val="6B4925B0"/>
    <w:rsid w:val="6B4E4221"/>
    <w:rsid w:val="6B4F819F"/>
    <w:rsid w:val="6B52679B"/>
    <w:rsid w:val="6B598393"/>
    <w:rsid w:val="6B6C91C9"/>
    <w:rsid w:val="6B760ECD"/>
    <w:rsid w:val="6B81E1A8"/>
    <w:rsid w:val="6B87B1B1"/>
    <w:rsid w:val="6B8C2F7B"/>
    <w:rsid w:val="6B99D54A"/>
    <w:rsid w:val="6BA18560"/>
    <w:rsid w:val="6BA2E3D4"/>
    <w:rsid w:val="6BB30A73"/>
    <w:rsid w:val="6BB43456"/>
    <w:rsid w:val="6BB877D5"/>
    <w:rsid w:val="6BBB1394"/>
    <w:rsid w:val="6BC6BB29"/>
    <w:rsid w:val="6BCCF9EA"/>
    <w:rsid w:val="6BE1E641"/>
    <w:rsid w:val="6C18F80F"/>
    <w:rsid w:val="6C1E4DA8"/>
    <w:rsid w:val="6C26BFAB"/>
    <w:rsid w:val="6C29BF75"/>
    <w:rsid w:val="6C2E748F"/>
    <w:rsid w:val="6C2FF144"/>
    <w:rsid w:val="6C32ABCB"/>
    <w:rsid w:val="6C3F8D35"/>
    <w:rsid w:val="6C5010FA"/>
    <w:rsid w:val="6C58548E"/>
    <w:rsid w:val="6C5A8389"/>
    <w:rsid w:val="6C5B6A83"/>
    <w:rsid w:val="6C613058"/>
    <w:rsid w:val="6C64A953"/>
    <w:rsid w:val="6C677632"/>
    <w:rsid w:val="6C692248"/>
    <w:rsid w:val="6C71C4DC"/>
    <w:rsid w:val="6C746F93"/>
    <w:rsid w:val="6C920E12"/>
    <w:rsid w:val="6C9B4606"/>
    <w:rsid w:val="6CA070D6"/>
    <w:rsid w:val="6CA2351B"/>
    <w:rsid w:val="6CAEE387"/>
    <w:rsid w:val="6CB06DE3"/>
    <w:rsid w:val="6CB43D7D"/>
    <w:rsid w:val="6CC7AD8C"/>
    <w:rsid w:val="6CD0B81E"/>
    <w:rsid w:val="6CD3FFDA"/>
    <w:rsid w:val="6CD55683"/>
    <w:rsid w:val="6CE4327E"/>
    <w:rsid w:val="6CE94F11"/>
    <w:rsid w:val="6CE994E6"/>
    <w:rsid w:val="6CEF95D4"/>
    <w:rsid w:val="6CFBB528"/>
    <w:rsid w:val="6D11C1E6"/>
    <w:rsid w:val="6D224372"/>
    <w:rsid w:val="6D228012"/>
    <w:rsid w:val="6D28DFBA"/>
    <w:rsid w:val="6D543EDB"/>
    <w:rsid w:val="6D5E1DCD"/>
    <w:rsid w:val="6D63271B"/>
    <w:rsid w:val="6D6E3320"/>
    <w:rsid w:val="6D6ED1F8"/>
    <w:rsid w:val="6D874010"/>
    <w:rsid w:val="6D8C5B4D"/>
    <w:rsid w:val="6D917A53"/>
    <w:rsid w:val="6D93BF25"/>
    <w:rsid w:val="6DA1C856"/>
    <w:rsid w:val="6DC40AD7"/>
    <w:rsid w:val="6DC4DC0B"/>
    <w:rsid w:val="6DD95991"/>
    <w:rsid w:val="6DE53C3B"/>
    <w:rsid w:val="6DEFB30C"/>
    <w:rsid w:val="6DF21822"/>
    <w:rsid w:val="6DF46A81"/>
    <w:rsid w:val="6DFD8140"/>
    <w:rsid w:val="6E109A69"/>
    <w:rsid w:val="6E130C60"/>
    <w:rsid w:val="6E15B27F"/>
    <w:rsid w:val="6E222C30"/>
    <w:rsid w:val="6E2DEE44"/>
    <w:rsid w:val="6E2F742F"/>
    <w:rsid w:val="6E385AE1"/>
    <w:rsid w:val="6E3EC358"/>
    <w:rsid w:val="6E5FA3E6"/>
    <w:rsid w:val="6E640B80"/>
    <w:rsid w:val="6E6D6A29"/>
    <w:rsid w:val="6E70E0AD"/>
    <w:rsid w:val="6E82B175"/>
    <w:rsid w:val="6E8F3A43"/>
    <w:rsid w:val="6E93AB3C"/>
    <w:rsid w:val="6E93B316"/>
    <w:rsid w:val="6E973D72"/>
    <w:rsid w:val="6E9B81EA"/>
    <w:rsid w:val="6E9D4705"/>
    <w:rsid w:val="6EA368E1"/>
    <w:rsid w:val="6EACA15E"/>
    <w:rsid w:val="6EB14C48"/>
    <w:rsid w:val="6EB75057"/>
    <w:rsid w:val="6EBA63BE"/>
    <w:rsid w:val="6EC03A1B"/>
    <w:rsid w:val="6EC25E4D"/>
    <w:rsid w:val="6EC2944D"/>
    <w:rsid w:val="6EC4E287"/>
    <w:rsid w:val="6EC6213A"/>
    <w:rsid w:val="6EC7B4D1"/>
    <w:rsid w:val="6ED7D622"/>
    <w:rsid w:val="6EDE0F2E"/>
    <w:rsid w:val="6EE21FB9"/>
    <w:rsid w:val="6EFAA27C"/>
    <w:rsid w:val="6F0CA739"/>
    <w:rsid w:val="6F129D62"/>
    <w:rsid w:val="6F2D2012"/>
    <w:rsid w:val="6F2EA0B0"/>
    <w:rsid w:val="6F54FCD2"/>
    <w:rsid w:val="6F59B913"/>
    <w:rsid w:val="6F5F9DCF"/>
    <w:rsid w:val="6F60264F"/>
    <w:rsid w:val="6F66F634"/>
    <w:rsid w:val="6F8570BC"/>
    <w:rsid w:val="6F85B574"/>
    <w:rsid w:val="6F95E152"/>
    <w:rsid w:val="6F9797E9"/>
    <w:rsid w:val="6FB495A0"/>
    <w:rsid w:val="6FC39DDE"/>
    <w:rsid w:val="6FD4EE71"/>
    <w:rsid w:val="6FE1C37A"/>
    <w:rsid w:val="6FE4D0E8"/>
    <w:rsid w:val="6FECB709"/>
    <w:rsid w:val="6FFBD5EA"/>
    <w:rsid w:val="6FFE253F"/>
    <w:rsid w:val="6FFF15CB"/>
    <w:rsid w:val="7000120E"/>
    <w:rsid w:val="70005055"/>
    <w:rsid w:val="70042DE6"/>
    <w:rsid w:val="701070DE"/>
    <w:rsid w:val="702284F4"/>
    <w:rsid w:val="7026C8F7"/>
    <w:rsid w:val="702C7014"/>
    <w:rsid w:val="70305709"/>
    <w:rsid w:val="703CB966"/>
    <w:rsid w:val="70456274"/>
    <w:rsid w:val="70484A25"/>
    <w:rsid w:val="704F85FC"/>
    <w:rsid w:val="7068841E"/>
    <w:rsid w:val="70AEE62A"/>
    <w:rsid w:val="70C8B464"/>
    <w:rsid w:val="70CAD1F8"/>
    <w:rsid w:val="70CE32C6"/>
    <w:rsid w:val="70D9A13F"/>
    <w:rsid w:val="70E41546"/>
    <w:rsid w:val="70E93FE9"/>
    <w:rsid w:val="710940CE"/>
    <w:rsid w:val="71166AFA"/>
    <w:rsid w:val="7126AE34"/>
    <w:rsid w:val="71294FC3"/>
    <w:rsid w:val="712B49B3"/>
    <w:rsid w:val="712B9649"/>
    <w:rsid w:val="71348577"/>
    <w:rsid w:val="713F0026"/>
    <w:rsid w:val="7144705B"/>
    <w:rsid w:val="714565FC"/>
    <w:rsid w:val="714EE062"/>
    <w:rsid w:val="71518F26"/>
    <w:rsid w:val="71530C68"/>
    <w:rsid w:val="71587FD5"/>
    <w:rsid w:val="715F1BD9"/>
    <w:rsid w:val="7162BC3E"/>
    <w:rsid w:val="7169C1FA"/>
    <w:rsid w:val="718E2960"/>
    <w:rsid w:val="718EB4F2"/>
    <w:rsid w:val="71940719"/>
    <w:rsid w:val="719DFF84"/>
    <w:rsid w:val="71BB351A"/>
    <w:rsid w:val="71CFC3C8"/>
    <w:rsid w:val="71D4EC83"/>
    <w:rsid w:val="71D6FC81"/>
    <w:rsid w:val="71D87951"/>
    <w:rsid w:val="71E2DF51"/>
    <w:rsid w:val="71E3B93D"/>
    <w:rsid w:val="71E5EA34"/>
    <w:rsid w:val="71F3EF85"/>
    <w:rsid w:val="720185CE"/>
    <w:rsid w:val="720552B9"/>
    <w:rsid w:val="720BF35A"/>
    <w:rsid w:val="72127C97"/>
    <w:rsid w:val="721A690E"/>
    <w:rsid w:val="721EBC3F"/>
    <w:rsid w:val="721F3753"/>
    <w:rsid w:val="721FF8DD"/>
    <w:rsid w:val="7220B75B"/>
    <w:rsid w:val="723BB817"/>
    <w:rsid w:val="723BEB96"/>
    <w:rsid w:val="724D1A7A"/>
    <w:rsid w:val="72503F8A"/>
    <w:rsid w:val="7251F996"/>
    <w:rsid w:val="726F1846"/>
    <w:rsid w:val="7289F20A"/>
    <w:rsid w:val="729C241F"/>
    <w:rsid w:val="72A0438D"/>
    <w:rsid w:val="72A5ADF7"/>
    <w:rsid w:val="72A999A0"/>
    <w:rsid w:val="72AA81CD"/>
    <w:rsid w:val="72CA8695"/>
    <w:rsid w:val="72CB7D1B"/>
    <w:rsid w:val="72CCB7E6"/>
    <w:rsid w:val="72CE0762"/>
    <w:rsid w:val="72EC2A64"/>
    <w:rsid w:val="72ECA327"/>
    <w:rsid w:val="72ECF6F0"/>
    <w:rsid w:val="72F1CCAD"/>
    <w:rsid w:val="72FD943C"/>
    <w:rsid w:val="73097C58"/>
    <w:rsid w:val="731BAF1D"/>
    <w:rsid w:val="7320F126"/>
    <w:rsid w:val="7325753B"/>
    <w:rsid w:val="733550C8"/>
    <w:rsid w:val="733ABC20"/>
    <w:rsid w:val="734C8790"/>
    <w:rsid w:val="7361D0AD"/>
    <w:rsid w:val="736689B1"/>
    <w:rsid w:val="7372026A"/>
    <w:rsid w:val="738A4E48"/>
    <w:rsid w:val="73B4E871"/>
    <w:rsid w:val="73CF2239"/>
    <w:rsid w:val="73E8D4A2"/>
    <w:rsid w:val="73ECAD5A"/>
    <w:rsid w:val="73EFE8BF"/>
    <w:rsid w:val="73F05EAD"/>
    <w:rsid w:val="7404B807"/>
    <w:rsid w:val="740864FB"/>
    <w:rsid w:val="741C6184"/>
    <w:rsid w:val="7425A53F"/>
    <w:rsid w:val="7429078F"/>
    <w:rsid w:val="74369506"/>
    <w:rsid w:val="74443D26"/>
    <w:rsid w:val="746DBC88"/>
    <w:rsid w:val="74783F8C"/>
    <w:rsid w:val="747A6758"/>
    <w:rsid w:val="748FF484"/>
    <w:rsid w:val="74943C55"/>
    <w:rsid w:val="7494BE1B"/>
    <w:rsid w:val="749F0ED3"/>
    <w:rsid w:val="74A5A38A"/>
    <w:rsid w:val="74AC7F36"/>
    <w:rsid w:val="74B6F48C"/>
    <w:rsid w:val="74CD5606"/>
    <w:rsid w:val="74E60FAF"/>
    <w:rsid w:val="74F2C6E0"/>
    <w:rsid w:val="74FB5FBA"/>
    <w:rsid w:val="750B1BC6"/>
    <w:rsid w:val="750CF8C3"/>
    <w:rsid w:val="750DF70A"/>
    <w:rsid w:val="7512FC70"/>
    <w:rsid w:val="7522BFF1"/>
    <w:rsid w:val="7523614E"/>
    <w:rsid w:val="75317A21"/>
    <w:rsid w:val="754DF72A"/>
    <w:rsid w:val="755DC16F"/>
    <w:rsid w:val="755E45FD"/>
    <w:rsid w:val="756FC1FF"/>
    <w:rsid w:val="7579DAD5"/>
    <w:rsid w:val="7586A851"/>
    <w:rsid w:val="758EA709"/>
    <w:rsid w:val="75991BA9"/>
    <w:rsid w:val="759C71B7"/>
    <w:rsid w:val="75A310CE"/>
    <w:rsid w:val="75A3C957"/>
    <w:rsid w:val="75AC1A4A"/>
    <w:rsid w:val="75AC9724"/>
    <w:rsid w:val="75BF03CC"/>
    <w:rsid w:val="75C4CED2"/>
    <w:rsid w:val="75CBB89F"/>
    <w:rsid w:val="75D1F905"/>
    <w:rsid w:val="75DCCC0D"/>
    <w:rsid w:val="75E27943"/>
    <w:rsid w:val="760FF1B4"/>
    <w:rsid w:val="76130554"/>
    <w:rsid w:val="76131340"/>
    <w:rsid w:val="7617F030"/>
    <w:rsid w:val="761B2E65"/>
    <w:rsid w:val="761EDDA4"/>
    <w:rsid w:val="762132A8"/>
    <w:rsid w:val="76345537"/>
    <w:rsid w:val="764FB370"/>
    <w:rsid w:val="76535CF3"/>
    <w:rsid w:val="76594892"/>
    <w:rsid w:val="765CB2EB"/>
    <w:rsid w:val="765E31D3"/>
    <w:rsid w:val="76766EB2"/>
    <w:rsid w:val="767C6720"/>
    <w:rsid w:val="767EED8E"/>
    <w:rsid w:val="76812E42"/>
    <w:rsid w:val="76863A0B"/>
    <w:rsid w:val="7686B060"/>
    <w:rsid w:val="7689940A"/>
    <w:rsid w:val="769CB4B3"/>
    <w:rsid w:val="769CF1B8"/>
    <w:rsid w:val="769EE29D"/>
    <w:rsid w:val="769F0A3F"/>
    <w:rsid w:val="769FF715"/>
    <w:rsid w:val="76AB5D32"/>
    <w:rsid w:val="76B0E6A8"/>
    <w:rsid w:val="76B7072C"/>
    <w:rsid w:val="76CFB373"/>
    <w:rsid w:val="76DBD8A8"/>
    <w:rsid w:val="76DC959F"/>
    <w:rsid w:val="76FA0DA8"/>
    <w:rsid w:val="77043791"/>
    <w:rsid w:val="7725CF69"/>
    <w:rsid w:val="77327331"/>
    <w:rsid w:val="773CA6F5"/>
    <w:rsid w:val="774676AE"/>
    <w:rsid w:val="7758B89E"/>
    <w:rsid w:val="775B7C02"/>
    <w:rsid w:val="77714B02"/>
    <w:rsid w:val="77791F1A"/>
    <w:rsid w:val="777EBA21"/>
    <w:rsid w:val="779ECB69"/>
    <w:rsid w:val="77A2D5A1"/>
    <w:rsid w:val="77AAC900"/>
    <w:rsid w:val="77B10675"/>
    <w:rsid w:val="77B75344"/>
    <w:rsid w:val="77B9B00F"/>
    <w:rsid w:val="77C3B9AF"/>
    <w:rsid w:val="77CB679F"/>
    <w:rsid w:val="77D0CF6A"/>
    <w:rsid w:val="77E7431A"/>
    <w:rsid w:val="77F1C507"/>
    <w:rsid w:val="78004788"/>
    <w:rsid w:val="780EC2F6"/>
    <w:rsid w:val="781050FA"/>
    <w:rsid w:val="7815555D"/>
    <w:rsid w:val="78175023"/>
    <w:rsid w:val="781C0FAB"/>
    <w:rsid w:val="781D0D21"/>
    <w:rsid w:val="781D3A76"/>
    <w:rsid w:val="782832F5"/>
    <w:rsid w:val="782A61EF"/>
    <w:rsid w:val="78368D94"/>
    <w:rsid w:val="783C68BC"/>
    <w:rsid w:val="78423988"/>
    <w:rsid w:val="78462A38"/>
    <w:rsid w:val="78473024"/>
    <w:rsid w:val="784C048F"/>
    <w:rsid w:val="7853B9B0"/>
    <w:rsid w:val="78566A1A"/>
    <w:rsid w:val="78675A9B"/>
    <w:rsid w:val="786D09F6"/>
    <w:rsid w:val="7877519C"/>
    <w:rsid w:val="787995CC"/>
    <w:rsid w:val="787F1357"/>
    <w:rsid w:val="78833CD6"/>
    <w:rsid w:val="78837976"/>
    <w:rsid w:val="788F824D"/>
    <w:rsid w:val="78A19525"/>
    <w:rsid w:val="78A26409"/>
    <w:rsid w:val="78AE91B4"/>
    <w:rsid w:val="78AFB2F3"/>
    <w:rsid w:val="78B34B5B"/>
    <w:rsid w:val="78B58097"/>
    <w:rsid w:val="78FDCF4F"/>
    <w:rsid w:val="79023A1A"/>
    <w:rsid w:val="79207C71"/>
    <w:rsid w:val="7925F852"/>
    <w:rsid w:val="7943846E"/>
    <w:rsid w:val="79463DE7"/>
    <w:rsid w:val="794946AC"/>
    <w:rsid w:val="794EAEDF"/>
    <w:rsid w:val="79605196"/>
    <w:rsid w:val="7967D127"/>
    <w:rsid w:val="7969F972"/>
    <w:rsid w:val="796D682D"/>
    <w:rsid w:val="79789803"/>
    <w:rsid w:val="7979C66D"/>
    <w:rsid w:val="798859F0"/>
    <w:rsid w:val="79888579"/>
    <w:rsid w:val="7995048B"/>
    <w:rsid w:val="799A11E3"/>
    <w:rsid w:val="799FA48C"/>
    <w:rsid w:val="79A1AD00"/>
    <w:rsid w:val="79BDF399"/>
    <w:rsid w:val="79D6798A"/>
    <w:rsid w:val="79DD9243"/>
    <w:rsid w:val="79DF1205"/>
    <w:rsid w:val="79E308BB"/>
    <w:rsid w:val="79F64629"/>
    <w:rsid w:val="79F78D8D"/>
    <w:rsid w:val="7A02F445"/>
    <w:rsid w:val="7A0BACD6"/>
    <w:rsid w:val="7A0C3835"/>
    <w:rsid w:val="7A118691"/>
    <w:rsid w:val="7A15A17C"/>
    <w:rsid w:val="7A1EB087"/>
    <w:rsid w:val="7A253C8F"/>
    <w:rsid w:val="7A2BDF26"/>
    <w:rsid w:val="7A344303"/>
    <w:rsid w:val="7A3BB080"/>
    <w:rsid w:val="7A49127F"/>
    <w:rsid w:val="7A4BFB16"/>
    <w:rsid w:val="7A5F488A"/>
    <w:rsid w:val="7A6C66CB"/>
    <w:rsid w:val="7A6CDECE"/>
    <w:rsid w:val="7A70A73F"/>
    <w:rsid w:val="7A712648"/>
    <w:rsid w:val="7A759450"/>
    <w:rsid w:val="7A7A1F05"/>
    <w:rsid w:val="7A7D3F2B"/>
    <w:rsid w:val="7A88BF12"/>
    <w:rsid w:val="7A964C18"/>
    <w:rsid w:val="7A9688C1"/>
    <w:rsid w:val="7AAA46E3"/>
    <w:rsid w:val="7AABCC55"/>
    <w:rsid w:val="7AB37902"/>
    <w:rsid w:val="7AB6AB01"/>
    <w:rsid w:val="7AC22A87"/>
    <w:rsid w:val="7AC22BB5"/>
    <w:rsid w:val="7ACA6C73"/>
    <w:rsid w:val="7ACDF853"/>
    <w:rsid w:val="7AD6DAF3"/>
    <w:rsid w:val="7AE4808D"/>
    <w:rsid w:val="7B002DA9"/>
    <w:rsid w:val="7B02985D"/>
    <w:rsid w:val="7B0E9966"/>
    <w:rsid w:val="7B0F77C9"/>
    <w:rsid w:val="7B16D823"/>
    <w:rsid w:val="7B2482AC"/>
    <w:rsid w:val="7B3063B2"/>
    <w:rsid w:val="7B34545A"/>
    <w:rsid w:val="7B3AC82C"/>
    <w:rsid w:val="7B53821B"/>
    <w:rsid w:val="7B5EBE70"/>
    <w:rsid w:val="7B61B04E"/>
    <w:rsid w:val="7B6837A7"/>
    <w:rsid w:val="7B6A9987"/>
    <w:rsid w:val="7B75EE48"/>
    <w:rsid w:val="7B7E3938"/>
    <w:rsid w:val="7B84D3CE"/>
    <w:rsid w:val="7B866745"/>
    <w:rsid w:val="7B968AF2"/>
    <w:rsid w:val="7B992E66"/>
    <w:rsid w:val="7BC62376"/>
    <w:rsid w:val="7BC7B5B7"/>
    <w:rsid w:val="7BCF67EF"/>
    <w:rsid w:val="7BE83DC2"/>
    <w:rsid w:val="7BEB2CD7"/>
    <w:rsid w:val="7BF45C2F"/>
    <w:rsid w:val="7BFDCFCC"/>
    <w:rsid w:val="7C003F3E"/>
    <w:rsid w:val="7C09DB18"/>
    <w:rsid w:val="7C29C5C3"/>
    <w:rsid w:val="7C2FBCFA"/>
    <w:rsid w:val="7C39ADD6"/>
    <w:rsid w:val="7C40634A"/>
    <w:rsid w:val="7C4FC1C0"/>
    <w:rsid w:val="7C4FD24B"/>
    <w:rsid w:val="7C628C9D"/>
    <w:rsid w:val="7C62D557"/>
    <w:rsid w:val="7C81ACD8"/>
    <w:rsid w:val="7C8EF6AE"/>
    <w:rsid w:val="7C9770FD"/>
    <w:rsid w:val="7CA0AB60"/>
    <w:rsid w:val="7CA2ACFD"/>
    <w:rsid w:val="7CA854CE"/>
    <w:rsid w:val="7CAA67D1"/>
    <w:rsid w:val="7CAFE12B"/>
    <w:rsid w:val="7CB44B86"/>
    <w:rsid w:val="7CB65A02"/>
    <w:rsid w:val="7CBD0161"/>
    <w:rsid w:val="7CC1FB3E"/>
    <w:rsid w:val="7CD4242B"/>
    <w:rsid w:val="7CD9FB8A"/>
    <w:rsid w:val="7CDBBA57"/>
    <w:rsid w:val="7CE5CE5A"/>
    <w:rsid w:val="7CE6799F"/>
    <w:rsid w:val="7CFC0231"/>
    <w:rsid w:val="7D11BDC8"/>
    <w:rsid w:val="7D14891A"/>
    <w:rsid w:val="7D3900FC"/>
    <w:rsid w:val="7D39AC5A"/>
    <w:rsid w:val="7D3DD2FB"/>
    <w:rsid w:val="7D4A610C"/>
    <w:rsid w:val="7D71912B"/>
    <w:rsid w:val="7D71B5EA"/>
    <w:rsid w:val="7D7672E5"/>
    <w:rsid w:val="7D91E98C"/>
    <w:rsid w:val="7D9D7FFA"/>
    <w:rsid w:val="7DA2337B"/>
    <w:rsid w:val="7DA8D45A"/>
    <w:rsid w:val="7DABB8DF"/>
    <w:rsid w:val="7DB2D94E"/>
    <w:rsid w:val="7DB6F17F"/>
    <w:rsid w:val="7DEA7635"/>
    <w:rsid w:val="7E081C31"/>
    <w:rsid w:val="7E084148"/>
    <w:rsid w:val="7E08A93B"/>
    <w:rsid w:val="7E09F8A2"/>
    <w:rsid w:val="7E1FE637"/>
    <w:rsid w:val="7E2E5A1F"/>
    <w:rsid w:val="7E2E728F"/>
    <w:rsid w:val="7E3DE187"/>
    <w:rsid w:val="7E626408"/>
    <w:rsid w:val="7E627462"/>
    <w:rsid w:val="7E671058"/>
    <w:rsid w:val="7E6BD2F9"/>
    <w:rsid w:val="7E7D1844"/>
    <w:rsid w:val="7E9011D0"/>
    <w:rsid w:val="7E9732DA"/>
    <w:rsid w:val="7EA0D715"/>
    <w:rsid w:val="7EAE7316"/>
    <w:rsid w:val="7EB06779"/>
    <w:rsid w:val="7EBC2FEB"/>
    <w:rsid w:val="7EC903D4"/>
    <w:rsid w:val="7ECC555C"/>
    <w:rsid w:val="7ED09209"/>
    <w:rsid w:val="7EF83C15"/>
    <w:rsid w:val="7EFFB28A"/>
    <w:rsid w:val="7F19F518"/>
    <w:rsid w:val="7F33C310"/>
    <w:rsid w:val="7F3418C2"/>
    <w:rsid w:val="7F397A3A"/>
    <w:rsid w:val="7F406351"/>
    <w:rsid w:val="7F545D37"/>
    <w:rsid w:val="7F559006"/>
    <w:rsid w:val="7F57249A"/>
    <w:rsid w:val="7F58EDCB"/>
    <w:rsid w:val="7F6074AF"/>
    <w:rsid w:val="7F6CB23A"/>
    <w:rsid w:val="7F7139EE"/>
    <w:rsid w:val="7F744149"/>
    <w:rsid w:val="7F74C3F7"/>
    <w:rsid w:val="7F754E3D"/>
    <w:rsid w:val="7F79D51B"/>
    <w:rsid w:val="7F959BAA"/>
    <w:rsid w:val="7F9F31CD"/>
    <w:rsid w:val="7FA5F0FA"/>
    <w:rsid w:val="7FB343EB"/>
    <w:rsid w:val="7FCD7EBC"/>
    <w:rsid w:val="7FE88CE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FA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o"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36"/>
  </w:style>
  <w:style w:type="paragraph" w:styleId="Heading1">
    <w:name w:val="heading 1"/>
    <w:basedOn w:val="Normal"/>
    <w:next w:val="Text1"/>
    <w:link w:val="Heading1Char"/>
    <w:uiPriority w:val="9"/>
    <w:qFormat/>
    <w:rsid w:val="14F0B435"/>
    <w:pPr>
      <w:keepNext/>
      <w:tabs>
        <w:tab w:val="num" w:pos="850"/>
      </w:tabs>
      <w:spacing w:before="360" w:after="0"/>
      <w:ind w:left="850" w:hanging="850"/>
      <w:jc w:val="both"/>
      <w:outlineLvl w:val="0"/>
    </w:pPr>
    <w:rPr>
      <w:rFonts w:ascii="Times New Roman" w:eastAsiaTheme="majorEastAsia" w:hAnsi="Times New Roman" w:cs="Times New Roman"/>
      <w:b/>
      <w:smallCaps/>
      <w:sz w:val="24"/>
    </w:rPr>
  </w:style>
  <w:style w:type="paragraph" w:styleId="Heading2">
    <w:name w:val="heading 2"/>
    <w:basedOn w:val="Normal"/>
    <w:next w:val="Text1"/>
    <w:link w:val="Heading2Char"/>
    <w:uiPriority w:val="9"/>
    <w:unhideWhenUsed/>
    <w:qFormat/>
    <w:rsid w:val="14F0B435"/>
    <w:pPr>
      <w:keepNext/>
      <w:spacing w:before="40" w:after="0"/>
      <w:ind w:left="130" w:firstLine="720"/>
      <w:jc w:val="both"/>
      <w:outlineLvl w:val="1"/>
    </w:pPr>
    <w:rPr>
      <w:rFonts w:ascii="Times New Roman" w:eastAsiaTheme="minorEastAsia" w:hAnsi="Times New Roman" w:cs="Times New Roman"/>
      <w:b/>
      <w:sz w:val="24"/>
      <w:u w:val="single"/>
    </w:rPr>
  </w:style>
  <w:style w:type="paragraph" w:styleId="Heading3">
    <w:name w:val="heading 3"/>
    <w:basedOn w:val="Normal"/>
    <w:next w:val="Text1"/>
    <w:link w:val="Heading3Char"/>
    <w:uiPriority w:val="9"/>
    <w:unhideWhenUsed/>
    <w:qFormat/>
    <w:rsid w:val="14F0B435"/>
    <w:pPr>
      <w:keepNext/>
      <w:spacing w:before="240" w:after="0"/>
      <w:ind w:left="851"/>
      <w:jc w:val="both"/>
      <w:outlineLvl w:val="2"/>
    </w:pPr>
    <w:rPr>
      <w:rFonts w:ascii="Times New Roman" w:eastAsiaTheme="minorEastAsia" w:hAnsi="Times New Roman" w:cs="Times New Roman"/>
      <w:sz w:val="24"/>
      <w:u w:val="single"/>
    </w:rPr>
  </w:style>
  <w:style w:type="paragraph" w:styleId="Heading4">
    <w:name w:val="heading 4"/>
    <w:basedOn w:val="Normal"/>
    <w:next w:val="Text1"/>
    <w:link w:val="Heading4Char"/>
    <w:uiPriority w:val="9"/>
    <w:unhideWhenUsed/>
    <w:qFormat/>
    <w:rsid w:val="29DEDBAE"/>
    <w:pPr>
      <w:keepNext/>
      <w:numPr>
        <w:ilvl w:val="3"/>
        <w:numId w:val="7"/>
      </w:numPr>
      <w:spacing w:before="40" w:after="0"/>
      <w:jc w:val="both"/>
      <w:outlineLvl w:val="3"/>
    </w:pPr>
    <w:rPr>
      <w:rFonts w:ascii="Times New Roman" w:eastAsiaTheme="majorEastAsia" w:hAnsi="Times New Roman" w:cs="Times New Roman"/>
      <w:sz w:val="24"/>
    </w:rPr>
  </w:style>
  <w:style w:type="paragraph" w:styleId="Heading5">
    <w:name w:val="heading 5"/>
    <w:basedOn w:val="Normal"/>
    <w:next w:val="Normal"/>
    <w:link w:val="Heading5Char"/>
    <w:uiPriority w:val="9"/>
    <w:unhideWhenUsed/>
    <w:qFormat/>
    <w:rsid w:val="00510B5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0B5B"/>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510B5B"/>
    <w:pPr>
      <w:keepNext/>
      <w:keepLines/>
      <w:spacing w:before="40" w:after="0"/>
      <w:outlineLvl w:val="6"/>
    </w:pPr>
    <w:rPr>
      <w:rFonts w:asciiTheme="majorHAnsi" w:eastAsiaTheme="majorEastAsia" w:hAnsiTheme="majorHAnsi" w:cstheme="majorBidi"/>
      <w:i/>
      <w:color w:val="243F60"/>
    </w:rPr>
  </w:style>
  <w:style w:type="paragraph" w:styleId="Heading8">
    <w:name w:val="heading 8"/>
    <w:basedOn w:val="Normal"/>
    <w:next w:val="Normal"/>
    <w:link w:val="Heading8Char"/>
    <w:uiPriority w:val="9"/>
    <w:unhideWhenUsed/>
    <w:qFormat/>
    <w:rsid w:val="00510B5B"/>
    <w:pPr>
      <w:keepNext/>
      <w:keepLines/>
      <w:spacing w:before="40" w:after="0"/>
      <w:outlineLvl w:val="7"/>
    </w:pPr>
    <w:rPr>
      <w:rFonts w:asciiTheme="majorHAnsi" w:eastAsiaTheme="majorEastAsia" w:hAnsiTheme="majorHAnsi" w:cstheme="majorBidi"/>
      <w:color w:val="272727"/>
      <w:sz w:val="21"/>
    </w:rPr>
  </w:style>
  <w:style w:type="paragraph" w:styleId="Heading9">
    <w:name w:val="heading 9"/>
    <w:basedOn w:val="Normal"/>
    <w:next w:val="Normal"/>
    <w:link w:val="Heading9Char"/>
    <w:uiPriority w:val="9"/>
    <w:unhideWhenUsed/>
    <w:qFormat/>
    <w:rsid w:val="00510B5B"/>
    <w:pPr>
      <w:keepNext/>
      <w:keepLines/>
      <w:spacing w:before="40" w:after="0"/>
      <w:outlineLvl w:val="8"/>
    </w:pPr>
    <w:rPr>
      <w:rFonts w:asciiTheme="majorHAnsi" w:eastAsiaTheme="majorEastAsia" w:hAnsiTheme="majorHAnsi" w:cstheme="majorBidi"/>
      <w:i/>
      <w:color w:val="272727"/>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0D"/>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rsid w:val="00B4580D"/>
    <w:rPr>
      <w:rFonts w:ascii="Times New Roman" w:eastAsiaTheme="minorEastAsia" w:hAnsi="Times New Roman" w:cs="Times New Roman"/>
      <w:b/>
      <w:sz w:val="24"/>
      <w:u w:val="single"/>
    </w:rPr>
  </w:style>
  <w:style w:type="character" w:customStyle="1" w:styleId="Heading3Char">
    <w:name w:val="Heading 3 Char"/>
    <w:basedOn w:val="DefaultParagraphFont"/>
    <w:link w:val="Heading3"/>
    <w:uiPriority w:val="9"/>
    <w:rsid w:val="00B4580D"/>
    <w:rPr>
      <w:rFonts w:ascii="Times New Roman" w:eastAsiaTheme="minorEastAsia" w:hAnsi="Times New Roman" w:cs="Times New Roman"/>
      <w:sz w:val="24"/>
      <w:u w:val="single"/>
    </w:rPr>
  </w:style>
  <w:style w:type="character" w:customStyle="1" w:styleId="Heading4Char">
    <w:name w:val="Heading 4 Char"/>
    <w:basedOn w:val="DefaultParagraphFont"/>
    <w:link w:val="Heading4"/>
    <w:uiPriority w:val="9"/>
    <w:rsid w:val="00B4580D"/>
    <w:rPr>
      <w:rFonts w:ascii="Times New Roman" w:eastAsiaTheme="majorEastAsia" w:hAnsi="Times New Roman" w:cs="Times New Roman"/>
      <w:sz w:val="24"/>
    </w:rPr>
  </w:style>
  <w:style w:type="paragraph" w:styleId="Header">
    <w:name w:val="header"/>
    <w:basedOn w:val="Normal"/>
    <w:link w:val="HeaderChar"/>
    <w:uiPriority w:val="99"/>
    <w:unhideWhenUsed/>
    <w:rsid w:val="14F0B435"/>
    <w:pPr>
      <w:tabs>
        <w:tab w:val="center" w:pos="4535"/>
        <w:tab w:val="right" w:pos="9071"/>
      </w:tabs>
      <w:spacing w:after="120"/>
      <w:jc w:val="both"/>
    </w:pPr>
    <w:rPr>
      <w:rFonts w:ascii="Times New Roman" w:eastAsiaTheme="minorEastAsia" w:hAnsi="Times New Roman" w:cs="Times New Roman"/>
      <w:sz w:val="24"/>
    </w:rPr>
  </w:style>
  <w:style w:type="character" w:customStyle="1" w:styleId="HeaderChar">
    <w:name w:val="Header Char"/>
    <w:basedOn w:val="DefaultParagraphFont"/>
    <w:link w:val="Header"/>
    <w:uiPriority w:val="99"/>
    <w:rsid w:val="00B4580D"/>
    <w:rPr>
      <w:rFonts w:ascii="Times New Roman" w:eastAsiaTheme="minorEastAsia" w:hAnsi="Times New Roman" w:cs="Times New Roman"/>
      <w:sz w:val="24"/>
    </w:rPr>
  </w:style>
  <w:style w:type="paragraph" w:styleId="Footer">
    <w:name w:val="footer"/>
    <w:basedOn w:val="Normal"/>
    <w:link w:val="FooterChar"/>
    <w:uiPriority w:val="99"/>
    <w:unhideWhenUsed/>
    <w:rsid w:val="14F0B435"/>
    <w:pPr>
      <w:tabs>
        <w:tab w:val="center" w:pos="4535"/>
        <w:tab w:val="right" w:pos="9071"/>
        <w:tab w:val="right" w:pos="9921"/>
      </w:tabs>
      <w:spacing w:before="360" w:after="0"/>
      <w:ind w:left="-850" w:right="-850"/>
    </w:pPr>
    <w:rPr>
      <w:rFonts w:ascii="Times New Roman" w:eastAsiaTheme="minorEastAsia" w:hAnsi="Times New Roman" w:cs="Times New Roman"/>
      <w:sz w:val="24"/>
    </w:rPr>
  </w:style>
  <w:style w:type="character" w:customStyle="1" w:styleId="FooterChar">
    <w:name w:val="Footer Char"/>
    <w:basedOn w:val="DefaultParagraphFont"/>
    <w:link w:val="Footer"/>
    <w:uiPriority w:val="99"/>
    <w:rsid w:val="00B4580D"/>
    <w:rPr>
      <w:rFonts w:ascii="Times New Roman" w:eastAsiaTheme="minorEastAsia" w:hAnsi="Times New Roman" w:cs="Times New Roman"/>
      <w:sz w:val="24"/>
    </w:rPr>
  </w:style>
  <w:style w:type="paragraph" w:styleId="FootnoteText">
    <w:name w:val="footnote text"/>
    <w:basedOn w:val="Normal"/>
    <w:link w:val="FootnoteTextChar"/>
    <w:uiPriority w:val="99"/>
    <w:unhideWhenUsed/>
    <w:rsid w:val="14F0B435"/>
    <w:pPr>
      <w:keepNext/>
      <w:spacing w:after="0"/>
      <w:ind w:left="720" w:hanging="720"/>
      <w:jc w:val="both"/>
    </w:pPr>
    <w:rPr>
      <w:rFonts w:ascii="Times New Roman" w:eastAsiaTheme="minorEastAsia" w:hAnsi="Times New Roman" w:cs="Times New Roman"/>
      <w:sz w:val="20"/>
    </w:rPr>
  </w:style>
  <w:style w:type="character" w:customStyle="1" w:styleId="FootnoteTextChar">
    <w:name w:val="Footnote Text Char"/>
    <w:basedOn w:val="DefaultParagraphFont"/>
    <w:link w:val="FootnoteText"/>
    <w:uiPriority w:val="99"/>
    <w:rsid w:val="00B4580D"/>
    <w:rPr>
      <w:rFonts w:ascii="Times New Roman" w:eastAsiaTheme="minorEastAsia" w:hAnsi="Times New Roman" w:cs="Times New Roman"/>
      <w:sz w:val="20"/>
    </w:rPr>
  </w:style>
  <w:style w:type="paragraph" w:styleId="TOCHeading">
    <w:name w:val="TOC Heading"/>
    <w:basedOn w:val="Normal"/>
    <w:next w:val="Normal"/>
    <w:uiPriority w:val="39"/>
    <w:unhideWhenUsed/>
    <w:qFormat/>
    <w:rsid w:val="14F0B435"/>
    <w:pPr>
      <w:keepNext/>
      <w:spacing w:before="40" w:after="0"/>
      <w:jc w:val="center"/>
    </w:pPr>
    <w:rPr>
      <w:rFonts w:ascii="Times New Roman" w:eastAsiaTheme="minorEastAsia" w:hAnsi="Times New Roman" w:cs="Times New Roman"/>
      <w:b/>
      <w:sz w:val="28"/>
    </w:rPr>
  </w:style>
  <w:style w:type="paragraph" w:styleId="TOC1">
    <w:name w:val="toc 1"/>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2">
    <w:name w:val="toc 2"/>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3">
    <w:name w:val="toc 3"/>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4">
    <w:name w:val="toc 4"/>
    <w:basedOn w:val="Normal"/>
    <w:next w:val="Normal"/>
    <w:uiPriority w:val="39"/>
    <w:unhideWhenUsed/>
    <w:rsid w:val="14F0B435"/>
    <w:pPr>
      <w:keepNext/>
      <w:tabs>
        <w:tab w:val="right" w:leader="dot" w:pos="9071"/>
      </w:tabs>
      <w:spacing w:before="60" w:after="0"/>
      <w:ind w:hanging="850"/>
      <w:jc w:val="both"/>
    </w:pPr>
    <w:rPr>
      <w:rFonts w:ascii="Times New Roman" w:eastAsiaTheme="minorEastAsia" w:hAnsi="Times New Roman" w:cs="Times New Roman"/>
      <w:sz w:val="24"/>
    </w:rPr>
  </w:style>
  <w:style w:type="paragraph" w:styleId="TOC5">
    <w:name w:val="toc 5"/>
    <w:basedOn w:val="Normal"/>
    <w:next w:val="Normal"/>
    <w:uiPriority w:val="39"/>
    <w:unhideWhenUsed/>
    <w:rsid w:val="14F0B435"/>
    <w:pPr>
      <w:keepNext/>
      <w:tabs>
        <w:tab w:val="right" w:leader="dot" w:pos="9071"/>
      </w:tabs>
      <w:spacing w:before="300" w:after="0"/>
      <w:jc w:val="both"/>
    </w:pPr>
    <w:rPr>
      <w:rFonts w:ascii="Times New Roman" w:eastAsiaTheme="minorEastAsia" w:hAnsi="Times New Roman" w:cs="Times New Roman"/>
      <w:sz w:val="24"/>
    </w:rPr>
  </w:style>
  <w:style w:type="paragraph" w:styleId="TOC6">
    <w:name w:val="toc 6"/>
    <w:basedOn w:val="Normal"/>
    <w:next w:val="Normal"/>
    <w:uiPriority w:val="39"/>
    <w:unhideWhenUsed/>
    <w:rsid w:val="14F0B435"/>
    <w:pPr>
      <w:keepNext/>
      <w:tabs>
        <w:tab w:val="right" w:leader="dot" w:pos="9071"/>
      </w:tabs>
      <w:spacing w:before="240" w:after="0"/>
      <w:jc w:val="both"/>
    </w:pPr>
    <w:rPr>
      <w:rFonts w:ascii="Times New Roman" w:eastAsiaTheme="minorEastAsia" w:hAnsi="Times New Roman" w:cs="Times New Roman"/>
      <w:sz w:val="24"/>
    </w:rPr>
  </w:style>
  <w:style w:type="paragraph" w:styleId="TOC7">
    <w:name w:val="toc 7"/>
    <w:basedOn w:val="Normal"/>
    <w:next w:val="Normal"/>
    <w:uiPriority w:val="39"/>
    <w:unhideWhenUsed/>
    <w:rsid w:val="14F0B435"/>
    <w:pPr>
      <w:keepNext/>
      <w:tabs>
        <w:tab w:val="right" w:leader="dot" w:pos="9071"/>
      </w:tabs>
      <w:spacing w:before="180" w:after="0"/>
      <w:jc w:val="both"/>
    </w:pPr>
    <w:rPr>
      <w:rFonts w:ascii="Times New Roman" w:eastAsiaTheme="minorEastAsia" w:hAnsi="Times New Roman" w:cs="Times New Roman"/>
      <w:sz w:val="24"/>
    </w:rPr>
  </w:style>
  <w:style w:type="paragraph" w:styleId="TOC8">
    <w:name w:val="toc 8"/>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styleId="TOC9">
    <w:name w:val="toc 9"/>
    <w:basedOn w:val="Normal"/>
    <w:next w:val="Normal"/>
    <w:uiPriority w:val="39"/>
    <w:unhideWhenUsed/>
    <w:rsid w:val="14F0B435"/>
    <w:pPr>
      <w:keepNext/>
      <w:tabs>
        <w:tab w:val="right" w:leader="dot" w:pos="9071"/>
      </w:tabs>
      <w:spacing w:before="40" w:after="0"/>
      <w:jc w:val="both"/>
    </w:pPr>
    <w:rPr>
      <w:rFonts w:ascii="Times New Roman" w:eastAsiaTheme="minorEastAsia" w:hAnsi="Times New Roman" w:cs="Times New Roman"/>
      <w:sz w:val="24"/>
    </w:rPr>
  </w:style>
  <w:style w:type="paragraph" w:customStyle="1" w:styleId="HeaderLandscape">
    <w:name w:val="HeaderLandscape"/>
    <w:basedOn w:val="Normal"/>
    <w:uiPriority w:val="1"/>
    <w:rsid w:val="14F0B435"/>
    <w:pPr>
      <w:tabs>
        <w:tab w:val="center" w:pos="7285"/>
        <w:tab w:val="right" w:pos="14003"/>
      </w:tabs>
      <w:spacing w:after="120"/>
      <w:jc w:val="both"/>
    </w:pPr>
    <w:rPr>
      <w:rFonts w:ascii="Times New Roman" w:eastAsiaTheme="minorEastAsia" w:hAnsi="Times New Roman" w:cs="Times New Roman"/>
      <w:sz w:val="24"/>
    </w:rPr>
  </w:style>
  <w:style w:type="paragraph" w:customStyle="1" w:styleId="FooterLandscape">
    <w:name w:val="FooterLandscape"/>
    <w:basedOn w:val="Normal"/>
    <w:uiPriority w:val="1"/>
    <w:rsid w:val="14F0B435"/>
    <w:pPr>
      <w:tabs>
        <w:tab w:val="center" w:pos="7285"/>
        <w:tab w:val="center" w:pos="10913"/>
        <w:tab w:val="right" w:pos="15137"/>
      </w:tabs>
      <w:spacing w:before="360" w:after="0"/>
      <w:ind w:left="-567" w:right="-567"/>
    </w:pPr>
    <w:rPr>
      <w:rFonts w:ascii="Times New Roman" w:eastAsiaTheme="minorEastAsia" w:hAnsi="Times New Roman" w:cs="Times New Roman"/>
      <w:sz w:val="24"/>
    </w:rPr>
  </w:style>
  <w:style w:type="character" w:styleId="FootnoteReference">
    <w:name w:val="footnote reference"/>
    <w:basedOn w:val="DefaultParagraphFont"/>
    <w:uiPriority w:val="99"/>
    <w:semiHidden/>
    <w:unhideWhenUsed/>
    <w:rsid w:val="00B4580D"/>
    <w:rPr>
      <w:shd w:val="clear" w:color="auto" w:fill="auto"/>
      <w:vertAlign w:val="superscript"/>
    </w:rPr>
  </w:style>
  <w:style w:type="paragraph" w:customStyle="1" w:styleId="HeaderSensitivity">
    <w:name w:val="Header Sensitivity"/>
    <w:basedOn w:val="Normal"/>
    <w:uiPriority w:val="1"/>
    <w:rsid w:val="14F0B43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uiPriority w:val="1"/>
    <w:rsid w:val="14F0B435"/>
    <w:pPr>
      <w:spacing w:after="120" w:line="240" w:lineRule="auto"/>
      <w:jc w:val="right"/>
    </w:pPr>
    <w:rPr>
      <w:rFonts w:ascii="Times New Roman" w:hAnsi="Times New Roman" w:cs="Times New Roman"/>
      <w:sz w:val="28"/>
    </w:rPr>
  </w:style>
  <w:style w:type="paragraph" w:customStyle="1" w:styleId="FooterSensitivity">
    <w:name w:val="Footer Sensitivity"/>
    <w:basedOn w:val="Normal"/>
    <w:uiPriority w:val="1"/>
    <w:rsid w:val="14F0B4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Text2">
    <w:name w:val="Text 2"/>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Text3">
    <w:name w:val="Text 3"/>
    <w:basedOn w:val="Normal"/>
    <w:uiPriority w:val="1"/>
    <w:rsid w:val="14F0B435"/>
    <w:pPr>
      <w:keepNext/>
      <w:spacing w:before="40" w:after="0"/>
      <w:ind w:left="1984"/>
      <w:jc w:val="both"/>
    </w:pPr>
    <w:rPr>
      <w:rFonts w:ascii="Times New Roman" w:eastAsiaTheme="minorEastAsia" w:hAnsi="Times New Roman" w:cs="Times New Roman"/>
      <w:sz w:val="24"/>
    </w:rPr>
  </w:style>
  <w:style w:type="paragraph" w:customStyle="1" w:styleId="Text4">
    <w:name w:val="Text 4"/>
    <w:basedOn w:val="Normal"/>
    <w:uiPriority w:val="1"/>
    <w:rsid w:val="14F0B435"/>
    <w:pPr>
      <w:keepNext/>
      <w:spacing w:before="40" w:after="0"/>
      <w:ind w:left="2551"/>
      <w:jc w:val="both"/>
    </w:pPr>
    <w:rPr>
      <w:rFonts w:ascii="Times New Roman" w:eastAsiaTheme="minorEastAsia" w:hAnsi="Times New Roman" w:cs="Times New Roman"/>
      <w:sz w:val="24"/>
    </w:rPr>
  </w:style>
  <w:style w:type="paragraph" w:customStyle="1" w:styleId="NormalCentered">
    <w:name w:val="Normal Centered"/>
    <w:basedOn w:val="Normal"/>
    <w:uiPriority w:val="1"/>
    <w:rsid w:val="14F0B435"/>
    <w:pPr>
      <w:keepNext/>
      <w:spacing w:before="40" w:after="0"/>
      <w:jc w:val="center"/>
    </w:pPr>
    <w:rPr>
      <w:rFonts w:ascii="Times New Roman" w:eastAsiaTheme="minorEastAsia" w:hAnsi="Times New Roman" w:cs="Times New Roman"/>
      <w:sz w:val="24"/>
    </w:rPr>
  </w:style>
  <w:style w:type="paragraph" w:customStyle="1" w:styleId="NormalLeft">
    <w:name w:val="Normal Left"/>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NormalRight">
    <w:name w:val="Normal Right"/>
    <w:basedOn w:val="Normal"/>
    <w:uiPriority w:val="1"/>
    <w:rsid w:val="14F0B435"/>
    <w:pPr>
      <w:keepNext/>
      <w:spacing w:before="40" w:after="0"/>
      <w:jc w:val="right"/>
    </w:pPr>
    <w:rPr>
      <w:rFonts w:ascii="Times New Roman" w:eastAsiaTheme="minorEastAsia" w:hAnsi="Times New Roman" w:cs="Times New Roman"/>
      <w:sz w:val="24"/>
    </w:rPr>
  </w:style>
  <w:style w:type="paragraph" w:customStyle="1" w:styleId="QuotedText">
    <w:name w:val="Quoted Text"/>
    <w:basedOn w:val="Normal"/>
    <w:uiPriority w:val="1"/>
    <w:rsid w:val="14F0B435"/>
    <w:pPr>
      <w:keepNext/>
      <w:spacing w:before="40" w:after="0"/>
      <w:ind w:left="1417"/>
      <w:jc w:val="both"/>
    </w:pPr>
    <w:rPr>
      <w:rFonts w:ascii="Times New Roman" w:eastAsiaTheme="minorEastAsia" w:hAnsi="Times New Roman" w:cs="Times New Roman"/>
      <w:sz w:val="24"/>
    </w:rPr>
  </w:style>
  <w:style w:type="paragraph" w:customStyle="1" w:styleId="Point0">
    <w:name w:val="Point 0"/>
    <w:basedOn w:val="Normal"/>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Point1">
    <w:name w:val="Point 1"/>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Point2">
    <w:name w:val="Point 2"/>
    <w:basedOn w:val="Normal"/>
    <w:uiPriority w:val="1"/>
    <w:rsid w:val="14F0B435"/>
    <w:pPr>
      <w:keepNext/>
      <w:spacing w:before="40" w:after="0"/>
      <w:ind w:left="1984" w:hanging="567"/>
      <w:jc w:val="both"/>
    </w:pPr>
    <w:rPr>
      <w:rFonts w:ascii="Times New Roman" w:eastAsiaTheme="minorEastAsia" w:hAnsi="Times New Roman" w:cs="Times New Roman"/>
      <w:sz w:val="24"/>
    </w:rPr>
  </w:style>
  <w:style w:type="paragraph" w:customStyle="1" w:styleId="Point3">
    <w:name w:val="Point 3"/>
    <w:basedOn w:val="Normal"/>
    <w:uiPriority w:val="1"/>
    <w:rsid w:val="14F0B435"/>
    <w:pPr>
      <w:keepNext/>
      <w:spacing w:before="40" w:after="0"/>
      <w:ind w:left="2551" w:hanging="567"/>
      <w:jc w:val="both"/>
    </w:pPr>
    <w:rPr>
      <w:rFonts w:ascii="Times New Roman" w:eastAsiaTheme="minorEastAsia" w:hAnsi="Times New Roman" w:cs="Times New Roman"/>
      <w:sz w:val="24"/>
    </w:rPr>
  </w:style>
  <w:style w:type="paragraph" w:customStyle="1" w:styleId="Point4">
    <w:name w:val="Point 4"/>
    <w:basedOn w:val="Normal"/>
    <w:uiPriority w:val="1"/>
    <w:rsid w:val="14F0B435"/>
    <w:pPr>
      <w:keepNext/>
      <w:spacing w:before="40" w:after="0"/>
      <w:ind w:left="3118" w:hanging="567"/>
      <w:jc w:val="both"/>
    </w:pPr>
    <w:rPr>
      <w:rFonts w:ascii="Times New Roman" w:eastAsiaTheme="minorEastAsia" w:hAnsi="Times New Roman" w:cs="Times New Roman"/>
      <w:sz w:val="24"/>
    </w:rPr>
  </w:style>
  <w:style w:type="paragraph" w:customStyle="1" w:styleId="Tiret0">
    <w:name w:val="Tiret 0"/>
    <w:basedOn w:val="Point0"/>
    <w:uiPriority w:val="1"/>
    <w:rsid w:val="00B4580D"/>
    <w:pPr>
      <w:numPr>
        <w:numId w:val="1"/>
      </w:numPr>
    </w:pPr>
  </w:style>
  <w:style w:type="paragraph" w:customStyle="1" w:styleId="Tiret1">
    <w:name w:val="Tiret 1"/>
    <w:basedOn w:val="Point1"/>
    <w:uiPriority w:val="1"/>
    <w:rsid w:val="00B4580D"/>
    <w:pPr>
      <w:numPr>
        <w:numId w:val="2"/>
      </w:numPr>
    </w:pPr>
  </w:style>
  <w:style w:type="paragraph" w:customStyle="1" w:styleId="Tiret2">
    <w:name w:val="Tiret 2"/>
    <w:basedOn w:val="Point2"/>
    <w:uiPriority w:val="1"/>
    <w:rsid w:val="00B4580D"/>
    <w:pPr>
      <w:numPr>
        <w:numId w:val="3"/>
      </w:numPr>
    </w:pPr>
  </w:style>
  <w:style w:type="paragraph" w:customStyle="1" w:styleId="Tiret3">
    <w:name w:val="Tiret 3"/>
    <w:basedOn w:val="Point3"/>
    <w:uiPriority w:val="1"/>
    <w:rsid w:val="00B4580D"/>
    <w:pPr>
      <w:numPr>
        <w:numId w:val="4"/>
      </w:numPr>
    </w:pPr>
  </w:style>
  <w:style w:type="paragraph" w:customStyle="1" w:styleId="Tiret4">
    <w:name w:val="Tiret 4"/>
    <w:basedOn w:val="Point4"/>
    <w:uiPriority w:val="1"/>
    <w:rsid w:val="00B4580D"/>
    <w:pPr>
      <w:numPr>
        <w:numId w:val="5"/>
      </w:numPr>
    </w:pPr>
  </w:style>
  <w:style w:type="paragraph" w:customStyle="1" w:styleId="PointDouble0">
    <w:name w:val="PointDouble 0"/>
    <w:basedOn w:val="Normal"/>
    <w:uiPriority w:val="1"/>
    <w:rsid w:val="14F0B435"/>
    <w:pPr>
      <w:keepNext/>
      <w:tabs>
        <w:tab w:val="left" w:pos="850"/>
      </w:tabs>
      <w:spacing w:before="40" w:after="0"/>
      <w:ind w:left="1417" w:hanging="1417"/>
      <w:jc w:val="both"/>
    </w:pPr>
    <w:rPr>
      <w:rFonts w:ascii="Times New Roman" w:eastAsiaTheme="minorEastAsia" w:hAnsi="Times New Roman" w:cs="Times New Roman"/>
      <w:sz w:val="24"/>
    </w:rPr>
  </w:style>
  <w:style w:type="paragraph" w:customStyle="1" w:styleId="PointDouble1">
    <w:name w:val="PointDouble 1"/>
    <w:basedOn w:val="Normal"/>
    <w:uiPriority w:val="1"/>
    <w:rsid w:val="14F0B435"/>
    <w:pPr>
      <w:keepNext/>
      <w:tabs>
        <w:tab w:val="left" w:pos="1417"/>
      </w:tabs>
      <w:spacing w:before="40" w:after="0"/>
      <w:ind w:left="1984" w:hanging="1134"/>
      <w:jc w:val="both"/>
    </w:pPr>
    <w:rPr>
      <w:rFonts w:ascii="Times New Roman" w:eastAsiaTheme="minorEastAsia" w:hAnsi="Times New Roman" w:cs="Times New Roman"/>
      <w:sz w:val="24"/>
    </w:rPr>
  </w:style>
  <w:style w:type="paragraph" w:customStyle="1" w:styleId="PointDouble2">
    <w:name w:val="PointDouble 2"/>
    <w:basedOn w:val="Normal"/>
    <w:uiPriority w:val="1"/>
    <w:rsid w:val="14F0B435"/>
    <w:pPr>
      <w:keepNext/>
      <w:tabs>
        <w:tab w:val="left" w:pos="1984"/>
      </w:tabs>
      <w:spacing w:before="40" w:after="0"/>
      <w:ind w:left="2551" w:hanging="1134"/>
      <w:jc w:val="both"/>
    </w:pPr>
    <w:rPr>
      <w:rFonts w:ascii="Times New Roman" w:eastAsiaTheme="minorEastAsia" w:hAnsi="Times New Roman" w:cs="Times New Roman"/>
      <w:sz w:val="24"/>
    </w:rPr>
  </w:style>
  <w:style w:type="paragraph" w:customStyle="1" w:styleId="PointDouble3">
    <w:name w:val="PointDouble 3"/>
    <w:basedOn w:val="Normal"/>
    <w:uiPriority w:val="1"/>
    <w:rsid w:val="14F0B435"/>
    <w:pPr>
      <w:keepNext/>
      <w:tabs>
        <w:tab w:val="left" w:pos="2551"/>
      </w:tabs>
      <w:spacing w:before="40" w:after="0"/>
      <w:ind w:left="3118" w:hanging="1134"/>
      <w:jc w:val="both"/>
    </w:pPr>
    <w:rPr>
      <w:rFonts w:ascii="Times New Roman" w:eastAsiaTheme="minorEastAsia" w:hAnsi="Times New Roman" w:cs="Times New Roman"/>
      <w:sz w:val="24"/>
    </w:rPr>
  </w:style>
  <w:style w:type="paragraph" w:customStyle="1" w:styleId="PointDouble4">
    <w:name w:val="PointDouble 4"/>
    <w:basedOn w:val="Normal"/>
    <w:uiPriority w:val="1"/>
    <w:rsid w:val="14F0B435"/>
    <w:pPr>
      <w:keepNext/>
      <w:tabs>
        <w:tab w:val="left" w:pos="3118"/>
      </w:tabs>
      <w:spacing w:before="40" w:after="0"/>
      <w:ind w:left="3685" w:hanging="1134"/>
      <w:jc w:val="both"/>
    </w:pPr>
    <w:rPr>
      <w:rFonts w:ascii="Times New Roman" w:eastAsiaTheme="minorEastAsia" w:hAnsi="Times New Roman" w:cs="Times New Roman"/>
      <w:sz w:val="24"/>
    </w:rPr>
  </w:style>
  <w:style w:type="paragraph" w:customStyle="1" w:styleId="PointTriple0">
    <w:name w:val="PointTriple 0"/>
    <w:basedOn w:val="Normal"/>
    <w:uiPriority w:val="1"/>
    <w:rsid w:val="14F0B435"/>
    <w:pPr>
      <w:keepNext/>
      <w:tabs>
        <w:tab w:val="left" w:pos="850"/>
        <w:tab w:val="left" w:pos="1417"/>
      </w:tabs>
      <w:spacing w:before="40" w:after="0"/>
      <w:ind w:left="1984" w:hanging="1984"/>
      <w:jc w:val="both"/>
    </w:pPr>
    <w:rPr>
      <w:rFonts w:ascii="Times New Roman" w:eastAsiaTheme="minorEastAsia" w:hAnsi="Times New Roman" w:cs="Times New Roman"/>
      <w:sz w:val="24"/>
    </w:rPr>
  </w:style>
  <w:style w:type="paragraph" w:customStyle="1" w:styleId="PointTriple1">
    <w:name w:val="PointTriple 1"/>
    <w:basedOn w:val="Normal"/>
    <w:uiPriority w:val="1"/>
    <w:rsid w:val="14F0B435"/>
    <w:pPr>
      <w:keepNext/>
      <w:tabs>
        <w:tab w:val="left" w:pos="1417"/>
        <w:tab w:val="left" w:pos="1984"/>
      </w:tabs>
      <w:spacing w:before="40" w:after="0"/>
      <w:ind w:left="2551" w:hanging="1701"/>
      <w:jc w:val="both"/>
    </w:pPr>
    <w:rPr>
      <w:rFonts w:ascii="Times New Roman" w:eastAsiaTheme="minorEastAsia" w:hAnsi="Times New Roman" w:cs="Times New Roman"/>
      <w:sz w:val="24"/>
    </w:rPr>
  </w:style>
  <w:style w:type="paragraph" w:customStyle="1" w:styleId="PointTriple2">
    <w:name w:val="PointTriple 2"/>
    <w:basedOn w:val="Normal"/>
    <w:uiPriority w:val="1"/>
    <w:rsid w:val="14F0B435"/>
    <w:pPr>
      <w:keepNext/>
      <w:tabs>
        <w:tab w:val="left" w:pos="1984"/>
        <w:tab w:val="left" w:pos="2551"/>
      </w:tabs>
      <w:spacing w:before="40" w:after="0"/>
      <w:ind w:left="3118" w:hanging="1701"/>
      <w:jc w:val="both"/>
    </w:pPr>
    <w:rPr>
      <w:rFonts w:ascii="Times New Roman" w:eastAsiaTheme="minorEastAsia" w:hAnsi="Times New Roman" w:cs="Times New Roman"/>
      <w:sz w:val="24"/>
    </w:rPr>
  </w:style>
  <w:style w:type="paragraph" w:customStyle="1" w:styleId="PointTriple3">
    <w:name w:val="PointTriple 3"/>
    <w:basedOn w:val="Normal"/>
    <w:uiPriority w:val="1"/>
    <w:rsid w:val="14F0B435"/>
    <w:pPr>
      <w:keepNext/>
      <w:tabs>
        <w:tab w:val="left" w:pos="2551"/>
        <w:tab w:val="left" w:pos="3118"/>
      </w:tabs>
      <w:spacing w:before="40" w:after="0"/>
      <w:ind w:left="3685" w:hanging="1701"/>
      <w:jc w:val="both"/>
    </w:pPr>
    <w:rPr>
      <w:rFonts w:ascii="Times New Roman" w:eastAsiaTheme="minorEastAsia" w:hAnsi="Times New Roman" w:cs="Times New Roman"/>
      <w:sz w:val="24"/>
    </w:rPr>
  </w:style>
  <w:style w:type="paragraph" w:customStyle="1" w:styleId="PointTriple4">
    <w:name w:val="PointTriple 4"/>
    <w:basedOn w:val="Normal"/>
    <w:uiPriority w:val="1"/>
    <w:rsid w:val="14F0B435"/>
    <w:pPr>
      <w:keepNext/>
      <w:tabs>
        <w:tab w:val="left" w:pos="3118"/>
        <w:tab w:val="left" w:pos="3685"/>
      </w:tabs>
      <w:spacing w:before="40" w:after="0"/>
      <w:ind w:left="4252" w:hanging="1701"/>
      <w:jc w:val="both"/>
    </w:pPr>
    <w:rPr>
      <w:rFonts w:ascii="Times New Roman" w:eastAsiaTheme="minorEastAsia" w:hAnsi="Times New Roman" w:cs="Times New Roman"/>
      <w:sz w:val="24"/>
    </w:rPr>
  </w:style>
  <w:style w:type="paragraph" w:customStyle="1" w:styleId="NumPar1">
    <w:name w:val="NumPar 1"/>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2">
    <w:name w:val="NumPar 2"/>
    <w:basedOn w:val="Normal"/>
    <w:next w:val="Text1"/>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NumPar3">
    <w:name w:val="NumPar 3"/>
    <w:basedOn w:val="Normal"/>
    <w:next w:val="Text1"/>
    <w:uiPriority w:val="1"/>
    <w:rsid w:val="29DEDBAE"/>
    <w:pPr>
      <w:keepNext/>
      <w:numPr>
        <w:ilvl w:val="2"/>
        <w:numId w:val="6"/>
      </w:numPr>
      <w:spacing w:before="40" w:after="0"/>
      <w:jc w:val="both"/>
    </w:pPr>
    <w:rPr>
      <w:rFonts w:ascii="Times New Roman" w:eastAsiaTheme="minorEastAsia" w:hAnsi="Times New Roman" w:cs="Times New Roman"/>
      <w:sz w:val="24"/>
    </w:rPr>
  </w:style>
  <w:style w:type="paragraph" w:customStyle="1" w:styleId="NumPar4">
    <w:name w:val="NumPar 4"/>
    <w:basedOn w:val="Normal"/>
    <w:next w:val="Text1"/>
    <w:uiPriority w:val="1"/>
    <w:rsid w:val="29DEDBAE"/>
    <w:pPr>
      <w:keepNext/>
      <w:numPr>
        <w:ilvl w:val="3"/>
        <w:numId w:val="6"/>
      </w:numPr>
      <w:spacing w:before="40" w:after="0"/>
      <w:jc w:val="both"/>
    </w:pPr>
    <w:rPr>
      <w:rFonts w:ascii="Times New Roman" w:eastAsiaTheme="minorEastAsia" w:hAnsi="Times New Roman" w:cs="Times New Roman"/>
      <w:sz w:val="24"/>
    </w:rPr>
  </w:style>
  <w:style w:type="paragraph" w:customStyle="1" w:styleId="ManualNumPar1">
    <w:name w:val="Manual NumPar 1"/>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2">
    <w:name w:val="Manual NumPar 2"/>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3">
    <w:name w:val="Manual NumPar 3"/>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ManualNumPar4">
    <w:name w:val="Manual NumPar 4"/>
    <w:basedOn w:val="Normal"/>
    <w:next w:val="Text1"/>
    <w:uiPriority w:val="1"/>
    <w:rsid w:val="14F0B435"/>
    <w:pPr>
      <w:keepNext/>
      <w:spacing w:before="40" w:after="0"/>
      <w:ind w:hanging="850"/>
      <w:jc w:val="both"/>
    </w:pPr>
    <w:rPr>
      <w:rFonts w:ascii="Times New Roman" w:eastAsiaTheme="minorEastAsia" w:hAnsi="Times New Roman" w:cs="Times New Roman"/>
      <w:sz w:val="24"/>
    </w:rPr>
  </w:style>
  <w:style w:type="paragraph" w:customStyle="1" w:styleId="QuotedNumPar">
    <w:name w:val="Quoted NumPar"/>
    <w:basedOn w:val="Normal"/>
    <w:uiPriority w:val="1"/>
    <w:rsid w:val="14F0B435"/>
    <w:pPr>
      <w:keepNext/>
      <w:spacing w:before="40" w:after="0"/>
      <w:ind w:left="1417" w:hanging="567"/>
      <w:jc w:val="both"/>
    </w:pPr>
    <w:rPr>
      <w:rFonts w:ascii="Times New Roman" w:eastAsiaTheme="minorEastAsia" w:hAnsi="Times New Roman" w:cs="Times New Roman"/>
      <w:sz w:val="24"/>
    </w:rPr>
  </w:style>
  <w:style w:type="paragraph" w:customStyle="1" w:styleId="ManualHeading1">
    <w:name w:val="Manual Heading 1"/>
    <w:basedOn w:val="Normal"/>
    <w:next w:val="Text1"/>
    <w:uiPriority w:val="1"/>
    <w:rsid w:val="14F0B435"/>
    <w:pPr>
      <w:keepNext/>
      <w:tabs>
        <w:tab w:val="left" w:pos="850"/>
      </w:tabs>
      <w:spacing w:before="360" w:after="0"/>
      <w:ind w:hanging="850"/>
      <w:jc w:val="both"/>
      <w:outlineLvl w:val="0"/>
    </w:pPr>
    <w:rPr>
      <w:rFonts w:ascii="Times New Roman" w:eastAsiaTheme="minorEastAsia" w:hAnsi="Times New Roman" w:cs="Times New Roman"/>
      <w:b/>
      <w:smallCaps/>
      <w:sz w:val="24"/>
    </w:rPr>
  </w:style>
  <w:style w:type="paragraph" w:customStyle="1" w:styleId="ManualHeading2">
    <w:name w:val="Manual Heading 2"/>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b/>
      <w:sz w:val="24"/>
    </w:rPr>
  </w:style>
  <w:style w:type="paragraph" w:customStyle="1" w:styleId="ManualHeading3">
    <w:name w:val="Manual Heading 3"/>
    <w:basedOn w:val="Normal"/>
    <w:next w:val="Text1"/>
    <w:uiPriority w:val="1"/>
    <w:rsid w:val="14F0B435"/>
    <w:pPr>
      <w:keepNext/>
      <w:tabs>
        <w:tab w:val="left" w:pos="850"/>
      </w:tabs>
      <w:spacing w:before="40" w:after="0"/>
      <w:ind w:hanging="850"/>
      <w:jc w:val="both"/>
    </w:pPr>
    <w:rPr>
      <w:rFonts w:ascii="Times New Roman" w:eastAsiaTheme="minorEastAsia" w:hAnsi="Times New Roman" w:cs="Times New Roman"/>
      <w:i/>
      <w:sz w:val="24"/>
    </w:rPr>
  </w:style>
  <w:style w:type="paragraph" w:customStyle="1" w:styleId="ManualHeading4">
    <w:name w:val="Manual Heading 4"/>
    <w:basedOn w:val="Normal"/>
    <w:next w:val="Text1"/>
    <w:uiPriority w:val="1"/>
    <w:rsid w:val="14F0B435"/>
    <w:pPr>
      <w:keepNext/>
      <w:tabs>
        <w:tab w:val="left" w:pos="850"/>
      </w:tabs>
      <w:spacing w:before="40" w:after="0"/>
      <w:ind w:hanging="850"/>
      <w:jc w:val="both"/>
      <w:outlineLvl w:val="3"/>
    </w:pPr>
    <w:rPr>
      <w:rFonts w:ascii="Times New Roman" w:eastAsiaTheme="minorEastAsia" w:hAnsi="Times New Roman" w:cs="Times New Roman"/>
      <w:sz w:val="24"/>
    </w:rPr>
  </w:style>
  <w:style w:type="paragraph" w:customStyle="1" w:styleId="ChapterTitle">
    <w:name w:val="ChapterTitle"/>
    <w:basedOn w:val="Normal"/>
    <w:next w:val="Normal"/>
    <w:uiPriority w:val="1"/>
    <w:rsid w:val="14F0B435"/>
    <w:pPr>
      <w:keepNext/>
      <w:spacing w:before="40" w:after="360"/>
      <w:jc w:val="center"/>
    </w:pPr>
    <w:rPr>
      <w:rFonts w:ascii="Times New Roman" w:eastAsiaTheme="minorEastAsia" w:hAnsi="Times New Roman" w:cs="Times New Roman"/>
      <w:b/>
      <w:sz w:val="32"/>
    </w:rPr>
  </w:style>
  <w:style w:type="paragraph" w:customStyle="1" w:styleId="PartTitle">
    <w:name w:val="PartTitle"/>
    <w:basedOn w:val="Normal"/>
    <w:next w:val="ChapterTitle"/>
    <w:uiPriority w:val="1"/>
    <w:rsid w:val="14F0B435"/>
    <w:pPr>
      <w:keepNext/>
      <w:spacing w:before="40" w:after="360"/>
      <w:jc w:val="center"/>
    </w:pPr>
    <w:rPr>
      <w:rFonts w:ascii="Times New Roman" w:eastAsiaTheme="minorEastAsia" w:hAnsi="Times New Roman" w:cs="Times New Roman"/>
      <w:b/>
      <w:sz w:val="36"/>
    </w:rPr>
  </w:style>
  <w:style w:type="paragraph" w:customStyle="1" w:styleId="SectionTitle">
    <w:name w:val="SectionTitle"/>
    <w:basedOn w:val="Normal"/>
    <w:next w:val="Heading1"/>
    <w:uiPriority w:val="1"/>
    <w:rsid w:val="14F0B435"/>
    <w:pPr>
      <w:keepNext/>
      <w:spacing w:before="40" w:after="360"/>
      <w:jc w:val="center"/>
    </w:pPr>
    <w:rPr>
      <w:rFonts w:ascii="Times New Roman" w:eastAsiaTheme="minorEastAsia" w:hAnsi="Times New Roman" w:cs="Times New Roman"/>
      <w:b/>
      <w:smallCaps/>
      <w:sz w:val="28"/>
    </w:rPr>
  </w:style>
  <w:style w:type="paragraph" w:customStyle="1" w:styleId="TableTitle">
    <w:name w:val="Table Title"/>
    <w:basedOn w:val="Normal"/>
    <w:next w:val="Normal"/>
    <w:uiPriority w:val="1"/>
    <w:rsid w:val="14F0B435"/>
    <w:pPr>
      <w:keepNext/>
      <w:spacing w:before="40" w:after="0"/>
      <w:jc w:val="center"/>
    </w:pPr>
    <w:rPr>
      <w:rFonts w:ascii="Times New Roman" w:eastAsiaTheme="minorEastAsia" w:hAnsi="Times New Roman" w:cs="Times New Roman"/>
      <w:b/>
      <w:sz w:val="24"/>
    </w:rPr>
  </w:style>
  <w:style w:type="character" w:customStyle="1" w:styleId="Marker">
    <w:name w:val="Marker"/>
    <w:basedOn w:val="DefaultParagraphFont"/>
    <w:rsid w:val="00EE72C8"/>
    <w:rPr>
      <w:color w:val="0000FF"/>
      <w:shd w:val="clear" w:color="auto" w:fill="auto"/>
    </w:rPr>
  </w:style>
  <w:style w:type="character" w:customStyle="1" w:styleId="Marker1">
    <w:name w:val="Marker1"/>
    <w:basedOn w:val="DefaultParagraphFont"/>
    <w:rsid w:val="00B4580D"/>
    <w:rPr>
      <w:color w:val="008000"/>
      <w:shd w:val="clear" w:color="auto" w:fill="auto"/>
    </w:rPr>
  </w:style>
  <w:style w:type="character" w:customStyle="1" w:styleId="Marker2">
    <w:name w:val="Marker2"/>
    <w:basedOn w:val="DefaultParagraphFont"/>
    <w:rsid w:val="00B4580D"/>
    <w:rPr>
      <w:color w:val="FF0000"/>
      <w:shd w:val="clear" w:color="auto" w:fill="auto"/>
    </w:rPr>
  </w:style>
  <w:style w:type="paragraph" w:customStyle="1" w:styleId="Point0number">
    <w:name w:val="Point 0 (numb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number">
    <w:name w:val="Point 1 (number)"/>
    <w:basedOn w:val="Normal"/>
    <w:uiPriority w:val="1"/>
    <w:rsid w:val="29DEDBAE"/>
    <w:pPr>
      <w:keepNext/>
      <w:numPr>
        <w:ilvl w:val="2"/>
        <w:numId w:val="8"/>
      </w:numPr>
      <w:spacing w:before="40" w:after="0"/>
      <w:jc w:val="both"/>
    </w:pPr>
    <w:rPr>
      <w:rFonts w:ascii="Times New Roman" w:eastAsiaTheme="minorEastAsia" w:hAnsi="Times New Roman" w:cs="Times New Roman"/>
      <w:sz w:val="24"/>
    </w:rPr>
  </w:style>
  <w:style w:type="paragraph" w:customStyle="1" w:styleId="Point2number">
    <w:name w:val="Point 2 (number)"/>
    <w:basedOn w:val="Normal"/>
    <w:uiPriority w:val="1"/>
    <w:rsid w:val="29DEDBAE"/>
    <w:pPr>
      <w:keepNext/>
      <w:numPr>
        <w:ilvl w:val="4"/>
        <w:numId w:val="8"/>
      </w:numPr>
      <w:spacing w:before="40" w:after="0"/>
      <w:jc w:val="both"/>
    </w:pPr>
    <w:rPr>
      <w:rFonts w:ascii="Times New Roman" w:eastAsiaTheme="minorEastAsia" w:hAnsi="Times New Roman" w:cs="Times New Roman"/>
      <w:sz w:val="24"/>
    </w:rPr>
  </w:style>
  <w:style w:type="paragraph" w:customStyle="1" w:styleId="Point3number">
    <w:name w:val="Point 3 (number)"/>
    <w:basedOn w:val="Normal"/>
    <w:uiPriority w:val="1"/>
    <w:rsid w:val="29DEDBAE"/>
    <w:pPr>
      <w:keepNext/>
      <w:numPr>
        <w:ilvl w:val="6"/>
        <w:numId w:val="8"/>
      </w:numPr>
      <w:spacing w:before="40" w:after="0"/>
      <w:jc w:val="both"/>
    </w:pPr>
    <w:rPr>
      <w:rFonts w:ascii="Times New Roman" w:eastAsiaTheme="minorEastAsia" w:hAnsi="Times New Roman" w:cs="Times New Roman"/>
      <w:sz w:val="24"/>
    </w:rPr>
  </w:style>
  <w:style w:type="paragraph" w:customStyle="1" w:styleId="Point0letter">
    <w:name w:val="Point 0 (letter)"/>
    <w:basedOn w:val="Normal"/>
    <w:uiPriority w:val="1"/>
    <w:rsid w:val="14F0B435"/>
    <w:pPr>
      <w:keepNext/>
      <w:tabs>
        <w:tab w:val="num" w:pos="850"/>
      </w:tabs>
      <w:spacing w:before="40" w:after="0"/>
      <w:ind w:left="850" w:hanging="850"/>
      <w:jc w:val="both"/>
    </w:pPr>
    <w:rPr>
      <w:rFonts w:ascii="Times New Roman" w:eastAsiaTheme="minorEastAsia" w:hAnsi="Times New Roman" w:cs="Times New Roman"/>
      <w:sz w:val="24"/>
    </w:rPr>
  </w:style>
  <w:style w:type="paragraph" w:customStyle="1" w:styleId="Point1letter">
    <w:name w:val="Point 1 (letter)"/>
    <w:basedOn w:val="Normal"/>
    <w:uiPriority w:val="1"/>
    <w:rsid w:val="29DEDBAE"/>
    <w:pPr>
      <w:keepNext/>
      <w:numPr>
        <w:ilvl w:val="3"/>
        <w:numId w:val="8"/>
      </w:numPr>
      <w:spacing w:before="40" w:after="0"/>
      <w:jc w:val="both"/>
    </w:pPr>
    <w:rPr>
      <w:rFonts w:ascii="Times New Roman" w:eastAsiaTheme="minorEastAsia" w:hAnsi="Times New Roman" w:cs="Times New Roman"/>
      <w:sz w:val="24"/>
    </w:rPr>
  </w:style>
  <w:style w:type="paragraph" w:customStyle="1" w:styleId="Point2letter">
    <w:name w:val="Point 2 (letter)"/>
    <w:basedOn w:val="Normal"/>
    <w:uiPriority w:val="1"/>
    <w:rsid w:val="29DEDBAE"/>
    <w:pPr>
      <w:keepNext/>
      <w:numPr>
        <w:ilvl w:val="5"/>
        <w:numId w:val="8"/>
      </w:numPr>
      <w:spacing w:before="40" w:after="0"/>
      <w:jc w:val="both"/>
    </w:pPr>
    <w:rPr>
      <w:rFonts w:ascii="Times New Roman" w:eastAsiaTheme="minorEastAsia" w:hAnsi="Times New Roman" w:cs="Times New Roman"/>
      <w:sz w:val="24"/>
    </w:rPr>
  </w:style>
  <w:style w:type="paragraph" w:customStyle="1" w:styleId="Point3letter">
    <w:name w:val="Point 3 (letter)"/>
    <w:basedOn w:val="Normal"/>
    <w:uiPriority w:val="1"/>
    <w:rsid w:val="29DEDBAE"/>
    <w:pPr>
      <w:keepNext/>
      <w:numPr>
        <w:ilvl w:val="7"/>
        <w:numId w:val="8"/>
      </w:numPr>
      <w:spacing w:before="40" w:after="0"/>
      <w:jc w:val="both"/>
    </w:pPr>
    <w:rPr>
      <w:rFonts w:ascii="Times New Roman" w:eastAsiaTheme="minorEastAsia" w:hAnsi="Times New Roman" w:cs="Times New Roman"/>
      <w:sz w:val="24"/>
    </w:rPr>
  </w:style>
  <w:style w:type="paragraph" w:customStyle="1" w:styleId="Point4letter">
    <w:name w:val="Point 4 (letter)"/>
    <w:basedOn w:val="Normal"/>
    <w:uiPriority w:val="1"/>
    <w:rsid w:val="29DEDBAE"/>
    <w:pPr>
      <w:keepNext/>
      <w:numPr>
        <w:ilvl w:val="8"/>
        <w:numId w:val="8"/>
      </w:numPr>
      <w:spacing w:before="40" w:after="0"/>
      <w:jc w:val="both"/>
    </w:pPr>
    <w:rPr>
      <w:rFonts w:ascii="Times New Roman" w:eastAsiaTheme="minorEastAsia" w:hAnsi="Times New Roman" w:cs="Times New Roman"/>
      <w:sz w:val="24"/>
    </w:rPr>
  </w:style>
  <w:style w:type="paragraph" w:customStyle="1" w:styleId="Bullet0">
    <w:name w:val="Bullet 0"/>
    <w:basedOn w:val="Normal"/>
    <w:uiPriority w:val="1"/>
    <w:rsid w:val="29DEDBAE"/>
    <w:pPr>
      <w:keepNext/>
      <w:numPr>
        <w:numId w:val="9"/>
      </w:numPr>
      <w:spacing w:before="40" w:after="0"/>
      <w:jc w:val="both"/>
    </w:pPr>
    <w:rPr>
      <w:rFonts w:ascii="Times New Roman" w:eastAsiaTheme="minorEastAsia" w:hAnsi="Times New Roman" w:cs="Times New Roman"/>
      <w:sz w:val="24"/>
    </w:rPr>
  </w:style>
  <w:style w:type="paragraph" w:customStyle="1" w:styleId="Bullet1">
    <w:name w:val="Bullet 1"/>
    <w:basedOn w:val="Normal"/>
    <w:uiPriority w:val="1"/>
    <w:rsid w:val="29DEDBAE"/>
    <w:pPr>
      <w:keepNext/>
      <w:numPr>
        <w:numId w:val="10"/>
      </w:numPr>
      <w:spacing w:before="40" w:after="0"/>
      <w:jc w:val="both"/>
    </w:pPr>
    <w:rPr>
      <w:rFonts w:ascii="Times New Roman" w:eastAsiaTheme="minorEastAsia" w:hAnsi="Times New Roman" w:cs="Times New Roman"/>
      <w:sz w:val="24"/>
    </w:rPr>
  </w:style>
  <w:style w:type="paragraph" w:customStyle="1" w:styleId="Bullet2">
    <w:name w:val="Bullet 2"/>
    <w:basedOn w:val="Normal"/>
    <w:uiPriority w:val="1"/>
    <w:rsid w:val="29DEDBAE"/>
    <w:pPr>
      <w:keepNext/>
      <w:numPr>
        <w:numId w:val="11"/>
      </w:numPr>
      <w:spacing w:before="40" w:after="0"/>
      <w:jc w:val="both"/>
    </w:pPr>
    <w:rPr>
      <w:rFonts w:ascii="Times New Roman" w:eastAsiaTheme="minorEastAsia" w:hAnsi="Times New Roman" w:cs="Times New Roman"/>
      <w:sz w:val="24"/>
    </w:rPr>
  </w:style>
  <w:style w:type="paragraph" w:customStyle="1" w:styleId="Bullet3">
    <w:name w:val="Bullet 3"/>
    <w:basedOn w:val="Normal"/>
    <w:uiPriority w:val="1"/>
    <w:rsid w:val="29DEDBAE"/>
    <w:pPr>
      <w:keepNext/>
      <w:numPr>
        <w:numId w:val="12"/>
      </w:numPr>
      <w:spacing w:before="40" w:after="0"/>
      <w:jc w:val="both"/>
    </w:pPr>
    <w:rPr>
      <w:rFonts w:ascii="Times New Roman" w:eastAsiaTheme="minorEastAsia" w:hAnsi="Times New Roman" w:cs="Times New Roman"/>
      <w:sz w:val="24"/>
    </w:rPr>
  </w:style>
  <w:style w:type="paragraph" w:customStyle="1" w:styleId="Bullet4">
    <w:name w:val="Bullet 4"/>
    <w:basedOn w:val="Normal"/>
    <w:uiPriority w:val="1"/>
    <w:rsid w:val="29DEDBAE"/>
    <w:pPr>
      <w:keepNext/>
      <w:numPr>
        <w:numId w:val="13"/>
      </w:numPr>
      <w:spacing w:before="40" w:after="0"/>
      <w:jc w:val="both"/>
    </w:pPr>
    <w:rPr>
      <w:rFonts w:ascii="Times New Roman" w:eastAsiaTheme="minorEastAsia" w:hAnsi="Times New Roman" w:cs="Times New Roman"/>
      <w:sz w:val="24"/>
    </w:rPr>
  </w:style>
  <w:style w:type="paragraph" w:customStyle="1" w:styleId="Langue">
    <w:name w:val="Langue"/>
    <w:basedOn w:val="Normal"/>
    <w:next w:val="Rfrenceinterne"/>
    <w:uiPriority w:val="1"/>
    <w:rsid w:val="14F0B435"/>
    <w:pPr>
      <w:keepNext/>
      <w:spacing w:after="600"/>
      <w:jc w:val="center"/>
    </w:pPr>
    <w:rPr>
      <w:rFonts w:ascii="Times New Roman" w:eastAsiaTheme="minorEastAsia" w:hAnsi="Times New Roman" w:cs="Times New Roman"/>
      <w:b/>
      <w:caps/>
      <w:sz w:val="24"/>
    </w:rPr>
  </w:style>
  <w:style w:type="paragraph" w:customStyle="1" w:styleId="Nomdelinstitution">
    <w:name w:val="Nom de l'institution"/>
    <w:basedOn w:val="Normal"/>
    <w:next w:val="Emission"/>
    <w:uiPriority w:val="1"/>
    <w:rsid w:val="14F0B435"/>
    <w:pPr>
      <w:keepNext/>
      <w:spacing w:after="0"/>
      <w:jc w:val="both"/>
    </w:pPr>
    <w:rPr>
      <w:rFonts w:ascii="Arial" w:eastAsiaTheme="minorEastAsia" w:hAnsi="Arial" w:cs="Arial"/>
      <w:sz w:val="24"/>
    </w:rPr>
  </w:style>
  <w:style w:type="paragraph" w:customStyle="1" w:styleId="Emission">
    <w:name w:val="Emission"/>
    <w:basedOn w:val="Normal"/>
    <w:next w:val="Rfrence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stitutionnelle">
    <w:name w:val="Référence institutionnell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Pagedecouverture">
    <w:name w:val="Page de couverture"/>
    <w:basedOn w:val="Normal"/>
    <w:next w:val="Normal"/>
    <w:link w:val="PagedecouvertureChar"/>
    <w:uiPriority w:val="1"/>
    <w:rsid w:val="14F0B435"/>
    <w:pPr>
      <w:keepNext/>
      <w:spacing w:after="0"/>
      <w:jc w:val="both"/>
    </w:pPr>
    <w:rPr>
      <w:rFonts w:ascii="Times New Roman" w:eastAsiaTheme="minorEastAsia" w:hAnsi="Times New Roman" w:cs="Times New Roman"/>
      <w:sz w:val="24"/>
    </w:rPr>
  </w:style>
  <w:style w:type="paragraph" w:customStyle="1" w:styleId="Declassification">
    <w:name w:val="Declassification"/>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isclaimer">
    <w:name w:val="Disclaimer"/>
    <w:basedOn w:val="Normal"/>
    <w:uiPriority w:val="1"/>
    <w:rsid w:val="14F0B435"/>
    <w:pPr>
      <w:keepNext/>
      <w:spacing w:before="40" w:after="0"/>
      <w:jc w:val="both"/>
    </w:pPr>
    <w:rPr>
      <w:rFonts w:ascii="Times New Roman" w:eastAsiaTheme="minorEastAsia" w:hAnsi="Times New Roman" w:cs="Times New Roman"/>
      <w:sz w:val="24"/>
    </w:rPr>
  </w:style>
  <w:style w:type="paragraph" w:customStyle="1" w:styleId="SecurityMarking">
    <w:name w:val="SecurityMarking"/>
    <w:basedOn w:val="Normal"/>
    <w:uiPriority w:val="1"/>
    <w:rsid w:val="00B4580D"/>
    <w:pPr>
      <w:spacing w:after="0"/>
      <w:ind w:left="5103"/>
    </w:pPr>
    <w:rPr>
      <w:rFonts w:ascii="Times New Roman" w:hAnsi="Times New Roman" w:cs="Times New Roman"/>
      <w:sz w:val="28"/>
    </w:rPr>
  </w:style>
  <w:style w:type="paragraph" w:customStyle="1" w:styleId="DateMarking">
    <w:name w:val="DateMarking"/>
    <w:basedOn w:val="Normal"/>
    <w:uiPriority w:val="1"/>
    <w:rsid w:val="00B4580D"/>
    <w:pPr>
      <w:spacing w:after="0"/>
      <w:ind w:left="5103"/>
    </w:pPr>
    <w:rPr>
      <w:rFonts w:ascii="Times New Roman" w:hAnsi="Times New Roman" w:cs="Times New Roman"/>
      <w:i/>
      <w:sz w:val="28"/>
    </w:rPr>
  </w:style>
  <w:style w:type="paragraph" w:customStyle="1" w:styleId="ReleasableTo">
    <w:name w:val="ReleasableTo"/>
    <w:basedOn w:val="Normal"/>
    <w:uiPriority w:val="1"/>
    <w:rsid w:val="00B4580D"/>
    <w:pPr>
      <w:spacing w:after="0"/>
      <w:ind w:left="5103"/>
    </w:pPr>
    <w:rPr>
      <w:rFonts w:ascii="Times New Roman" w:hAnsi="Times New Roman" w:cs="Times New Roman"/>
      <w:i/>
      <w:sz w:val="28"/>
    </w:rPr>
  </w:style>
  <w:style w:type="paragraph" w:customStyle="1" w:styleId="Annexetitreexpos">
    <w:name w:val="Annexe titre (exposé)"/>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
    <w:name w:val="Annex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nnexetitrefichefinancire">
    <w:name w:val="Annexe titre (fiche financiè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Applicationdirecte">
    <w:name w:val="Application directe"/>
    <w:basedOn w:val="Normal"/>
    <w:next w:val="Fait"/>
    <w:uiPriority w:val="1"/>
    <w:rsid w:val="14F0B435"/>
    <w:pPr>
      <w:keepNext/>
      <w:spacing w:before="480" w:after="0"/>
      <w:jc w:val="both"/>
    </w:pPr>
    <w:rPr>
      <w:rFonts w:ascii="Times New Roman" w:eastAsiaTheme="minorEastAsia" w:hAnsi="Times New Roman" w:cs="Times New Roman"/>
      <w:sz w:val="24"/>
    </w:rPr>
  </w:style>
  <w:style w:type="paragraph" w:customStyle="1" w:styleId="Avertissementtitre">
    <w:name w:val="Avertissement titre"/>
    <w:basedOn w:val="Normal"/>
    <w:next w:val="Normal"/>
    <w:uiPriority w:val="1"/>
    <w:rsid w:val="14F0B435"/>
    <w:pPr>
      <w:keepNext/>
      <w:spacing w:before="480" w:after="0"/>
      <w:jc w:val="both"/>
    </w:pPr>
    <w:rPr>
      <w:rFonts w:ascii="Times New Roman" w:eastAsiaTheme="minorEastAsia" w:hAnsi="Times New Roman" w:cs="Times New Roman"/>
      <w:sz w:val="24"/>
      <w:u w:val="single"/>
    </w:rPr>
  </w:style>
  <w:style w:type="paragraph" w:customStyle="1" w:styleId="Confidence">
    <w:name w:val="Confidence"/>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Confidentialit">
    <w:name w:val="Confidentialité"/>
    <w:basedOn w:val="Normal"/>
    <w:next w:val="TypedudocumentPagedecouverture"/>
    <w:uiPriority w:val="1"/>
    <w:rsid w:val="14F0B435"/>
    <w:pPr>
      <w:keepNext/>
      <w:spacing w:before="240" w:after="0"/>
      <w:ind w:left="5103"/>
      <w:jc w:val="both"/>
    </w:pPr>
    <w:rPr>
      <w:rFonts w:ascii="Times New Roman" w:eastAsiaTheme="minorEastAsia" w:hAnsi="Times New Roman" w:cs="Times New Roman"/>
      <w:i/>
      <w:sz w:val="32"/>
    </w:rPr>
  </w:style>
  <w:style w:type="paragraph" w:customStyle="1" w:styleId="Considrant">
    <w:name w:val="Considérant"/>
    <w:basedOn w:val="Normal"/>
    <w:uiPriority w:val="1"/>
    <w:rsid w:val="29DEDBAE"/>
    <w:pPr>
      <w:keepNext/>
      <w:numPr>
        <w:numId w:val="14"/>
      </w:numPr>
      <w:spacing w:before="40" w:after="0"/>
      <w:jc w:val="both"/>
    </w:pPr>
    <w:rPr>
      <w:rFonts w:ascii="Times New Roman" w:eastAsiaTheme="minorEastAsia" w:hAnsi="Times New Roman" w:cs="Times New Roman"/>
      <w:sz w:val="24"/>
    </w:rPr>
  </w:style>
  <w:style w:type="paragraph" w:customStyle="1" w:styleId="Corrigendum">
    <w:name w:val="Corrigendum"/>
    <w:basedOn w:val="Normal"/>
    <w:next w:val="Normal"/>
    <w:uiPriority w:val="1"/>
    <w:rsid w:val="14F0B435"/>
    <w:pPr>
      <w:keepNext/>
      <w:spacing w:after="0"/>
      <w:jc w:val="both"/>
    </w:pPr>
    <w:rPr>
      <w:rFonts w:ascii="Times New Roman" w:eastAsiaTheme="minorEastAsia" w:hAnsi="Times New Roman" w:cs="Times New Roman"/>
      <w:sz w:val="24"/>
    </w:rPr>
  </w:style>
  <w:style w:type="paragraph" w:customStyle="1" w:styleId="Datedadoption">
    <w:name w:val="Date d'adoption"/>
    <w:basedOn w:val="Normal"/>
    <w:next w:val="IntrtEEE"/>
    <w:uiPriority w:val="1"/>
    <w:rsid w:val="14F0B435"/>
    <w:pPr>
      <w:keepNext/>
      <w:spacing w:before="360" w:after="0"/>
      <w:jc w:val="center"/>
    </w:pPr>
    <w:rPr>
      <w:rFonts w:ascii="Times New Roman" w:eastAsiaTheme="minorEastAsia" w:hAnsi="Times New Roman" w:cs="Times New Roman"/>
      <w:b/>
      <w:sz w:val="24"/>
    </w:rPr>
  </w:style>
  <w:style w:type="paragraph" w:customStyle="1" w:styleId="Exposdesmotifstitre">
    <w:name w:val="Exposé des motifs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Fait">
    <w:name w:val="Fait à"/>
    <w:basedOn w:val="Normal"/>
    <w:next w:val="Institutionquisigne"/>
    <w:uiPriority w:val="1"/>
    <w:rsid w:val="14F0B435"/>
    <w:pPr>
      <w:keepNext/>
      <w:spacing w:before="40" w:after="0"/>
      <w:jc w:val="both"/>
    </w:pPr>
    <w:rPr>
      <w:rFonts w:ascii="Times New Roman" w:eastAsiaTheme="minorEastAsia" w:hAnsi="Times New Roman" w:cs="Times New Roman"/>
      <w:sz w:val="24"/>
    </w:rPr>
  </w:style>
  <w:style w:type="paragraph" w:customStyle="1" w:styleId="Formuledadoption">
    <w:name w:val="Formule d'adoption"/>
    <w:basedOn w:val="Normal"/>
    <w:next w:val="Titrearticle"/>
    <w:uiPriority w:val="1"/>
    <w:rsid w:val="14F0B435"/>
    <w:pPr>
      <w:keepNext/>
      <w:spacing w:before="40" w:after="0"/>
      <w:jc w:val="both"/>
    </w:pPr>
    <w:rPr>
      <w:rFonts w:ascii="Times New Roman" w:eastAsiaTheme="minorEastAsia" w:hAnsi="Times New Roman" w:cs="Times New Roman"/>
      <w:sz w:val="24"/>
    </w:rPr>
  </w:style>
  <w:style w:type="paragraph" w:customStyle="1" w:styleId="Institutionquiagit">
    <w:name w:val="Institution qui agit"/>
    <w:basedOn w:val="Normal"/>
    <w:next w:val="Normal"/>
    <w:uiPriority w:val="1"/>
    <w:rsid w:val="14F0B435"/>
    <w:pPr>
      <w:keepNext/>
      <w:spacing w:before="600" w:after="0"/>
      <w:jc w:val="both"/>
    </w:pPr>
    <w:rPr>
      <w:rFonts w:ascii="Times New Roman" w:eastAsiaTheme="minorEastAsia" w:hAnsi="Times New Roman" w:cs="Times New Roman"/>
      <w:sz w:val="24"/>
    </w:rPr>
  </w:style>
  <w:style w:type="paragraph" w:customStyle="1" w:styleId="Institutionquisigne">
    <w:name w:val="Institution qui signe"/>
    <w:basedOn w:val="Normal"/>
    <w:next w:val="Personnequisigne"/>
    <w:uiPriority w:val="1"/>
    <w:rsid w:val="14F0B435"/>
    <w:pPr>
      <w:keepNext/>
      <w:tabs>
        <w:tab w:val="left" w:pos="4252"/>
      </w:tabs>
      <w:spacing w:before="720" w:after="0"/>
      <w:jc w:val="both"/>
    </w:pPr>
    <w:rPr>
      <w:rFonts w:ascii="Times New Roman" w:eastAsiaTheme="minorEastAsia" w:hAnsi="Times New Roman" w:cs="Times New Roman"/>
      <w:i/>
      <w:sz w:val="24"/>
    </w:rPr>
  </w:style>
  <w:style w:type="paragraph" w:customStyle="1" w:styleId="ManualConsidrant">
    <w:name w:val="Manual Considérant"/>
    <w:basedOn w:val="Normal"/>
    <w:uiPriority w:val="1"/>
    <w:rsid w:val="14F0B435"/>
    <w:pPr>
      <w:keepNext/>
      <w:spacing w:before="40" w:after="0"/>
      <w:ind w:left="709" w:hanging="709"/>
      <w:jc w:val="both"/>
    </w:pPr>
    <w:rPr>
      <w:rFonts w:ascii="Times New Roman" w:eastAsiaTheme="minorEastAsia" w:hAnsi="Times New Roman" w:cs="Times New Roman"/>
      <w:sz w:val="24"/>
    </w:rPr>
  </w:style>
  <w:style w:type="paragraph" w:customStyle="1" w:styleId="Personnequisigne">
    <w:name w:val="Personne qui signe"/>
    <w:basedOn w:val="Normal"/>
    <w:next w:val="Institutionquisigne"/>
    <w:uiPriority w:val="1"/>
    <w:rsid w:val="14F0B435"/>
    <w:pPr>
      <w:keepNext/>
      <w:tabs>
        <w:tab w:val="left" w:pos="4252"/>
      </w:tabs>
      <w:spacing w:after="0"/>
      <w:jc w:val="both"/>
    </w:pPr>
    <w:rPr>
      <w:rFonts w:ascii="Times New Roman" w:eastAsiaTheme="minorEastAsia" w:hAnsi="Times New Roman" w:cs="Times New Roman"/>
      <w:i/>
      <w:sz w:val="24"/>
    </w:rPr>
  </w:style>
  <w:style w:type="paragraph" w:customStyle="1" w:styleId="Rfrenceinterinstitutionnelle">
    <w:name w:val="Référence interinstitutionnelle"/>
    <w:basedOn w:val="Normal"/>
    <w:next w:val="Statut"/>
    <w:uiPriority w:val="1"/>
    <w:rsid w:val="14F0B435"/>
    <w:pPr>
      <w:keepNext/>
      <w:spacing w:after="0"/>
      <w:ind w:left="5103"/>
      <w:jc w:val="both"/>
    </w:pPr>
    <w:rPr>
      <w:rFonts w:ascii="Times New Roman" w:eastAsiaTheme="minorEastAsia" w:hAnsi="Times New Roman" w:cs="Times New Roman"/>
      <w:sz w:val="24"/>
    </w:rPr>
  </w:style>
  <w:style w:type="paragraph" w:customStyle="1" w:styleId="Rfrenceinterne">
    <w:name w:val="Référence interne"/>
    <w:basedOn w:val="Normal"/>
    <w:next w:val="Rfrenceinterinstitutionnelle"/>
    <w:uiPriority w:val="1"/>
    <w:rsid w:val="14F0B435"/>
    <w:pPr>
      <w:keepNext/>
      <w:spacing w:after="0"/>
      <w:ind w:left="5103"/>
      <w:jc w:val="both"/>
    </w:pPr>
    <w:rPr>
      <w:rFonts w:ascii="Times New Roman" w:eastAsiaTheme="minorEastAsia" w:hAnsi="Times New Roman" w:cs="Times New Roman"/>
      <w:sz w:val="24"/>
    </w:rPr>
  </w:style>
  <w:style w:type="paragraph" w:customStyle="1" w:styleId="Statut">
    <w:name w:val="Statut"/>
    <w:basedOn w:val="Normal"/>
    <w:next w:val="Typedudocument"/>
    <w:uiPriority w:val="1"/>
    <w:rsid w:val="14F0B435"/>
    <w:pPr>
      <w:keepNext/>
      <w:spacing w:after="0"/>
      <w:jc w:val="center"/>
    </w:pPr>
    <w:rPr>
      <w:rFonts w:ascii="Times New Roman" w:eastAsiaTheme="minorEastAsia" w:hAnsi="Times New Roman" w:cs="Times New Roman"/>
      <w:sz w:val="24"/>
    </w:rPr>
  </w:style>
  <w:style w:type="paragraph" w:customStyle="1" w:styleId="Titrearticle">
    <w:name w:val="Titre article"/>
    <w:basedOn w:val="Normal"/>
    <w:next w:val="Normal"/>
    <w:uiPriority w:val="1"/>
    <w:rsid w:val="14F0B435"/>
    <w:pPr>
      <w:keepNext/>
      <w:spacing w:before="360" w:after="0"/>
      <w:jc w:val="center"/>
    </w:pPr>
    <w:rPr>
      <w:rFonts w:ascii="Times New Roman" w:eastAsiaTheme="minorEastAsia" w:hAnsi="Times New Roman" w:cs="Times New Roman"/>
      <w:i/>
      <w:sz w:val="24"/>
    </w:rPr>
  </w:style>
  <w:style w:type="paragraph" w:customStyle="1" w:styleId="Typedudocument">
    <w:name w:val="Type du document"/>
    <w:basedOn w:val="Normal"/>
    <w:next w:val="Accompagnant"/>
    <w:uiPriority w:val="1"/>
    <w:rsid w:val="14F0B435"/>
    <w:pPr>
      <w:keepNext/>
      <w:spacing w:before="360" w:after="180"/>
      <w:jc w:val="center"/>
    </w:pPr>
    <w:rPr>
      <w:rFonts w:ascii="Times New Roman" w:eastAsiaTheme="minorEastAsia" w:hAnsi="Times New Roman" w:cs="Times New Roman"/>
      <w:b/>
      <w:sz w:val="24"/>
    </w:rPr>
  </w:style>
  <w:style w:type="character" w:customStyle="1" w:styleId="Added">
    <w:name w:val="Added"/>
    <w:basedOn w:val="DefaultParagraphFont"/>
    <w:rsid w:val="00B4580D"/>
    <w:rPr>
      <w:b/>
      <w:u w:val="single"/>
      <w:shd w:val="clear" w:color="auto" w:fill="auto"/>
    </w:rPr>
  </w:style>
  <w:style w:type="character" w:customStyle="1" w:styleId="Deleted">
    <w:name w:val="Deleted"/>
    <w:basedOn w:val="DefaultParagraphFont"/>
    <w:rsid w:val="00B4580D"/>
    <w:rPr>
      <w:strike/>
      <w:dstrike w:val="0"/>
      <w:shd w:val="clear" w:color="auto" w:fill="auto"/>
    </w:rPr>
  </w:style>
  <w:style w:type="paragraph" w:customStyle="1" w:styleId="Address">
    <w:name w:val="Address"/>
    <w:basedOn w:val="Normal"/>
    <w:next w:val="Normal"/>
    <w:uiPriority w:val="1"/>
    <w:rsid w:val="14F0B435"/>
    <w:pPr>
      <w:keepNext/>
      <w:keepLines/>
      <w:spacing w:before="40" w:after="0"/>
      <w:ind w:left="3402"/>
      <w:jc w:val="both"/>
    </w:pPr>
    <w:rPr>
      <w:rFonts w:ascii="Times New Roman" w:eastAsiaTheme="minorEastAsia" w:hAnsi="Times New Roman" w:cs="Times New Roman"/>
      <w:sz w:val="24"/>
    </w:rPr>
  </w:style>
  <w:style w:type="paragraph" w:customStyle="1" w:styleId="Objetexterne">
    <w:name w:val="Objet externe"/>
    <w:basedOn w:val="Normal"/>
    <w:next w:val="Normal"/>
    <w:uiPriority w:val="1"/>
    <w:rsid w:val="14F0B435"/>
    <w:pPr>
      <w:keepNext/>
      <w:spacing w:before="40" w:after="0"/>
      <w:jc w:val="both"/>
    </w:pPr>
    <w:rPr>
      <w:rFonts w:ascii="Times New Roman" w:eastAsiaTheme="minorEastAsia" w:hAnsi="Times New Roman" w:cs="Times New Roman"/>
      <w:i/>
      <w:caps/>
      <w:sz w:val="24"/>
    </w:rPr>
  </w:style>
  <w:style w:type="paragraph" w:customStyle="1" w:styleId="Supertitre">
    <w:name w:val="Supertitre"/>
    <w:basedOn w:val="Normal"/>
    <w:next w:val="Normal"/>
    <w:uiPriority w:val="1"/>
    <w:rsid w:val="14F0B435"/>
    <w:pPr>
      <w:keepNext/>
      <w:spacing w:after="600"/>
      <w:jc w:val="center"/>
    </w:pPr>
    <w:rPr>
      <w:rFonts w:ascii="Times New Roman" w:eastAsiaTheme="minorEastAsia" w:hAnsi="Times New Roman" w:cs="Times New Roman"/>
      <w:b/>
      <w:sz w:val="24"/>
    </w:rPr>
  </w:style>
  <w:style w:type="paragraph" w:customStyle="1" w:styleId="Languesfaisantfoi">
    <w:name w:val="Langues faisant foi"/>
    <w:basedOn w:val="Normal"/>
    <w:next w:val="Normal"/>
    <w:uiPriority w:val="1"/>
    <w:rsid w:val="14F0B435"/>
    <w:pPr>
      <w:keepNext/>
      <w:spacing w:before="360" w:after="0"/>
      <w:jc w:val="center"/>
    </w:pPr>
    <w:rPr>
      <w:rFonts w:ascii="Times New Roman" w:eastAsiaTheme="minorEastAsia" w:hAnsi="Times New Roman" w:cs="Times New Roman"/>
      <w:sz w:val="24"/>
    </w:rPr>
  </w:style>
  <w:style w:type="paragraph" w:customStyle="1" w:styleId="Rfrencecroise">
    <w:name w:val="Référence croisée"/>
    <w:basedOn w:val="Normal"/>
    <w:uiPriority w:val="1"/>
    <w:rsid w:val="14F0B435"/>
    <w:pPr>
      <w:keepNext/>
      <w:spacing w:after="0"/>
      <w:jc w:val="center"/>
    </w:pPr>
    <w:rPr>
      <w:rFonts w:ascii="Times New Roman" w:eastAsiaTheme="minorEastAsia" w:hAnsi="Times New Roman" w:cs="Times New Roman"/>
      <w:sz w:val="24"/>
    </w:rPr>
  </w:style>
  <w:style w:type="paragraph" w:customStyle="1" w:styleId="Fichefinanciretitre">
    <w:name w:val="Fiche financière titre"/>
    <w:basedOn w:val="Normal"/>
    <w:next w:val="Normal"/>
    <w:uiPriority w:val="1"/>
    <w:rsid w:val="14F0B435"/>
    <w:pPr>
      <w:keepNext/>
      <w:spacing w:before="40" w:after="0"/>
      <w:jc w:val="center"/>
    </w:pPr>
    <w:rPr>
      <w:rFonts w:ascii="Times New Roman" w:eastAsiaTheme="minorEastAsia" w:hAnsi="Times New Roman" w:cs="Times New Roman"/>
      <w:b/>
      <w:sz w:val="24"/>
      <w:u w:val="single"/>
    </w:rPr>
  </w:style>
  <w:style w:type="paragraph" w:customStyle="1" w:styleId="DatedadoptionPagedecouverture">
    <w:name w:val="Date d'adoption (Page de couverture)"/>
    <w:basedOn w:val="Datedadoption"/>
    <w:next w:val="IntrtEEEPagedecouverture"/>
    <w:uiPriority w:val="1"/>
    <w:rsid w:val="00B4580D"/>
  </w:style>
  <w:style w:type="paragraph" w:customStyle="1" w:styleId="RfrenceinterinstitutionnellePagedecouverture">
    <w:name w:val="Référence interinstitutionnelle (Page de couverture)"/>
    <w:basedOn w:val="Rfrenceinterinstitutionnelle"/>
    <w:next w:val="Confidentialit"/>
    <w:uiPriority w:val="1"/>
    <w:rsid w:val="00B4580D"/>
  </w:style>
  <w:style w:type="paragraph" w:customStyle="1" w:styleId="StatutPagedecouverture">
    <w:name w:val="Statut (Page de couverture)"/>
    <w:basedOn w:val="Statut"/>
    <w:next w:val="TypedudocumentPagedecouverture"/>
    <w:uiPriority w:val="1"/>
    <w:rsid w:val="00B4580D"/>
  </w:style>
  <w:style w:type="paragraph" w:customStyle="1" w:styleId="TypedudocumentPagedecouverture">
    <w:name w:val="Type du document (Page de couverture)"/>
    <w:basedOn w:val="Typedudocument"/>
    <w:next w:val="AccompagnantPagedecouverture"/>
    <w:uiPriority w:val="1"/>
    <w:rsid w:val="00B4580D"/>
  </w:style>
  <w:style w:type="paragraph" w:customStyle="1" w:styleId="Volume">
    <w:name w:val="Volume"/>
    <w:basedOn w:val="Normal"/>
    <w:next w:val="Confidentialit"/>
    <w:uiPriority w:val="1"/>
    <w:rsid w:val="14F0B435"/>
    <w:pPr>
      <w:keepNext/>
      <w:spacing w:after="0"/>
      <w:ind w:left="5103"/>
      <w:jc w:val="both"/>
    </w:pPr>
    <w:rPr>
      <w:rFonts w:ascii="Times New Roman" w:eastAsiaTheme="minorEastAsia" w:hAnsi="Times New Roman" w:cs="Times New Roman"/>
      <w:sz w:val="24"/>
    </w:rPr>
  </w:style>
  <w:style w:type="paragraph" w:customStyle="1" w:styleId="IntrtEEE">
    <w:name w:val="Intérêt EEE"/>
    <w:basedOn w:val="Languesfaisantfoi"/>
    <w:next w:val="Normal"/>
    <w:uiPriority w:val="1"/>
    <w:rsid w:val="00B4580D"/>
  </w:style>
  <w:style w:type="paragraph" w:customStyle="1" w:styleId="Accompagnant">
    <w:name w:val="Accompagnant"/>
    <w:basedOn w:val="Normal"/>
    <w:next w:val="Typeacteprincipal"/>
    <w:uiPriority w:val="1"/>
    <w:rsid w:val="14F0B435"/>
    <w:pPr>
      <w:keepNext/>
      <w:spacing w:before="180" w:after="0"/>
      <w:jc w:val="center"/>
    </w:pPr>
    <w:rPr>
      <w:rFonts w:ascii="Times New Roman" w:eastAsiaTheme="minorEastAsia" w:hAnsi="Times New Roman" w:cs="Times New Roman"/>
      <w:b/>
      <w:sz w:val="24"/>
    </w:rPr>
  </w:style>
  <w:style w:type="paragraph" w:customStyle="1" w:styleId="Typeacteprincipal">
    <w:name w:val="Type acte principal"/>
    <w:basedOn w:val="Normal"/>
    <w:next w:val="Objetacteprincipal"/>
    <w:uiPriority w:val="1"/>
    <w:rsid w:val="14F0B435"/>
    <w:pPr>
      <w:keepNext/>
      <w:spacing w:after="0"/>
      <w:jc w:val="center"/>
    </w:pPr>
    <w:rPr>
      <w:rFonts w:ascii="Times New Roman" w:eastAsiaTheme="minorEastAsia" w:hAnsi="Times New Roman" w:cs="Times New Roman"/>
      <w:b/>
      <w:sz w:val="24"/>
    </w:rPr>
  </w:style>
  <w:style w:type="paragraph" w:customStyle="1" w:styleId="Objetacteprincipal">
    <w:name w:val="Objet acte principal"/>
    <w:basedOn w:val="Normal"/>
    <w:next w:val="Titrearticle"/>
    <w:uiPriority w:val="1"/>
    <w:rsid w:val="14F0B435"/>
    <w:pPr>
      <w:keepNext/>
      <w:spacing w:after="360"/>
      <w:jc w:val="center"/>
    </w:pPr>
    <w:rPr>
      <w:rFonts w:ascii="Times New Roman" w:eastAsiaTheme="minorEastAsia" w:hAnsi="Times New Roman" w:cs="Times New Roman"/>
      <w:b/>
      <w:sz w:val="24"/>
    </w:rPr>
  </w:style>
  <w:style w:type="paragraph" w:customStyle="1" w:styleId="IntrtEEEPagedecouverture">
    <w:name w:val="Intérêt EEE (Page de couverture)"/>
    <w:basedOn w:val="IntrtEEE"/>
    <w:next w:val="Rfrencecroise"/>
    <w:uiPriority w:val="1"/>
    <w:rsid w:val="00B4580D"/>
  </w:style>
  <w:style w:type="paragraph" w:customStyle="1" w:styleId="AccompagnantPagedecouverture">
    <w:name w:val="Accompagnant (Page de couverture)"/>
    <w:basedOn w:val="Accompagnant"/>
    <w:next w:val="TypeacteprincipalPagedecouverture"/>
    <w:uiPriority w:val="1"/>
    <w:rsid w:val="00B4580D"/>
  </w:style>
  <w:style w:type="paragraph" w:customStyle="1" w:styleId="TypeacteprincipalPagedecouverture">
    <w:name w:val="Type acte principal (Page de couverture)"/>
    <w:basedOn w:val="Typeacteprincipal"/>
    <w:next w:val="ObjetacteprincipalPagedecouverture"/>
    <w:uiPriority w:val="1"/>
    <w:rsid w:val="00B4580D"/>
  </w:style>
  <w:style w:type="paragraph" w:customStyle="1" w:styleId="ObjetacteprincipalPagedecouverture">
    <w:name w:val="Objet acte principal (Page de couverture)"/>
    <w:basedOn w:val="Objetacteprincipal"/>
    <w:next w:val="Rfrencecroise"/>
    <w:uiPriority w:val="1"/>
    <w:rsid w:val="00B4580D"/>
  </w:style>
  <w:style w:type="paragraph" w:customStyle="1" w:styleId="LanguesfaisantfoiPagedecouverture">
    <w:name w:val="Langues faisant foi (Page de couverture)"/>
    <w:basedOn w:val="Normal"/>
    <w:next w:val="Normal"/>
    <w:uiPriority w:val="1"/>
    <w:rsid w:val="14F0B435"/>
    <w:pPr>
      <w:keepNext/>
      <w:spacing w:before="360" w:after="0"/>
      <w:jc w:val="center"/>
    </w:pPr>
    <w:rPr>
      <w:rFonts w:ascii="Times New Roman" w:eastAsiaTheme="minorEastAsia" w:hAnsi="Times New Roman" w:cs="Times New Roman"/>
      <w:sz w:val="24"/>
    </w:rPr>
  </w:style>
  <w:style w:type="character" w:styleId="CommentReference">
    <w:name w:val="annotation reference"/>
    <w:basedOn w:val="DefaultParagraphFont"/>
    <w:uiPriority w:val="99"/>
    <w:unhideWhenUsed/>
    <w:rsid w:val="00B4580D"/>
    <w:rPr>
      <w:sz w:val="16"/>
    </w:rPr>
  </w:style>
  <w:style w:type="paragraph" w:styleId="CommentText">
    <w:name w:val="annotation text"/>
    <w:basedOn w:val="Normal"/>
    <w:link w:val="CommentTextChar"/>
    <w:uiPriority w:val="99"/>
    <w:unhideWhenUsed/>
    <w:rsid w:val="14F0B435"/>
    <w:pPr>
      <w:keepNext/>
      <w:spacing w:before="40" w:after="0"/>
      <w:jc w:val="both"/>
    </w:pPr>
    <w:rPr>
      <w:rFonts w:ascii="Times New Roman" w:eastAsiaTheme="minorEastAsia" w:hAnsi="Times New Roman" w:cs="Times New Roman"/>
      <w:sz w:val="20"/>
    </w:rPr>
  </w:style>
  <w:style w:type="character" w:customStyle="1" w:styleId="CommentTextChar">
    <w:name w:val="Comment Text Char"/>
    <w:basedOn w:val="DefaultParagraphFont"/>
    <w:link w:val="CommentText"/>
    <w:uiPriority w:val="99"/>
    <w:rsid w:val="00B4580D"/>
    <w:rPr>
      <w:rFonts w:ascii="Times New Roman" w:eastAsiaTheme="minorEastAsia" w:hAnsi="Times New Roman" w:cs="Times New Roman"/>
      <w:sz w:val="20"/>
    </w:rPr>
  </w:style>
  <w:style w:type="paragraph" w:styleId="ListParagraph">
    <w:name w:val="List Paragraph"/>
    <w:basedOn w:val="Normal"/>
    <w:link w:val="ListParagraphChar"/>
    <w:uiPriority w:val="34"/>
    <w:qFormat/>
    <w:rsid w:val="14F0B435"/>
    <w:pPr>
      <w:keepNext/>
      <w:spacing w:after="160"/>
      <w:ind w:left="1571" w:hanging="360"/>
      <w:contextualSpacing/>
      <w:jc w:val="both"/>
    </w:pPr>
    <w:rPr>
      <w:rFonts w:ascii="Times New Roman" w:eastAsiaTheme="minorEastAsia" w:hAnsi="Times New Roman" w:cs="Times New Roman"/>
      <w:sz w:val="24"/>
    </w:rPr>
  </w:style>
  <w:style w:type="character" w:customStyle="1" w:styleId="ListParagraphChar">
    <w:name w:val="List Paragraph Char"/>
    <w:basedOn w:val="DefaultParagraphFont"/>
    <w:link w:val="ListParagraph"/>
    <w:uiPriority w:val="1"/>
    <w:qFormat/>
    <w:rsid w:val="00B4580D"/>
    <w:rPr>
      <w:rFonts w:ascii="Times New Roman" w:eastAsiaTheme="minorEastAsia" w:hAnsi="Times New Roman" w:cs="Times New Roman"/>
      <w:sz w:val="24"/>
    </w:rPr>
  </w:style>
  <w:style w:type="character" w:styleId="IntenseEmphasis">
    <w:name w:val="Intense Emphasis"/>
    <w:basedOn w:val="DefaultParagraphFont"/>
    <w:uiPriority w:val="21"/>
    <w:qFormat/>
    <w:rsid w:val="00B4580D"/>
    <w:rPr>
      <w:i/>
      <w:color w:val="4F81BD" w:themeColor="accent1"/>
    </w:rPr>
  </w:style>
  <w:style w:type="paragraph" w:styleId="BalloonText">
    <w:name w:val="Balloon Text"/>
    <w:basedOn w:val="Normal"/>
    <w:link w:val="BalloonTextChar"/>
    <w:uiPriority w:val="99"/>
    <w:semiHidden/>
    <w:unhideWhenUsed/>
    <w:rsid w:val="14F0B435"/>
    <w:pPr>
      <w:keepNext/>
      <w:spacing w:after="0"/>
      <w:jc w:val="both"/>
    </w:pPr>
    <w:rPr>
      <w:rFonts w:ascii="Segoe UI" w:eastAsiaTheme="minorEastAsia" w:hAnsi="Segoe UI" w:cs="Segoe UI"/>
      <w:sz w:val="18"/>
    </w:rPr>
  </w:style>
  <w:style w:type="character" w:customStyle="1" w:styleId="BalloonTextChar">
    <w:name w:val="Balloon Text Char"/>
    <w:basedOn w:val="DefaultParagraphFont"/>
    <w:link w:val="BalloonText"/>
    <w:uiPriority w:val="99"/>
    <w:semiHidden/>
    <w:rsid w:val="00B4580D"/>
    <w:rPr>
      <w:rFonts w:ascii="Segoe UI" w:eastAsiaTheme="minorEastAsia" w:hAnsi="Segoe UI" w:cs="Segoe UI"/>
      <w:sz w:val="18"/>
    </w:rPr>
  </w:style>
  <w:style w:type="paragraph" w:styleId="ListBullet">
    <w:name w:val="List Bullet"/>
    <w:basedOn w:val="Normal"/>
    <w:uiPriority w:val="99"/>
    <w:semiHidden/>
    <w:unhideWhenUsed/>
    <w:rsid w:val="29DEDBAE"/>
    <w:pPr>
      <w:keepNext/>
      <w:numPr>
        <w:numId w:val="15"/>
      </w:numPr>
      <w:spacing w:before="40" w:after="0"/>
      <w:contextualSpacing/>
      <w:jc w:val="both"/>
    </w:pPr>
    <w:rPr>
      <w:rFonts w:ascii="Times New Roman" w:eastAsiaTheme="minorEastAsia" w:hAnsi="Times New Roman" w:cs="Times New Roman"/>
      <w:sz w:val="24"/>
    </w:rPr>
  </w:style>
  <w:style w:type="paragraph" w:styleId="ListBullet2">
    <w:name w:val="List Bullet 2"/>
    <w:basedOn w:val="Normal"/>
    <w:uiPriority w:val="99"/>
    <w:semiHidden/>
    <w:unhideWhenUsed/>
    <w:rsid w:val="29DEDBAE"/>
    <w:pPr>
      <w:keepNext/>
      <w:numPr>
        <w:numId w:val="16"/>
      </w:numPr>
      <w:spacing w:before="40" w:after="0"/>
      <w:contextualSpacing/>
      <w:jc w:val="both"/>
    </w:pPr>
    <w:rPr>
      <w:rFonts w:ascii="Times New Roman" w:eastAsiaTheme="minorEastAsia" w:hAnsi="Times New Roman" w:cs="Times New Roman"/>
      <w:sz w:val="24"/>
    </w:rPr>
  </w:style>
  <w:style w:type="paragraph" w:styleId="ListBullet3">
    <w:name w:val="List Bullet 3"/>
    <w:basedOn w:val="Normal"/>
    <w:uiPriority w:val="99"/>
    <w:semiHidden/>
    <w:unhideWhenUsed/>
    <w:rsid w:val="29DEDBAE"/>
    <w:pPr>
      <w:keepNext/>
      <w:numPr>
        <w:numId w:val="17"/>
      </w:numPr>
      <w:spacing w:before="40" w:after="0"/>
      <w:contextualSpacing/>
      <w:jc w:val="both"/>
    </w:pPr>
    <w:rPr>
      <w:rFonts w:ascii="Times New Roman" w:eastAsiaTheme="minorEastAsia" w:hAnsi="Times New Roman" w:cs="Times New Roman"/>
      <w:sz w:val="24"/>
    </w:rPr>
  </w:style>
  <w:style w:type="paragraph" w:styleId="ListBullet4">
    <w:name w:val="List Bullet 4"/>
    <w:basedOn w:val="Normal"/>
    <w:uiPriority w:val="99"/>
    <w:semiHidden/>
    <w:unhideWhenUsed/>
    <w:rsid w:val="29DEDBAE"/>
    <w:pPr>
      <w:keepNext/>
      <w:numPr>
        <w:numId w:val="18"/>
      </w:numPr>
      <w:spacing w:before="40" w:after="0"/>
      <w:contextualSpacing/>
      <w:jc w:val="both"/>
    </w:pPr>
    <w:rPr>
      <w:rFonts w:ascii="Times New Roman" w:eastAsiaTheme="minorEastAsia" w:hAnsi="Times New Roman" w:cs="Times New Roman"/>
      <w:sz w:val="24"/>
    </w:rPr>
  </w:style>
  <w:style w:type="paragraph" w:styleId="CommentSubject">
    <w:name w:val="annotation subject"/>
    <w:basedOn w:val="CommentText"/>
    <w:next w:val="CommentText"/>
    <w:link w:val="CommentSubjectChar"/>
    <w:uiPriority w:val="99"/>
    <w:semiHidden/>
    <w:unhideWhenUsed/>
    <w:rsid w:val="00B4580D"/>
    <w:rPr>
      <w:b/>
    </w:rPr>
  </w:style>
  <w:style w:type="character" w:customStyle="1" w:styleId="CommentSubjectChar">
    <w:name w:val="Comment Subject Char"/>
    <w:basedOn w:val="CommentTextChar"/>
    <w:link w:val="CommentSubject"/>
    <w:uiPriority w:val="99"/>
    <w:semiHidden/>
    <w:rsid w:val="00B4580D"/>
    <w:rPr>
      <w:rFonts w:ascii="Times New Roman" w:eastAsiaTheme="minorEastAsia" w:hAnsi="Times New Roman" w:cs="Times New Roman"/>
      <w:b/>
      <w:sz w:val="20"/>
    </w:rPr>
  </w:style>
  <w:style w:type="paragraph" w:styleId="Revision">
    <w:name w:val="Revision"/>
    <w:hidden/>
    <w:uiPriority w:val="99"/>
    <w:semiHidden/>
    <w:rsid w:val="00B4580D"/>
    <w:pPr>
      <w:spacing w:after="0" w:line="240" w:lineRule="auto"/>
    </w:pPr>
    <w:rPr>
      <w:rFonts w:ascii="Times New Roman" w:hAnsi="Times New Roman" w:cs="Times New Roman"/>
      <w:sz w:val="24"/>
    </w:rPr>
  </w:style>
  <w:style w:type="paragraph" w:customStyle="1" w:styleId="Default">
    <w:name w:val="Default"/>
    <w:rsid w:val="00B4580D"/>
    <w:pPr>
      <w:autoSpaceDE w:val="0"/>
      <w:autoSpaceDN w:val="0"/>
      <w:adjustRightInd w:val="0"/>
      <w:spacing w:after="0" w:line="240" w:lineRule="auto"/>
    </w:pPr>
    <w:rPr>
      <w:rFonts w:ascii="Times New Roman" w:hAnsi="Times New Roman" w:cs="Times New Roman"/>
      <w:color w:val="000000"/>
      <w:sz w:val="24"/>
    </w:rPr>
  </w:style>
  <w:style w:type="character" w:styleId="Hyperlink">
    <w:name w:val="Hyperlink"/>
    <w:basedOn w:val="DefaultParagraphFont"/>
    <w:uiPriority w:val="99"/>
    <w:unhideWhenUsed/>
    <w:rsid w:val="00B4580D"/>
    <w:rPr>
      <w:color w:val="0000FF" w:themeColor="hyperlink"/>
      <w:u w:val="single"/>
    </w:rPr>
  </w:style>
  <w:style w:type="paragraph" w:customStyle="1" w:styleId="paragraph">
    <w:name w:val="paragraph"/>
    <w:basedOn w:val="Normal"/>
    <w:rsid w:val="14F0B435"/>
    <w:pPr>
      <w:spacing w:beforeAutospacing="1" w:afterAutospacing="1"/>
      <w:ind w:left="851"/>
    </w:pPr>
    <w:rPr>
      <w:rFonts w:ascii="Times New Roman" w:eastAsia="Times New Roman" w:hAnsi="Times New Roman" w:cs="Times New Roman"/>
      <w:sz w:val="24"/>
    </w:rPr>
  </w:style>
  <w:style w:type="character" w:customStyle="1" w:styleId="normaltextrun">
    <w:name w:val="normaltextrun"/>
    <w:basedOn w:val="DefaultParagraphFont"/>
    <w:rsid w:val="00B4580D"/>
  </w:style>
  <w:style w:type="table" w:styleId="TableGrid">
    <w:name w:val="Table Grid"/>
    <w:basedOn w:val="TableNormal"/>
    <w:uiPriority w:val="59"/>
    <w:rsid w:val="00B458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B458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2">
    <w:name w:val="Body text|2_"/>
    <w:basedOn w:val="DefaultParagraphFont"/>
    <w:link w:val="Bodytext20"/>
    <w:rsid w:val="00B4580D"/>
    <w:rPr>
      <w:rFonts w:ascii="Calibri" w:eastAsia="Calibri" w:hAnsi="Calibri" w:cs="Calibri"/>
      <w:sz w:val="21"/>
      <w:shd w:val="clear" w:color="auto" w:fill="FFFFFF"/>
    </w:rPr>
  </w:style>
  <w:style w:type="character" w:customStyle="1" w:styleId="Bodytext2Italic">
    <w:name w:val="Body text|2 + Italic"/>
    <w:basedOn w:val="Bodytext2"/>
    <w:semiHidden/>
    <w:unhideWhenUsed/>
    <w:rsid w:val="00B4580D"/>
    <w:rPr>
      <w:rFonts w:ascii="Calibri" w:eastAsia="Calibri" w:hAnsi="Calibri" w:cs="Calibri"/>
      <w:i/>
      <w:color w:val="000000"/>
      <w:position w:val="0"/>
      <w:sz w:val="21"/>
      <w:shd w:val="clear" w:color="auto" w:fill="FFFFFF"/>
    </w:rPr>
  </w:style>
  <w:style w:type="character" w:customStyle="1" w:styleId="Heading81">
    <w:name w:val="Heading #8|1_"/>
    <w:basedOn w:val="DefaultParagraphFont"/>
    <w:link w:val="Heading810"/>
    <w:rsid w:val="00B4580D"/>
    <w:rPr>
      <w:rFonts w:ascii="Calibri" w:eastAsia="Calibri" w:hAnsi="Calibri" w:cs="Calibri"/>
      <w:b/>
      <w:sz w:val="21"/>
      <w:shd w:val="clear" w:color="auto" w:fill="FFFFFF"/>
    </w:rPr>
  </w:style>
  <w:style w:type="paragraph" w:customStyle="1" w:styleId="Bodytext20">
    <w:name w:val="Body text|2"/>
    <w:basedOn w:val="Normal"/>
    <w:link w:val="Bodytext2"/>
    <w:qFormat/>
    <w:rsid w:val="00B4580D"/>
    <w:pPr>
      <w:widowControl w:val="0"/>
      <w:shd w:val="clear" w:color="auto" w:fill="FFFFFF"/>
      <w:spacing w:before="140" w:after="140" w:line="226" w:lineRule="exact"/>
      <w:ind w:hanging="640"/>
    </w:pPr>
    <w:rPr>
      <w:rFonts w:ascii="Calibri" w:eastAsia="Calibri" w:hAnsi="Calibri" w:cs="Calibri"/>
      <w:sz w:val="21"/>
    </w:rPr>
  </w:style>
  <w:style w:type="paragraph" w:customStyle="1" w:styleId="Heading810">
    <w:name w:val="Heading #8|1"/>
    <w:basedOn w:val="Normal"/>
    <w:link w:val="Heading81"/>
    <w:qFormat/>
    <w:rsid w:val="00B4580D"/>
    <w:pPr>
      <w:widowControl w:val="0"/>
      <w:shd w:val="clear" w:color="auto" w:fill="FFFFFF"/>
      <w:spacing w:before="120" w:after="0" w:line="256" w:lineRule="exact"/>
      <w:ind w:hanging="580"/>
      <w:outlineLvl w:val="7"/>
    </w:pPr>
    <w:rPr>
      <w:rFonts w:ascii="Calibri" w:eastAsia="Calibri" w:hAnsi="Calibri" w:cs="Calibri"/>
      <w:b/>
      <w:sz w:val="21"/>
    </w:rPr>
  </w:style>
  <w:style w:type="character" w:customStyle="1" w:styleId="eop">
    <w:name w:val="eop"/>
    <w:basedOn w:val="DefaultParagraphFont"/>
    <w:rsid w:val="00B4580D"/>
  </w:style>
  <w:style w:type="character" w:customStyle="1" w:styleId="Heading81NotBold">
    <w:name w:val="Heading #8|1 + Not Bold"/>
    <w:basedOn w:val="Heading81"/>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Bold">
    <w:name w:val="Body text|2 + Bold"/>
    <w:basedOn w:val="Bodytext2"/>
    <w:semiHidden/>
    <w:unhideWhenUsed/>
    <w:rsid w:val="00B4580D"/>
    <w:rPr>
      <w:rFonts w:ascii="Calibri" w:eastAsia="Calibri" w:hAnsi="Calibri" w:cs="Calibri"/>
      <w:b/>
      <w:i w:val="0"/>
      <w:smallCaps w:val="0"/>
      <w:strike w:val="0"/>
      <w:color w:val="000000"/>
      <w:position w:val="0"/>
      <w:sz w:val="21"/>
      <w:u w:val="none"/>
      <w:shd w:val="clear" w:color="auto" w:fill="FFFFFF"/>
    </w:rPr>
  </w:style>
  <w:style w:type="character" w:customStyle="1" w:styleId="Bodytext2Arial95ptBold">
    <w:name w:val="Body text|2 + Arial;9.5 pt;Bold"/>
    <w:basedOn w:val="Bodytext2"/>
    <w:semiHidden/>
    <w:unhideWhenUsed/>
    <w:rsid w:val="00B4580D"/>
    <w:rPr>
      <w:rFonts w:ascii="Arial" w:eastAsia="Arial" w:hAnsi="Arial" w:cs="Arial"/>
      <w:b/>
      <w:i w:val="0"/>
      <w:smallCaps w:val="0"/>
      <w:strike w:val="0"/>
      <w:color w:val="000000"/>
      <w:position w:val="0"/>
      <w:sz w:val="19"/>
      <w:u w:val="none"/>
      <w:shd w:val="clear" w:color="auto" w:fill="FFFFFF"/>
    </w:rPr>
  </w:style>
  <w:style w:type="character" w:customStyle="1" w:styleId="Tablecaption7">
    <w:name w:val="Table caption|7_"/>
    <w:basedOn w:val="DefaultParagraphFont"/>
    <w:link w:val="Tablecaption70"/>
    <w:rsid w:val="00B4580D"/>
    <w:rPr>
      <w:rFonts w:ascii="Calibri" w:eastAsia="Calibri" w:hAnsi="Calibri" w:cs="Calibri"/>
      <w:sz w:val="21"/>
      <w:shd w:val="clear" w:color="auto" w:fill="FFFFFF"/>
    </w:rPr>
  </w:style>
  <w:style w:type="character" w:customStyle="1" w:styleId="Heading71NotBold">
    <w:name w:val="Heading #7|1 + Not Bold"/>
    <w:basedOn w:val="DefaultParagraphFont"/>
    <w:semiHidden/>
    <w:unhideWhenUsed/>
    <w:rsid w:val="00B4580D"/>
    <w:rPr>
      <w:rFonts w:ascii="Calibri" w:eastAsia="Calibri" w:hAnsi="Calibri" w:cs="Calibri"/>
      <w:b/>
      <w:i w:val="0"/>
      <w:smallCaps w:val="0"/>
      <w:strike w:val="0"/>
      <w:color w:val="000000"/>
      <w:position w:val="0"/>
      <w:sz w:val="21"/>
      <w:u w:val="none"/>
    </w:rPr>
  </w:style>
  <w:style w:type="paragraph" w:customStyle="1" w:styleId="Tablecaption70">
    <w:name w:val="Table caption|7"/>
    <w:basedOn w:val="Normal"/>
    <w:link w:val="Tablecaption7"/>
    <w:rsid w:val="00B4580D"/>
    <w:pPr>
      <w:widowControl w:val="0"/>
      <w:shd w:val="clear" w:color="auto" w:fill="FFFFFF"/>
      <w:spacing w:after="0" w:line="256" w:lineRule="exact"/>
    </w:pPr>
    <w:rPr>
      <w:rFonts w:ascii="Calibri" w:eastAsia="Calibri" w:hAnsi="Calibri" w:cs="Calibri"/>
      <w:sz w:val="21"/>
    </w:rPr>
  </w:style>
  <w:style w:type="paragraph" w:customStyle="1" w:styleId="LegalNumPar">
    <w:name w:val="LegalNumPar"/>
    <w:basedOn w:val="Normal"/>
    <w:uiPriority w:val="1"/>
    <w:rsid w:val="14F0B435"/>
    <w:pPr>
      <w:keepNext/>
      <w:spacing w:before="40" w:after="0"/>
      <w:ind w:left="476" w:hanging="476"/>
      <w:jc w:val="both"/>
    </w:pPr>
    <w:rPr>
      <w:rFonts w:ascii="Times New Roman" w:eastAsiaTheme="minorEastAsia" w:hAnsi="Times New Roman" w:cs="Times New Roman"/>
      <w:sz w:val="24"/>
    </w:rPr>
  </w:style>
  <w:style w:type="paragraph" w:customStyle="1" w:styleId="LegalNumPar2">
    <w:name w:val="LegalNumPar2"/>
    <w:basedOn w:val="Normal"/>
    <w:uiPriority w:val="1"/>
    <w:rsid w:val="14F0B435"/>
    <w:pPr>
      <w:keepNext/>
      <w:spacing w:before="40" w:after="0"/>
      <w:ind w:left="953" w:hanging="477"/>
      <w:jc w:val="both"/>
    </w:pPr>
    <w:rPr>
      <w:rFonts w:ascii="Times New Roman" w:eastAsiaTheme="minorEastAsia" w:hAnsi="Times New Roman" w:cs="Times New Roman"/>
      <w:sz w:val="24"/>
    </w:rPr>
  </w:style>
  <w:style w:type="paragraph" w:customStyle="1" w:styleId="LegalNumPar3">
    <w:name w:val="LegalNumPar3"/>
    <w:basedOn w:val="Normal"/>
    <w:uiPriority w:val="1"/>
    <w:rsid w:val="14F0B435"/>
    <w:pPr>
      <w:keepNext/>
      <w:spacing w:before="40" w:after="0"/>
      <w:ind w:left="1429" w:hanging="476"/>
      <w:jc w:val="both"/>
    </w:pPr>
    <w:rPr>
      <w:rFonts w:ascii="Times New Roman" w:eastAsiaTheme="minorEastAsia" w:hAnsi="Times New Roman" w:cs="Times New Roman"/>
      <w:sz w:val="24"/>
    </w:rPr>
  </w:style>
  <w:style w:type="paragraph" w:styleId="NormalWeb">
    <w:name w:val="Normal (Web)"/>
    <w:basedOn w:val="Normal"/>
    <w:uiPriority w:val="99"/>
    <w:semiHidden/>
    <w:unhideWhenUsed/>
    <w:rsid w:val="14F0B435"/>
    <w:pPr>
      <w:spacing w:beforeAutospacing="1" w:afterAutospacing="1"/>
    </w:pPr>
    <w:rPr>
      <w:rFonts w:ascii="Times New Roman" w:eastAsia="Times New Roman" w:hAnsi="Times New Roman" w:cs="Times New Roman"/>
      <w:sz w:val="24"/>
    </w:rPr>
  </w:style>
  <w:style w:type="character" w:styleId="Strong">
    <w:name w:val="Strong"/>
    <w:basedOn w:val="DefaultParagraphFont"/>
    <w:uiPriority w:val="22"/>
    <w:qFormat/>
    <w:rsid w:val="00B4580D"/>
    <w:rPr>
      <w:b/>
    </w:rPr>
  </w:style>
  <w:style w:type="character" w:customStyle="1" w:styleId="h5">
    <w:name w:val="h5"/>
    <w:basedOn w:val="DefaultParagraphFont"/>
    <w:rsid w:val="00B4580D"/>
  </w:style>
  <w:style w:type="character" w:customStyle="1" w:styleId="viiyi">
    <w:name w:val="viiyi"/>
    <w:basedOn w:val="DefaultParagraphFont"/>
    <w:rsid w:val="00B4580D"/>
  </w:style>
  <w:style w:type="character" w:customStyle="1" w:styleId="jlqj4b">
    <w:name w:val="jlqj4b"/>
    <w:basedOn w:val="DefaultParagraphFont"/>
    <w:rsid w:val="00B4580D"/>
  </w:style>
  <w:style w:type="paragraph" w:customStyle="1" w:styleId="oj-doc-ti">
    <w:name w:val="oj-doc-ti"/>
    <w:basedOn w:val="Normal"/>
    <w:uiPriority w:val="1"/>
    <w:rsid w:val="14F0B435"/>
    <w:pPr>
      <w:spacing w:beforeAutospacing="1" w:afterAutospacing="1"/>
    </w:pPr>
    <w:rPr>
      <w:rFonts w:ascii="Times New Roman" w:eastAsia="Times New Roman" w:hAnsi="Times New Roman" w:cs="Times New Roman"/>
      <w:sz w:val="24"/>
    </w:rPr>
  </w:style>
  <w:style w:type="character" w:customStyle="1" w:styleId="acopre">
    <w:name w:val="acopre"/>
    <w:basedOn w:val="DefaultParagraphFont"/>
    <w:rsid w:val="00B4580D"/>
  </w:style>
  <w:style w:type="character" w:styleId="FollowedHyperlink">
    <w:name w:val="FollowedHyperlink"/>
    <w:basedOn w:val="DefaultParagraphFont"/>
    <w:uiPriority w:val="99"/>
    <w:semiHidden/>
    <w:unhideWhenUsed/>
    <w:rsid w:val="00B4580D"/>
    <w:rPr>
      <w:color w:val="800080" w:themeColor="followedHyperlink"/>
      <w:u w:val="single"/>
    </w:rPr>
  </w:style>
  <w:style w:type="character" w:styleId="PlaceholderText">
    <w:name w:val="Placeholder Text"/>
    <w:basedOn w:val="DefaultParagraphFont"/>
    <w:uiPriority w:val="99"/>
    <w:semiHidden/>
    <w:rsid w:val="00B4580D"/>
    <w:rPr>
      <w:color w:val="808080"/>
    </w:rPr>
  </w:style>
  <w:style w:type="paragraph" w:customStyle="1" w:styleId="FooterCoverPage">
    <w:name w:val="Footer Cover Page"/>
    <w:basedOn w:val="Normal"/>
    <w:link w:val="FooterCoverPageChar"/>
    <w:uiPriority w:val="1"/>
    <w:rsid w:val="14F0B435"/>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B4580D"/>
    <w:rPr>
      <w:rFonts w:ascii="Times New Roman" w:hAnsi="Times New Roman" w:cs="Times New Roman"/>
      <w:sz w:val="24"/>
    </w:rPr>
  </w:style>
  <w:style w:type="paragraph" w:customStyle="1" w:styleId="HeaderCoverPage">
    <w:name w:val="Header Cover Page"/>
    <w:basedOn w:val="Normal"/>
    <w:link w:val="HeaderCoverPageChar"/>
    <w:uiPriority w:val="1"/>
    <w:rsid w:val="14F0B435"/>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B4580D"/>
    <w:rPr>
      <w:rFonts w:ascii="Times New Roman" w:hAnsi="Times New Roman" w:cs="Times New Roman"/>
      <w:sz w:val="24"/>
    </w:rPr>
  </w:style>
  <w:style w:type="paragraph" w:styleId="NoSpacing">
    <w:name w:val="No Spacing"/>
    <w:uiPriority w:val="1"/>
    <w:qFormat/>
    <w:rsid w:val="00B4580D"/>
    <w:pPr>
      <w:spacing w:after="0" w:line="240" w:lineRule="auto"/>
    </w:pPr>
  </w:style>
  <w:style w:type="paragraph" w:customStyle="1" w:styleId="TechnicalBlock">
    <w:name w:val="Technical Block"/>
    <w:basedOn w:val="Pagedecouverture"/>
    <w:link w:val="TechnicalBlockChar"/>
    <w:uiPriority w:val="1"/>
    <w:rsid w:val="14F0B435"/>
    <w:pPr>
      <w:spacing w:after="240"/>
      <w:jc w:val="center"/>
    </w:pPr>
  </w:style>
  <w:style w:type="character" w:customStyle="1" w:styleId="PagedecouvertureChar">
    <w:name w:val="Page de couverture Char"/>
    <w:basedOn w:val="DefaultParagraphFont"/>
    <w:link w:val="Pagedecouverture"/>
    <w:uiPriority w:val="1"/>
    <w:rsid w:val="00B4580D"/>
    <w:rPr>
      <w:rFonts w:ascii="Times New Roman" w:eastAsiaTheme="minorEastAsia" w:hAnsi="Times New Roman" w:cs="Times New Roman"/>
      <w:sz w:val="24"/>
    </w:rPr>
  </w:style>
  <w:style w:type="character" w:customStyle="1" w:styleId="TechnicalBlockChar">
    <w:name w:val="Technical Block Char"/>
    <w:basedOn w:val="PagedecouvertureChar"/>
    <w:link w:val="TechnicalBlock"/>
    <w:uiPriority w:val="1"/>
    <w:rsid w:val="00B4580D"/>
    <w:rPr>
      <w:rFonts w:ascii="Times New Roman" w:eastAsiaTheme="minorEastAsia" w:hAnsi="Times New Roman" w:cs="Times New Roman"/>
      <w:sz w:val="24"/>
    </w:rPr>
  </w:style>
  <w:style w:type="paragraph" w:customStyle="1" w:styleId="EntText">
    <w:name w:val="EntText"/>
    <w:basedOn w:val="Normal"/>
    <w:uiPriority w:val="1"/>
    <w:rsid w:val="14F0B435"/>
    <w:pPr>
      <w:spacing w:before="120" w:after="120"/>
    </w:pPr>
    <w:rPr>
      <w:rFonts w:ascii="Times New Roman" w:eastAsiaTheme="minorEastAsia" w:hAnsi="Times New Roman" w:cs="Times New Roman"/>
      <w:sz w:val="24"/>
    </w:rPr>
  </w:style>
  <w:style w:type="paragraph" w:customStyle="1" w:styleId="Lignefinal">
    <w:name w:val="Ligne final"/>
    <w:basedOn w:val="Normal"/>
    <w:next w:val="Normal"/>
    <w:uiPriority w:val="1"/>
    <w:rsid w:val="14F0B435"/>
    <w:pPr>
      <w:spacing w:before="360" w:after="120"/>
      <w:ind w:left="3400" w:right="3400"/>
      <w:jc w:val="center"/>
    </w:pPr>
    <w:rPr>
      <w:rFonts w:ascii="Times New Roman" w:eastAsiaTheme="minorEastAsia" w:hAnsi="Times New Roman" w:cs="Times New Roman"/>
      <w:b/>
      <w:sz w:val="24"/>
    </w:rPr>
  </w:style>
  <w:style w:type="paragraph" w:customStyle="1" w:styleId="pj">
    <w:name w:val="p.j."/>
    <w:basedOn w:val="Normal"/>
    <w:link w:val="pjChar"/>
    <w:uiPriority w:val="1"/>
    <w:rsid w:val="14F0B435"/>
    <w:pPr>
      <w:spacing w:before="1200" w:after="120"/>
      <w:ind w:left="1440" w:hanging="1440"/>
    </w:pPr>
    <w:rPr>
      <w:rFonts w:ascii="Times New Roman" w:eastAsiaTheme="minorEastAsia" w:hAnsi="Times New Roman" w:cs="Times New Roman"/>
      <w:sz w:val="24"/>
    </w:rPr>
  </w:style>
  <w:style w:type="character" w:customStyle="1" w:styleId="pjChar">
    <w:name w:val="p.j. Char"/>
    <w:basedOn w:val="PagedecouvertureChar"/>
    <w:link w:val="pj"/>
    <w:uiPriority w:val="1"/>
    <w:rsid w:val="00B4580D"/>
    <w:rPr>
      <w:rFonts w:ascii="Times New Roman" w:eastAsiaTheme="minorEastAsia" w:hAnsi="Times New Roman" w:cs="Times New Roman"/>
      <w:sz w:val="24"/>
    </w:rPr>
  </w:style>
  <w:style w:type="paragraph" w:customStyle="1" w:styleId="nbbordered">
    <w:name w:val="nb bordered"/>
    <w:basedOn w:val="Normal"/>
    <w:link w:val="nbborderedChar"/>
    <w:uiPriority w:val="1"/>
    <w:rsid w:val="14F0B435"/>
    <w:pPr>
      <w:spacing w:after="160"/>
      <w:ind w:left="480" w:hanging="480"/>
    </w:pPr>
    <w:rPr>
      <w:rFonts w:ascii="Times New Roman" w:eastAsiaTheme="minorEastAsia" w:hAnsi="Times New Roman" w:cs="Times New Roman"/>
      <w:b/>
      <w:sz w:val="24"/>
    </w:rPr>
  </w:style>
  <w:style w:type="character" w:customStyle="1" w:styleId="nbborderedChar">
    <w:name w:val="nb bordered Char"/>
    <w:basedOn w:val="PagedecouvertureChar"/>
    <w:link w:val="nbbordered"/>
    <w:uiPriority w:val="1"/>
    <w:rsid w:val="00B4580D"/>
    <w:rPr>
      <w:rFonts w:ascii="Times New Roman" w:eastAsiaTheme="minorEastAsia" w:hAnsi="Times New Roman" w:cs="Times New Roman"/>
      <w:b/>
      <w:sz w:val="24"/>
    </w:rPr>
  </w:style>
  <w:style w:type="paragraph" w:customStyle="1" w:styleId="HeaderCouncil">
    <w:name w:val="Header Council"/>
    <w:basedOn w:val="Normal"/>
    <w:link w:val="HeaderCouncilChar"/>
    <w:uiPriority w:val="1"/>
    <w:rsid w:val="00B4580D"/>
    <w:pPr>
      <w:spacing w:after="0"/>
    </w:pPr>
    <w:rPr>
      <w:sz w:val="2"/>
    </w:rPr>
  </w:style>
  <w:style w:type="character" w:customStyle="1" w:styleId="HeaderCouncilChar">
    <w:name w:val="Header Council Char"/>
    <w:basedOn w:val="DefaultParagraphFont"/>
    <w:link w:val="HeaderCouncil"/>
    <w:rsid w:val="00B4580D"/>
    <w:rPr>
      <w:sz w:val="2"/>
    </w:rPr>
  </w:style>
  <w:style w:type="paragraph" w:customStyle="1" w:styleId="HeaderCouncilLarge">
    <w:name w:val="Header Council Large"/>
    <w:basedOn w:val="Normal"/>
    <w:link w:val="HeaderCouncilLargeChar"/>
    <w:uiPriority w:val="1"/>
    <w:rsid w:val="00B4580D"/>
    <w:pPr>
      <w:spacing w:after="440"/>
    </w:pPr>
    <w:rPr>
      <w:sz w:val="2"/>
    </w:rPr>
  </w:style>
  <w:style w:type="character" w:customStyle="1" w:styleId="HeaderCouncilLargeChar">
    <w:name w:val="Header Council Large Char"/>
    <w:basedOn w:val="DefaultParagraphFont"/>
    <w:link w:val="HeaderCouncilLarge"/>
    <w:rsid w:val="00B4580D"/>
    <w:rPr>
      <w:sz w:val="2"/>
    </w:rPr>
  </w:style>
  <w:style w:type="paragraph" w:customStyle="1" w:styleId="FooterCouncil">
    <w:name w:val="Footer Council"/>
    <w:basedOn w:val="Normal"/>
    <w:link w:val="FooterCouncilChar"/>
    <w:uiPriority w:val="1"/>
    <w:rsid w:val="00B4580D"/>
    <w:pPr>
      <w:spacing w:after="0"/>
    </w:pPr>
    <w:rPr>
      <w:sz w:val="2"/>
    </w:rPr>
  </w:style>
  <w:style w:type="character" w:customStyle="1" w:styleId="FooterCouncilChar">
    <w:name w:val="Footer Council Char"/>
    <w:basedOn w:val="DefaultParagraphFont"/>
    <w:link w:val="FooterCouncil"/>
    <w:rsid w:val="00B4580D"/>
    <w:rPr>
      <w:sz w:val="2"/>
    </w:rPr>
  </w:style>
  <w:style w:type="paragraph" w:customStyle="1" w:styleId="FooterText">
    <w:name w:val="Footer Text"/>
    <w:basedOn w:val="Normal"/>
    <w:uiPriority w:val="1"/>
    <w:rsid w:val="14F0B435"/>
    <w:pPr>
      <w:spacing w:after="0"/>
    </w:pPr>
    <w:rPr>
      <w:rFonts w:ascii="Times New Roman" w:eastAsia="Times New Roman" w:hAnsi="Times New Roman" w:cs="Times New Roman"/>
      <w:sz w:val="24"/>
    </w:rPr>
  </w:style>
  <w:style w:type="character" w:customStyle="1" w:styleId="Bodytext1">
    <w:name w:val="Body text|1_"/>
    <w:basedOn w:val="DefaultParagraphFont"/>
    <w:link w:val="Bodytext10"/>
    <w:rsid w:val="001707B2"/>
    <w:rPr>
      <w:rFonts w:ascii="Arial" w:eastAsia="Arial" w:hAnsi="Arial" w:cs="Arial"/>
      <w:sz w:val="20"/>
    </w:rPr>
  </w:style>
  <w:style w:type="paragraph" w:customStyle="1" w:styleId="Bodytext10">
    <w:name w:val="Body text|1"/>
    <w:basedOn w:val="Normal"/>
    <w:link w:val="Bodytext1"/>
    <w:rsid w:val="001707B2"/>
    <w:pPr>
      <w:widowControl w:val="0"/>
      <w:spacing w:after="260"/>
    </w:pPr>
    <w:rPr>
      <w:rFonts w:ascii="Arial" w:eastAsia="Arial" w:hAnsi="Arial" w:cs="Arial"/>
      <w:sz w:val="20"/>
    </w:rPr>
  </w:style>
  <w:style w:type="character" w:customStyle="1" w:styleId="Other1">
    <w:name w:val="Other|1_"/>
    <w:basedOn w:val="DefaultParagraphFont"/>
    <w:link w:val="Other10"/>
    <w:rsid w:val="00B24A83"/>
    <w:rPr>
      <w:rFonts w:ascii="Arial" w:eastAsia="Arial" w:hAnsi="Arial" w:cs="Arial"/>
      <w:sz w:val="20"/>
    </w:rPr>
  </w:style>
  <w:style w:type="paragraph" w:customStyle="1" w:styleId="Other10">
    <w:name w:val="Other|1"/>
    <w:basedOn w:val="Normal"/>
    <w:link w:val="Other1"/>
    <w:rsid w:val="00B24A83"/>
    <w:pPr>
      <w:widowControl w:val="0"/>
      <w:spacing w:after="0"/>
    </w:pPr>
    <w:rPr>
      <w:rFonts w:ascii="Arial" w:eastAsia="Arial" w:hAnsi="Arial" w:cs="Arial"/>
      <w:sz w:val="20"/>
    </w:rPr>
  </w:style>
  <w:style w:type="character" w:customStyle="1" w:styleId="Mention1">
    <w:name w:val="Mention1"/>
    <w:basedOn w:val="DefaultParagraphFont"/>
    <w:uiPriority w:val="99"/>
    <w:unhideWhenUsed/>
    <w:rsid w:val="005109BE"/>
    <w:rPr>
      <w:color w:val="2B579A"/>
      <w:shd w:val="clear" w:color="auto" w:fill="E6E6E6"/>
    </w:rPr>
  </w:style>
  <w:style w:type="character" w:customStyle="1" w:styleId="UnresolvedMention1">
    <w:name w:val="Unresolved Mention1"/>
    <w:basedOn w:val="DefaultParagraphFont"/>
    <w:uiPriority w:val="99"/>
    <w:unhideWhenUsed/>
    <w:rsid w:val="005109BE"/>
    <w:rPr>
      <w:color w:val="605E5C"/>
      <w:shd w:val="clear" w:color="auto" w:fill="E1DFDD"/>
    </w:rPr>
  </w:style>
  <w:style w:type="character" w:customStyle="1" w:styleId="UnresolvedMention2">
    <w:name w:val="Unresolved Mention2"/>
    <w:basedOn w:val="DefaultParagraphFont"/>
    <w:uiPriority w:val="99"/>
    <w:unhideWhenUsed/>
    <w:rsid w:val="00BE3CE5"/>
    <w:rPr>
      <w:color w:val="605E5C"/>
      <w:shd w:val="clear" w:color="auto" w:fill="E1DFDD"/>
    </w:rPr>
  </w:style>
  <w:style w:type="character" w:customStyle="1" w:styleId="Mention2">
    <w:name w:val="Mention2"/>
    <w:basedOn w:val="DefaultParagraphFont"/>
    <w:uiPriority w:val="99"/>
    <w:unhideWhenUsed/>
    <w:rsid w:val="00BE3CE5"/>
    <w:rPr>
      <w:color w:val="2B579A"/>
      <w:shd w:val="clear" w:color="auto" w:fill="E1DFDD"/>
    </w:rPr>
  </w:style>
  <w:style w:type="character" w:customStyle="1" w:styleId="Heading5Char">
    <w:name w:val="Heading 5 Char"/>
    <w:basedOn w:val="DefaultParagraphFont"/>
    <w:link w:val="Heading5"/>
    <w:uiPriority w:val="9"/>
    <w:rsid w:val="00510B5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0B5B"/>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510B5B"/>
    <w:rPr>
      <w:rFonts w:asciiTheme="majorHAnsi" w:eastAsiaTheme="majorEastAsia" w:hAnsiTheme="majorHAnsi" w:cstheme="majorBidi"/>
      <w:i/>
      <w:color w:val="243F60"/>
    </w:rPr>
  </w:style>
  <w:style w:type="character" w:customStyle="1" w:styleId="Heading8Char">
    <w:name w:val="Heading 8 Char"/>
    <w:basedOn w:val="DefaultParagraphFont"/>
    <w:link w:val="Heading8"/>
    <w:uiPriority w:val="9"/>
    <w:rsid w:val="00510B5B"/>
    <w:rPr>
      <w:rFonts w:asciiTheme="majorHAnsi" w:eastAsiaTheme="majorEastAsia" w:hAnsiTheme="majorHAnsi" w:cstheme="majorBidi"/>
      <w:color w:val="272727"/>
      <w:sz w:val="21"/>
    </w:rPr>
  </w:style>
  <w:style w:type="character" w:customStyle="1" w:styleId="Heading9Char">
    <w:name w:val="Heading 9 Char"/>
    <w:basedOn w:val="DefaultParagraphFont"/>
    <w:link w:val="Heading9"/>
    <w:uiPriority w:val="9"/>
    <w:rsid w:val="00510B5B"/>
    <w:rPr>
      <w:rFonts w:asciiTheme="majorHAnsi" w:eastAsiaTheme="majorEastAsia" w:hAnsiTheme="majorHAnsi" w:cstheme="majorBidi"/>
      <w:i/>
      <w:color w:val="272727"/>
      <w:sz w:val="21"/>
    </w:rPr>
  </w:style>
  <w:style w:type="paragraph" w:styleId="Title">
    <w:name w:val="Title"/>
    <w:basedOn w:val="Normal"/>
    <w:next w:val="Normal"/>
    <w:link w:val="TitleChar"/>
    <w:uiPriority w:val="10"/>
    <w:qFormat/>
    <w:rsid w:val="00510B5B"/>
    <w:pPr>
      <w:spacing w:after="0"/>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510B5B"/>
    <w:rPr>
      <w:rFonts w:asciiTheme="majorHAnsi" w:eastAsiaTheme="majorEastAsia" w:hAnsiTheme="majorHAnsi" w:cstheme="majorBidi"/>
      <w:sz w:val="56"/>
    </w:rPr>
  </w:style>
  <w:style w:type="paragraph" w:styleId="Subtitle">
    <w:name w:val="Subtitle"/>
    <w:basedOn w:val="Normal"/>
    <w:next w:val="Normal"/>
    <w:link w:val="SubtitleChar"/>
    <w:uiPriority w:val="11"/>
    <w:qFormat/>
    <w:rsid w:val="00510B5B"/>
    <w:rPr>
      <w:rFonts w:eastAsiaTheme="minorEastAsia"/>
      <w:color w:val="5A5A5A"/>
    </w:rPr>
  </w:style>
  <w:style w:type="character" w:customStyle="1" w:styleId="SubtitleChar">
    <w:name w:val="Subtitle Char"/>
    <w:basedOn w:val="DefaultParagraphFont"/>
    <w:link w:val="Subtitle"/>
    <w:uiPriority w:val="11"/>
    <w:rsid w:val="00510B5B"/>
    <w:rPr>
      <w:rFonts w:eastAsiaTheme="minorEastAsia"/>
      <w:color w:val="5A5A5A"/>
    </w:rPr>
  </w:style>
  <w:style w:type="paragraph" w:styleId="Quote">
    <w:name w:val="Quote"/>
    <w:basedOn w:val="Normal"/>
    <w:next w:val="Normal"/>
    <w:link w:val="QuoteChar"/>
    <w:uiPriority w:val="29"/>
    <w:qFormat/>
    <w:rsid w:val="00510B5B"/>
    <w:pPr>
      <w:spacing w:before="200"/>
      <w:ind w:left="864" w:right="864"/>
      <w:jc w:val="center"/>
    </w:pPr>
    <w:rPr>
      <w:i/>
      <w:color w:val="404040" w:themeColor="text1" w:themeTint="BF"/>
    </w:rPr>
  </w:style>
  <w:style w:type="character" w:customStyle="1" w:styleId="QuoteChar">
    <w:name w:val="Quote Char"/>
    <w:basedOn w:val="DefaultParagraphFont"/>
    <w:link w:val="Quote"/>
    <w:uiPriority w:val="29"/>
    <w:rsid w:val="00510B5B"/>
    <w:rPr>
      <w:i/>
      <w:color w:val="404040" w:themeColor="text1" w:themeTint="BF"/>
    </w:rPr>
  </w:style>
  <w:style w:type="paragraph" w:styleId="IntenseQuote">
    <w:name w:val="Intense Quote"/>
    <w:basedOn w:val="Normal"/>
    <w:next w:val="Normal"/>
    <w:link w:val="IntenseQuoteChar"/>
    <w:uiPriority w:val="30"/>
    <w:qFormat/>
    <w:rsid w:val="00510B5B"/>
    <w:pPr>
      <w:spacing w:before="360" w:after="360"/>
      <w:ind w:left="864" w:right="864"/>
      <w:jc w:val="center"/>
    </w:pPr>
    <w:rPr>
      <w:i/>
      <w:color w:val="4F81BD" w:themeColor="accent1"/>
    </w:rPr>
  </w:style>
  <w:style w:type="character" w:customStyle="1" w:styleId="IntenseQuoteChar">
    <w:name w:val="Intense Quote Char"/>
    <w:basedOn w:val="DefaultParagraphFont"/>
    <w:link w:val="IntenseQuote"/>
    <w:uiPriority w:val="30"/>
    <w:rsid w:val="00510B5B"/>
    <w:rPr>
      <w:i/>
      <w:color w:val="4F81BD" w:themeColor="accent1"/>
    </w:rPr>
  </w:style>
  <w:style w:type="paragraph" w:styleId="EndnoteText">
    <w:name w:val="endnote text"/>
    <w:basedOn w:val="Normal"/>
    <w:link w:val="EndnoteTextChar"/>
    <w:uiPriority w:val="99"/>
    <w:semiHidden/>
    <w:unhideWhenUsed/>
    <w:rsid w:val="00510B5B"/>
    <w:pPr>
      <w:spacing w:after="0"/>
    </w:pPr>
    <w:rPr>
      <w:sz w:val="20"/>
    </w:rPr>
  </w:style>
  <w:style w:type="character" w:customStyle="1" w:styleId="EndnoteTextChar">
    <w:name w:val="Endnote Text Char"/>
    <w:basedOn w:val="DefaultParagraphFont"/>
    <w:link w:val="EndnoteText"/>
    <w:uiPriority w:val="99"/>
    <w:semiHidden/>
    <w:rsid w:val="00510B5B"/>
    <w:rPr>
      <w:sz w:val="20"/>
    </w:rPr>
  </w:style>
  <w:style w:type="character" w:customStyle="1" w:styleId="findhit">
    <w:name w:val="findhit"/>
    <w:basedOn w:val="DefaultParagraphFont"/>
    <w:rsid w:val="00510B5B"/>
  </w:style>
  <w:style w:type="character" w:customStyle="1" w:styleId="Mention3">
    <w:name w:val="Mention3"/>
    <w:basedOn w:val="DefaultParagraphFont"/>
    <w:uiPriority w:val="99"/>
    <w:unhideWhenUsed/>
    <w:rsid w:val="000776D0"/>
    <w:rPr>
      <w:color w:val="2B579A"/>
      <w:shd w:val="clear" w:color="auto" w:fill="E6E6E6"/>
    </w:rPr>
  </w:style>
  <w:style w:type="character" w:customStyle="1" w:styleId="UnresolvedMention3">
    <w:name w:val="Unresolved Mention3"/>
    <w:basedOn w:val="DefaultParagraphFont"/>
    <w:uiPriority w:val="99"/>
    <w:unhideWhenUsed/>
    <w:rsid w:val="000776D0"/>
    <w:rPr>
      <w:color w:val="605E5C"/>
      <w:shd w:val="clear" w:color="auto" w:fill="E1DFDD"/>
    </w:rPr>
  </w:style>
  <w:style w:type="character" w:customStyle="1" w:styleId="UnresolvedMention4">
    <w:name w:val="Unresolved Mention4"/>
    <w:basedOn w:val="DefaultParagraphFont"/>
    <w:uiPriority w:val="99"/>
    <w:unhideWhenUsed/>
    <w:rsid w:val="00234BD4"/>
    <w:rPr>
      <w:color w:val="605E5C"/>
      <w:shd w:val="clear" w:color="auto" w:fill="E1DFDD"/>
    </w:rPr>
  </w:style>
  <w:style w:type="character" w:customStyle="1" w:styleId="Mention4">
    <w:name w:val="Mention4"/>
    <w:basedOn w:val="DefaultParagraphFont"/>
    <w:uiPriority w:val="99"/>
    <w:unhideWhenUsed/>
    <w:rsid w:val="00234BD4"/>
    <w:rPr>
      <w:color w:val="2B579A"/>
      <w:shd w:val="clear" w:color="auto" w:fill="E1DFDD"/>
    </w:rPr>
  </w:style>
  <w:style w:type="paragraph" w:customStyle="1" w:styleId="commentcontentpara">
    <w:name w:val="commentcontentpara"/>
    <w:basedOn w:val="Normal"/>
    <w:rsid w:val="00AC7B48"/>
    <w:pPr>
      <w:spacing w:before="100" w:beforeAutospacing="1" w:after="100" w:afterAutospacing="1" w:line="240" w:lineRule="auto"/>
    </w:pPr>
    <w:rPr>
      <w:rFonts w:ascii="Times New Roman" w:eastAsia="Times New Roman" w:hAnsi="Times New Roman" w:cs="Times New Roman"/>
      <w:sz w:val="24"/>
    </w:rPr>
  </w:style>
  <w:style w:type="character" w:customStyle="1" w:styleId="Bodytext3">
    <w:name w:val="Body text|3_"/>
    <w:basedOn w:val="DefaultParagraphFont"/>
    <w:link w:val="Bodytext30"/>
    <w:rsid w:val="00D66508"/>
    <w:rPr>
      <w:rFonts w:ascii="@MS Mincho" w:eastAsia="@MS Mincho" w:hAnsi="@MS Mincho" w:cs="@MS Mincho"/>
      <w:sz w:val="20"/>
    </w:rPr>
  </w:style>
  <w:style w:type="paragraph" w:customStyle="1" w:styleId="Bodytext30">
    <w:name w:val="Body text|3"/>
    <w:basedOn w:val="Normal"/>
    <w:link w:val="Bodytext3"/>
    <w:rsid w:val="00D66508"/>
    <w:pPr>
      <w:widowControl w:val="0"/>
      <w:spacing w:after="140" w:line="293" w:lineRule="auto"/>
    </w:pPr>
    <w:rPr>
      <w:rFonts w:ascii="@MS Mincho" w:eastAsia="@MS Mincho" w:hAnsi="@MS Mincho" w:cs="@MS Mincho"/>
      <w:sz w:val="20"/>
    </w:rPr>
  </w:style>
  <w:style w:type="character" w:customStyle="1" w:styleId="Mention5">
    <w:name w:val="Mention5"/>
    <w:basedOn w:val="DefaultParagraphFont"/>
    <w:uiPriority w:val="99"/>
    <w:unhideWhenUsed/>
    <w:rsid w:val="002671B2"/>
    <w:rPr>
      <w:color w:val="2B579A"/>
      <w:shd w:val="clear" w:color="auto" w:fill="E1DFDD"/>
    </w:rPr>
  </w:style>
  <w:style w:type="character" w:customStyle="1" w:styleId="UnresolvedMention5">
    <w:name w:val="Unresolved Mention5"/>
    <w:basedOn w:val="DefaultParagraphFont"/>
    <w:uiPriority w:val="99"/>
    <w:unhideWhenUsed/>
    <w:rsid w:val="002671B2"/>
    <w:rPr>
      <w:color w:val="605E5C"/>
      <w:shd w:val="clear" w:color="auto" w:fill="E1DFDD"/>
    </w:rPr>
  </w:style>
  <w:style w:type="character" w:customStyle="1" w:styleId="Mention6">
    <w:name w:val="Mention6"/>
    <w:basedOn w:val="DefaultParagraphFont"/>
    <w:uiPriority w:val="99"/>
    <w:unhideWhenUsed/>
    <w:rsid w:val="002671B2"/>
    <w:rPr>
      <w:color w:val="2B579A"/>
      <w:shd w:val="clear" w:color="auto" w:fill="E1DFDD"/>
    </w:rPr>
  </w:style>
  <w:style w:type="character" w:customStyle="1" w:styleId="Mention7">
    <w:name w:val="Mention7"/>
    <w:basedOn w:val="DefaultParagraphFont"/>
    <w:uiPriority w:val="99"/>
    <w:unhideWhenUsed/>
    <w:rsid w:val="001349D8"/>
    <w:rPr>
      <w:color w:val="2B579A"/>
      <w:shd w:val="clear" w:color="auto" w:fill="E6E6E6"/>
    </w:rPr>
  </w:style>
  <w:style w:type="character" w:customStyle="1" w:styleId="Mention">
    <w:name w:val="Mention"/>
    <w:basedOn w:val="DefaultParagraphFont"/>
    <w:uiPriority w:val="99"/>
    <w:unhideWhenUsed/>
    <w:rsid w:val="00F94BC6"/>
    <w:rPr>
      <w:color w:val="2B579A"/>
      <w:shd w:val="clear" w:color="auto" w:fill="E1DFDD"/>
    </w:rPr>
  </w:style>
  <w:style w:type="paragraph" w:customStyle="1" w:styleId="NumPar5">
    <w:name w:val="NumPar 5"/>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6">
    <w:name w:val="NumPar 6"/>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paragraph" w:customStyle="1" w:styleId="NumPar7">
    <w:name w:val="NumPar 7"/>
    <w:basedOn w:val="Normal"/>
    <w:next w:val="Normal"/>
    <w:rsid w:val="00DC1162"/>
    <w:pPr>
      <w:tabs>
        <w:tab w:val="num" w:pos="1417"/>
      </w:tabs>
      <w:spacing w:before="120" w:after="120" w:line="240" w:lineRule="auto"/>
      <w:ind w:left="1417" w:hanging="1417"/>
      <w:jc w:val="both"/>
    </w:pPr>
    <w:rPr>
      <w:rFonts w:ascii="Times New Roman" w:hAnsi="Times New Roman" w:cs="Times New Roman"/>
      <w:sz w:val="24"/>
    </w:rPr>
  </w:style>
  <w:style w:type="character" w:customStyle="1" w:styleId="Mention8">
    <w:name w:val="Mention8"/>
    <w:basedOn w:val="DefaultParagraphFont"/>
    <w:uiPriority w:val="99"/>
    <w:unhideWhenUsed/>
    <w:rsid w:val="00DC1162"/>
    <w:rPr>
      <w:color w:val="2B579A"/>
      <w:shd w:val="clear" w:color="auto" w:fill="E1DFDD"/>
    </w:rPr>
  </w:style>
  <w:style w:type="paragraph" w:customStyle="1" w:styleId="P68B1DB1-Normal1">
    <w:name w:val="P68B1DB1-Normal1"/>
    <w:basedOn w:val="Normal"/>
    <w:rPr>
      <w:rFonts w:ascii="Times New Roman" w:hAnsi="Times New Roman"/>
      <w:b/>
      <w:sz w:val="24"/>
    </w:rPr>
  </w:style>
  <w:style w:type="paragraph" w:customStyle="1" w:styleId="P68B1DB1-Normal2">
    <w:name w:val="P68B1DB1-Normal2"/>
    <w:basedOn w:val="Normal"/>
    <w:rPr>
      <w:rFonts w:ascii="Times New Roman" w:hAnsi="Times New Roman"/>
      <w:b/>
      <w:smallCaps/>
      <w:sz w:val="24"/>
    </w:rPr>
  </w:style>
  <w:style w:type="paragraph" w:customStyle="1" w:styleId="P68B1DB1-Normal3">
    <w:name w:val="P68B1DB1-Normal3"/>
    <w:basedOn w:val="Normal"/>
    <w:rPr>
      <w:rFonts w:ascii="Times New Roman" w:hAnsi="Times New Roman"/>
      <w:b/>
      <w:sz w:val="24"/>
      <w:u w:val="single"/>
    </w:rPr>
  </w:style>
  <w:style w:type="paragraph" w:customStyle="1" w:styleId="P68B1DB1-Normal4">
    <w:name w:val="P68B1DB1-Normal4"/>
    <w:basedOn w:val="Normal"/>
    <w:rPr>
      <w:rFonts w:ascii="Times New Roman" w:hAnsi="Times New Roman"/>
      <w:sz w:val="24"/>
    </w:rPr>
  </w:style>
  <w:style w:type="paragraph" w:customStyle="1" w:styleId="P68B1DB1-Normal5">
    <w:name w:val="P68B1DB1-Normal5"/>
    <w:basedOn w:val="Normal"/>
    <w:rPr>
      <w:rFonts w:ascii="Times New Roman" w:hAnsi="Times New Roman"/>
      <w:sz w:val="24"/>
      <w:u w:val="single"/>
    </w:rPr>
  </w:style>
  <w:style w:type="paragraph" w:customStyle="1" w:styleId="P68B1DB1-Normal6">
    <w:name w:val="P68B1DB1-Normal6"/>
    <w:basedOn w:val="Normal"/>
    <w:rPr>
      <w:rFonts w:ascii="Times New Roman" w:hAnsi="Times New Roman"/>
      <w:b/>
      <w:sz w:val="18"/>
    </w:rPr>
  </w:style>
  <w:style w:type="paragraph" w:customStyle="1" w:styleId="P68B1DB1-Normal7">
    <w:name w:val="P68B1DB1-Normal7"/>
    <w:basedOn w:val="Normal"/>
    <w:rPr>
      <w:rFonts w:ascii="Calibri" w:hAnsi="Calibri"/>
      <w:b/>
      <w:sz w:val="16"/>
    </w:rPr>
  </w:style>
  <w:style w:type="paragraph" w:customStyle="1" w:styleId="P68B1DB1-Normal8">
    <w:name w:val="P68B1DB1-Normal8"/>
    <w:basedOn w:val="Normal"/>
    <w:rPr>
      <w:rFonts w:ascii="Calibri" w:hAnsi="Calibri"/>
      <w:sz w:val="16"/>
    </w:rPr>
  </w:style>
  <w:style w:type="paragraph" w:customStyle="1" w:styleId="P68B1DB1-Normal9">
    <w:name w:val="P68B1DB1-Normal9"/>
    <w:basedOn w:val="Normal"/>
    <w:rPr>
      <w:rFonts w:ascii="Calibri" w:hAnsi="Calibri"/>
    </w:rPr>
  </w:style>
  <w:style w:type="paragraph" w:customStyle="1" w:styleId="P68B1DB1-Normal10">
    <w:name w:val="P68B1DB1-Normal10"/>
    <w:basedOn w:val="Normal"/>
    <w:rPr>
      <w:rFonts w:ascii="Calibri" w:hAnsi="Calibri"/>
      <w:sz w:val="16"/>
      <w:shd w:val="clear" w:color="auto" w:fill="E6E6E6"/>
    </w:rPr>
  </w:style>
  <w:style w:type="paragraph" w:customStyle="1" w:styleId="P68B1DB1-Normal11">
    <w:name w:val="P68B1DB1-Normal11"/>
    <w:basedOn w:val="Normal"/>
    <w:rPr>
      <w:b/>
      <w:sz w:val="16"/>
    </w:rPr>
  </w:style>
  <w:style w:type="paragraph" w:customStyle="1" w:styleId="P68B1DB1-Normal12">
    <w:name w:val="P68B1DB1-Normal12"/>
    <w:basedOn w:val="Normal"/>
    <w:rPr>
      <w:sz w:val="16"/>
    </w:rPr>
  </w:style>
  <w:style w:type="paragraph" w:customStyle="1" w:styleId="P68B1DB1-Bodytext1013">
    <w:name w:val="P68B1DB1-Bodytext1013"/>
    <w:basedOn w:val="Bodytext10"/>
    <w:rPr>
      <w:rFonts w:asciiTheme="minorHAnsi" w:hAnsiTheme="minorHAnsi"/>
      <w:sz w:val="16"/>
    </w:rPr>
  </w:style>
  <w:style w:type="paragraph" w:customStyle="1" w:styleId="P68B1DB1-Heading214">
    <w:name w:val="P68B1DB1-Heading214"/>
    <w:basedOn w:val="Heading2"/>
    <w:rPr>
      <w:b w:val="0"/>
    </w:rPr>
  </w:style>
  <w:style w:type="paragraph" w:customStyle="1" w:styleId="P68B1DB1-Normal15">
    <w:name w:val="P68B1DB1-Normal15"/>
    <w:basedOn w:val="Normal"/>
    <w:rPr>
      <w:rFonts w:ascii="Calibri" w:hAnsi="Calibri"/>
      <w:sz w:val="2"/>
    </w:rPr>
  </w:style>
  <w:style w:type="paragraph" w:customStyle="1" w:styleId="P68B1DB1-Normal16">
    <w:name w:val="P68B1DB1-Normal16"/>
    <w:basedOn w:val="Normal"/>
    <w:rPr>
      <w:rFonts w:ascii="Times New Roman" w:hAnsi="Times New Roman"/>
      <w:sz w:val="18"/>
    </w:rPr>
  </w:style>
  <w:style w:type="paragraph" w:customStyle="1" w:styleId="P68B1DB1-Normal17">
    <w:name w:val="P68B1DB1-Normal17"/>
    <w:basedOn w:val="Normal"/>
    <w:rPr>
      <w:sz w:val="24"/>
    </w:rPr>
  </w:style>
  <w:style w:type="paragraph" w:customStyle="1" w:styleId="P68B1DB1-Bodytext1018">
    <w:name w:val="P68B1DB1-Bodytext1018"/>
    <w:basedOn w:val="Bodytext10"/>
    <w:rPr>
      <w:rFonts w:ascii="Calibri" w:hAnsi="Calibri"/>
      <w:sz w:val="16"/>
    </w:rPr>
  </w:style>
  <w:style w:type="paragraph" w:customStyle="1" w:styleId="P68B1DB1-Normal19">
    <w:name w:val="P68B1DB1-Normal19"/>
    <w:basedOn w:val="Normal"/>
    <w:rPr>
      <w:rFonts w:ascii="Times New Roman" w:hAnsi="Times New Roman"/>
    </w:rPr>
  </w:style>
  <w:style w:type="paragraph" w:customStyle="1" w:styleId="P68B1DB1-Bodytext2020">
    <w:name w:val="P68B1DB1-Bodytext2020"/>
    <w:basedOn w:val="Bodytext20"/>
    <w:rPr>
      <w:rFonts w:ascii="Times New Roman" w:hAnsi="Times New Roman"/>
      <w:sz w:val="24"/>
    </w:rPr>
  </w:style>
  <w:style w:type="paragraph" w:customStyle="1" w:styleId="P68B1DB1-CommentText21">
    <w:name w:val="P68B1DB1-CommentText21"/>
    <w:basedOn w:val="CommentText"/>
    <w:rPr>
      <w:rFonts w:asciiTheme="minorHAnsi" w:hAnsiTheme="minorHAnsi"/>
      <w:sz w:val="16"/>
    </w:rPr>
  </w:style>
  <w:style w:type="paragraph" w:customStyle="1" w:styleId="P68B1DB1-Normal22">
    <w:name w:val="P68B1DB1-Normal22"/>
    <w:basedOn w:val="Normal"/>
    <w:rPr>
      <w:rFonts w:ascii="Times New Roman" w:hAnsi="Times New Roman"/>
      <w:b/>
      <w:sz w:val="20"/>
    </w:rPr>
  </w:style>
  <w:style w:type="paragraph" w:customStyle="1" w:styleId="P68B1DB1-Normal23">
    <w:name w:val="P68B1DB1-Normal23"/>
    <w:basedOn w:val="Normal"/>
    <w:rPr>
      <w:rFonts w:ascii="Calibri" w:hAnsi="Calibri"/>
      <w:sz w:val="18"/>
    </w:rPr>
  </w:style>
  <w:style w:type="paragraph" w:customStyle="1" w:styleId="P68B1DB1-Normal24">
    <w:name w:val="P68B1DB1-Normal24"/>
    <w:basedOn w:val="Normal"/>
    <w:rPr>
      <w:rFonts w:ascii="Calibri" w:hAnsi="Calibri"/>
      <w:sz w:val="20"/>
    </w:rPr>
  </w:style>
  <w:style w:type="paragraph" w:customStyle="1" w:styleId="P68B1DB1-Normal25">
    <w:name w:val="P68B1DB1-Normal25"/>
    <w:basedOn w:val="Normal"/>
    <w:rPr>
      <w:rFonts w:ascii="Calibri" w:hAnsi="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6115">
      <w:bodyDiv w:val="1"/>
      <w:marLeft w:val="0"/>
      <w:marRight w:val="0"/>
      <w:marTop w:val="0"/>
      <w:marBottom w:val="0"/>
      <w:divBdr>
        <w:top w:val="none" w:sz="0" w:space="0" w:color="auto"/>
        <w:left w:val="none" w:sz="0" w:space="0" w:color="auto"/>
        <w:bottom w:val="none" w:sz="0" w:space="0" w:color="auto"/>
        <w:right w:val="none" w:sz="0" w:space="0" w:color="auto"/>
      </w:divBdr>
    </w:div>
    <w:div w:id="93717856">
      <w:bodyDiv w:val="1"/>
      <w:marLeft w:val="0"/>
      <w:marRight w:val="0"/>
      <w:marTop w:val="0"/>
      <w:marBottom w:val="0"/>
      <w:divBdr>
        <w:top w:val="none" w:sz="0" w:space="0" w:color="auto"/>
        <w:left w:val="none" w:sz="0" w:space="0" w:color="auto"/>
        <w:bottom w:val="none" w:sz="0" w:space="0" w:color="auto"/>
        <w:right w:val="none" w:sz="0" w:space="0" w:color="auto"/>
      </w:divBdr>
    </w:div>
    <w:div w:id="105124908">
      <w:bodyDiv w:val="1"/>
      <w:marLeft w:val="0"/>
      <w:marRight w:val="0"/>
      <w:marTop w:val="0"/>
      <w:marBottom w:val="0"/>
      <w:divBdr>
        <w:top w:val="none" w:sz="0" w:space="0" w:color="auto"/>
        <w:left w:val="none" w:sz="0" w:space="0" w:color="auto"/>
        <w:bottom w:val="none" w:sz="0" w:space="0" w:color="auto"/>
        <w:right w:val="none" w:sz="0" w:space="0" w:color="auto"/>
      </w:divBdr>
    </w:div>
    <w:div w:id="106392739">
      <w:bodyDiv w:val="1"/>
      <w:marLeft w:val="0"/>
      <w:marRight w:val="0"/>
      <w:marTop w:val="0"/>
      <w:marBottom w:val="0"/>
      <w:divBdr>
        <w:top w:val="none" w:sz="0" w:space="0" w:color="auto"/>
        <w:left w:val="none" w:sz="0" w:space="0" w:color="auto"/>
        <w:bottom w:val="none" w:sz="0" w:space="0" w:color="auto"/>
        <w:right w:val="none" w:sz="0" w:space="0" w:color="auto"/>
      </w:divBdr>
    </w:div>
    <w:div w:id="160197138">
      <w:bodyDiv w:val="1"/>
      <w:marLeft w:val="0"/>
      <w:marRight w:val="0"/>
      <w:marTop w:val="0"/>
      <w:marBottom w:val="0"/>
      <w:divBdr>
        <w:top w:val="none" w:sz="0" w:space="0" w:color="auto"/>
        <w:left w:val="none" w:sz="0" w:space="0" w:color="auto"/>
        <w:bottom w:val="none" w:sz="0" w:space="0" w:color="auto"/>
        <w:right w:val="none" w:sz="0" w:space="0" w:color="auto"/>
      </w:divBdr>
    </w:div>
    <w:div w:id="173224192">
      <w:bodyDiv w:val="1"/>
      <w:marLeft w:val="0"/>
      <w:marRight w:val="0"/>
      <w:marTop w:val="0"/>
      <w:marBottom w:val="0"/>
      <w:divBdr>
        <w:top w:val="none" w:sz="0" w:space="0" w:color="auto"/>
        <w:left w:val="none" w:sz="0" w:space="0" w:color="auto"/>
        <w:bottom w:val="none" w:sz="0" w:space="0" w:color="auto"/>
        <w:right w:val="none" w:sz="0" w:space="0" w:color="auto"/>
      </w:divBdr>
    </w:div>
    <w:div w:id="195849102">
      <w:bodyDiv w:val="1"/>
      <w:marLeft w:val="0"/>
      <w:marRight w:val="0"/>
      <w:marTop w:val="0"/>
      <w:marBottom w:val="0"/>
      <w:divBdr>
        <w:top w:val="none" w:sz="0" w:space="0" w:color="auto"/>
        <w:left w:val="none" w:sz="0" w:space="0" w:color="auto"/>
        <w:bottom w:val="none" w:sz="0" w:space="0" w:color="auto"/>
        <w:right w:val="none" w:sz="0" w:space="0" w:color="auto"/>
      </w:divBdr>
    </w:div>
    <w:div w:id="236524132">
      <w:bodyDiv w:val="1"/>
      <w:marLeft w:val="0"/>
      <w:marRight w:val="0"/>
      <w:marTop w:val="0"/>
      <w:marBottom w:val="0"/>
      <w:divBdr>
        <w:top w:val="none" w:sz="0" w:space="0" w:color="auto"/>
        <w:left w:val="none" w:sz="0" w:space="0" w:color="auto"/>
        <w:bottom w:val="none" w:sz="0" w:space="0" w:color="auto"/>
        <w:right w:val="none" w:sz="0" w:space="0" w:color="auto"/>
      </w:divBdr>
    </w:div>
    <w:div w:id="241181868">
      <w:bodyDiv w:val="1"/>
      <w:marLeft w:val="0"/>
      <w:marRight w:val="0"/>
      <w:marTop w:val="0"/>
      <w:marBottom w:val="0"/>
      <w:divBdr>
        <w:top w:val="none" w:sz="0" w:space="0" w:color="auto"/>
        <w:left w:val="none" w:sz="0" w:space="0" w:color="auto"/>
        <w:bottom w:val="none" w:sz="0" w:space="0" w:color="auto"/>
        <w:right w:val="none" w:sz="0" w:space="0" w:color="auto"/>
      </w:divBdr>
    </w:div>
    <w:div w:id="243271335">
      <w:bodyDiv w:val="1"/>
      <w:marLeft w:val="0"/>
      <w:marRight w:val="0"/>
      <w:marTop w:val="0"/>
      <w:marBottom w:val="0"/>
      <w:divBdr>
        <w:top w:val="none" w:sz="0" w:space="0" w:color="auto"/>
        <w:left w:val="none" w:sz="0" w:space="0" w:color="auto"/>
        <w:bottom w:val="none" w:sz="0" w:space="0" w:color="auto"/>
        <w:right w:val="none" w:sz="0" w:space="0" w:color="auto"/>
      </w:divBdr>
    </w:div>
    <w:div w:id="361133139">
      <w:bodyDiv w:val="1"/>
      <w:marLeft w:val="0"/>
      <w:marRight w:val="0"/>
      <w:marTop w:val="0"/>
      <w:marBottom w:val="0"/>
      <w:divBdr>
        <w:top w:val="none" w:sz="0" w:space="0" w:color="auto"/>
        <w:left w:val="none" w:sz="0" w:space="0" w:color="auto"/>
        <w:bottom w:val="none" w:sz="0" w:space="0" w:color="auto"/>
        <w:right w:val="none" w:sz="0" w:space="0" w:color="auto"/>
      </w:divBdr>
    </w:div>
    <w:div w:id="399523781">
      <w:bodyDiv w:val="1"/>
      <w:marLeft w:val="0"/>
      <w:marRight w:val="0"/>
      <w:marTop w:val="0"/>
      <w:marBottom w:val="0"/>
      <w:divBdr>
        <w:top w:val="none" w:sz="0" w:space="0" w:color="auto"/>
        <w:left w:val="none" w:sz="0" w:space="0" w:color="auto"/>
        <w:bottom w:val="none" w:sz="0" w:space="0" w:color="auto"/>
        <w:right w:val="none" w:sz="0" w:space="0" w:color="auto"/>
      </w:divBdr>
    </w:div>
    <w:div w:id="401219657">
      <w:bodyDiv w:val="1"/>
      <w:marLeft w:val="0"/>
      <w:marRight w:val="0"/>
      <w:marTop w:val="0"/>
      <w:marBottom w:val="0"/>
      <w:divBdr>
        <w:top w:val="none" w:sz="0" w:space="0" w:color="auto"/>
        <w:left w:val="none" w:sz="0" w:space="0" w:color="auto"/>
        <w:bottom w:val="none" w:sz="0" w:space="0" w:color="auto"/>
        <w:right w:val="none" w:sz="0" w:space="0" w:color="auto"/>
      </w:divBdr>
    </w:div>
    <w:div w:id="441844892">
      <w:bodyDiv w:val="1"/>
      <w:marLeft w:val="0"/>
      <w:marRight w:val="0"/>
      <w:marTop w:val="0"/>
      <w:marBottom w:val="0"/>
      <w:divBdr>
        <w:top w:val="none" w:sz="0" w:space="0" w:color="auto"/>
        <w:left w:val="none" w:sz="0" w:space="0" w:color="auto"/>
        <w:bottom w:val="none" w:sz="0" w:space="0" w:color="auto"/>
        <w:right w:val="none" w:sz="0" w:space="0" w:color="auto"/>
      </w:divBdr>
    </w:div>
    <w:div w:id="535584251">
      <w:bodyDiv w:val="1"/>
      <w:marLeft w:val="0"/>
      <w:marRight w:val="0"/>
      <w:marTop w:val="0"/>
      <w:marBottom w:val="0"/>
      <w:divBdr>
        <w:top w:val="none" w:sz="0" w:space="0" w:color="auto"/>
        <w:left w:val="none" w:sz="0" w:space="0" w:color="auto"/>
        <w:bottom w:val="none" w:sz="0" w:space="0" w:color="auto"/>
        <w:right w:val="none" w:sz="0" w:space="0" w:color="auto"/>
      </w:divBdr>
      <w:divsChild>
        <w:div w:id="1283269662">
          <w:marLeft w:val="0"/>
          <w:marRight w:val="0"/>
          <w:marTop w:val="0"/>
          <w:marBottom w:val="0"/>
          <w:divBdr>
            <w:top w:val="none" w:sz="0" w:space="0" w:color="auto"/>
            <w:left w:val="none" w:sz="0" w:space="0" w:color="auto"/>
            <w:bottom w:val="none" w:sz="0" w:space="0" w:color="auto"/>
            <w:right w:val="none" w:sz="0" w:space="0" w:color="auto"/>
          </w:divBdr>
        </w:div>
      </w:divsChild>
    </w:div>
    <w:div w:id="572739600">
      <w:bodyDiv w:val="1"/>
      <w:marLeft w:val="0"/>
      <w:marRight w:val="0"/>
      <w:marTop w:val="0"/>
      <w:marBottom w:val="0"/>
      <w:divBdr>
        <w:top w:val="none" w:sz="0" w:space="0" w:color="auto"/>
        <w:left w:val="none" w:sz="0" w:space="0" w:color="auto"/>
        <w:bottom w:val="none" w:sz="0" w:space="0" w:color="auto"/>
        <w:right w:val="none" w:sz="0" w:space="0" w:color="auto"/>
      </w:divBdr>
    </w:div>
    <w:div w:id="578053008">
      <w:bodyDiv w:val="1"/>
      <w:marLeft w:val="0"/>
      <w:marRight w:val="0"/>
      <w:marTop w:val="0"/>
      <w:marBottom w:val="0"/>
      <w:divBdr>
        <w:top w:val="none" w:sz="0" w:space="0" w:color="auto"/>
        <w:left w:val="none" w:sz="0" w:space="0" w:color="auto"/>
        <w:bottom w:val="none" w:sz="0" w:space="0" w:color="auto"/>
        <w:right w:val="none" w:sz="0" w:space="0" w:color="auto"/>
      </w:divBdr>
    </w:div>
    <w:div w:id="598756477">
      <w:bodyDiv w:val="1"/>
      <w:marLeft w:val="0"/>
      <w:marRight w:val="0"/>
      <w:marTop w:val="0"/>
      <w:marBottom w:val="0"/>
      <w:divBdr>
        <w:top w:val="none" w:sz="0" w:space="0" w:color="auto"/>
        <w:left w:val="none" w:sz="0" w:space="0" w:color="auto"/>
        <w:bottom w:val="none" w:sz="0" w:space="0" w:color="auto"/>
        <w:right w:val="none" w:sz="0" w:space="0" w:color="auto"/>
      </w:divBdr>
    </w:div>
    <w:div w:id="621809595">
      <w:bodyDiv w:val="1"/>
      <w:marLeft w:val="0"/>
      <w:marRight w:val="0"/>
      <w:marTop w:val="0"/>
      <w:marBottom w:val="0"/>
      <w:divBdr>
        <w:top w:val="none" w:sz="0" w:space="0" w:color="auto"/>
        <w:left w:val="none" w:sz="0" w:space="0" w:color="auto"/>
        <w:bottom w:val="none" w:sz="0" w:space="0" w:color="auto"/>
        <w:right w:val="none" w:sz="0" w:space="0" w:color="auto"/>
      </w:divBdr>
    </w:div>
    <w:div w:id="809637549">
      <w:bodyDiv w:val="1"/>
      <w:marLeft w:val="0"/>
      <w:marRight w:val="0"/>
      <w:marTop w:val="0"/>
      <w:marBottom w:val="0"/>
      <w:divBdr>
        <w:top w:val="none" w:sz="0" w:space="0" w:color="auto"/>
        <w:left w:val="none" w:sz="0" w:space="0" w:color="auto"/>
        <w:bottom w:val="none" w:sz="0" w:space="0" w:color="auto"/>
        <w:right w:val="none" w:sz="0" w:space="0" w:color="auto"/>
      </w:divBdr>
    </w:div>
    <w:div w:id="811288788">
      <w:bodyDiv w:val="1"/>
      <w:marLeft w:val="0"/>
      <w:marRight w:val="0"/>
      <w:marTop w:val="0"/>
      <w:marBottom w:val="0"/>
      <w:divBdr>
        <w:top w:val="none" w:sz="0" w:space="0" w:color="auto"/>
        <w:left w:val="none" w:sz="0" w:space="0" w:color="auto"/>
        <w:bottom w:val="none" w:sz="0" w:space="0" w:color="auto"/>
        <w:right w:val="none" w:sz="0" w:space="0" w:color="auto"/>
      </w:divBdr>
    </w:div>
    <w:div w:id="815344484">
      <w:bodyDiv w:val="1"/>
      <w:marLeft w:val="0"/>
      <w:marRight w:val="0"/>
      <w:marTop w:val="0"/>
      <w:marBottom w:val="0"/>
      <w:divBdr>
        <w:top w:val="none" w:sz="0" w:space="0" w:color="auto"/>
        <w:left w:val="none" w:sz="0" w:space="0" w:color="auto"/>
        <w:bottom w:val="none" w:sz="0" w:space="0" w:color="auto"/>
        <w:right w:val="none" w:sz="0" w:space="0" w:color="auto"/>
      </w:divBdr>
    </w:div>
    <w:div w:id="816723792">
      <w:bodyDiv w:val="1"/>
      <w:marLeft w:val="0"/>
      <w:marRight w:val="0"/>
      <w:marTop w:val="0"/>
      <w:marBottom w:val="0"/>
      <w:divBdr>
        <w:top w:val="none" w:sz="0" w:space="0" w:color="auto"/>
        <w:left w:val="none" w:sz="0" w:space="0" w:color="auto"/>
        <w:bottom w:val="none" w:sz="0" w:space="0" w:color="auto"/>
        <w:right w:val="none" w:sz="0" w:space="0" w:color="auto"/>
      </w:divBdr>
      <w:divsChild>
        <w:div w:id="1773434833">
          <w:marLeft w:val="0"/>
          <w:marRight w:val="0"/>
          <w:marTop w:val="0"/>
          <w:marBottom w:val="0"/>
          <w:divBdr>
            <w:top w:val="none" w:sz="0" w:space="0" w:color="auto"/>
            <w:left w:val="none" w:sz="0" w:space="0" w:color="auto"/>
            <w:bottom w:val="none" w:sz="0" w:space="0" w:color="auto"/>
            <w:right w:val="none" w:sz="0" w:space="0" w:color="auto"/>
          </w:divBdr>
        </w:div>
      </w:divsChild>
    </w:div>
    <w:div w:id="850224950">
      <w:bodyDiv w:val="1"/>
      <w:marLeft w:val="0"/>
      <w:marRight w:val="0"/>
      <w:marTop w:val="0"/>
      <w:marBottom w:val="0"/>
      <w:divBdr>
        <w:top w:val="none" w:sz="0" w:space="0" w:color="auto"/>
        <w:left w:val="none" w:sz="0" w:space="0" w:color="auto"/>
        <w:bottom w:val="none" w:sz="0" w:space="0" w:color="auto"/>
        <w:right w:val="none" w:sz="0" w:space="0" w:color="auto"/>
      </w:divBdr>
      <w:divsChild>
        <w:div w:id="1094280320">
          <w:marLeft w:val="0"/>
          <w:marRight w:val="0"/>
          <w:marTop w:val="0"/>
          <w:marBottom w:val="0"/>
          <w:divBdr>
            <w:top w:val="none" w:sz="0" w:space="0" w:color="auto"/>
            <w:left w:val="none" w:sz="0" w:space="0" w:color="auto"/>
            <w:bottom w:val="none" w:sz="0" w:space="0" w:color="auto"/>
            <w:right w:val="none" w:sz="0" w:space="0" w:color="auto"/>
          </w:divBdr>
        </w:div>
      </w:divsChild>
    </w:div>
    <w:div w:id="876115162">
      <w:bodyDiv w:val="1"/>
      <w:marLeft w:val="0"/>
      <w:marRight w:val="0"/>
      <w:marTop w:val="0"/>
      <w:marBottom w:val="0"/>
      <w:divBdr>
        <w:top w:val="none" w:sz="0" w:space="0" w:color="auto"/>
        <w:left w:val="none" w:sz="0" w:space="0" w:color="auto"/>
        <w:bottom w:val="none" w:sz="0" w:space="0" w:color="auto"/>
        <w:right w:val="none" w:sz="0" w:space="0" w:color="auto"/>
      </w:divBdr>
    </w:div>
    <w:div w:id="905722726">
      <w:bodyDiv w:val="1"/>
      <w:marLeft w:val="0"/>
      <w:marRight w:val="0"/>
      <w:marTop w:val="0"/>
      <w:marBottom w:val="0"/>
      <w:divBdr>
        <w:top w:val="none" w:sz="0" w:space="0" w:color="auto"/>
        <w:left w:val="none" w:sz="0" w:space="0" w:color="auto"/>
        <w:bottom w:val="none" w:sz="0" w:space="0" w:color="auto"/>
        <w:right w:val="none" w:sz="0" w:space="0" w:color="auto"/>
      </w:divBdr>
    </w:div>
    <w:div w:id="925115020">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sChild>
        <w:div w:id="867137636">
          <w:marLeft w:val="0"/>
          <w:marRight w:val="0"/>
          <w:marTop w:val="0"/>
          <w:marBottom w:val="0"/>
          <w:divBdr>
            <w:top w:val="none" w:sz="0" w:space="0" w:color="auto"/>
            <w:left w:val="none" w:sz="0" w:space="0" w:color="auto"/>
            <w:bottom w:val="none" w:sz="0" w:space="0" w:color="auto"/>
            <w:right w:val="none" w:sz="0" w:space="0" w:color="auto"/>
          </w:divBdr>
        </w:div>
        <w:div w:id="959721263">
          <w:marLeft w:val="0"/>
          <w:marRight w:val="0"/>
          <w:marTop w:val="0"/>
          <w:marBottom w:val="0"/>
          <w:divBdr>
            <w:top w:val="none" w:sz="0" w:space="0" w:color="auto"/>
            <w:left w:val="none" w:sz="0" w:space="0" w:color="auto"/>
            <w:bottom w:val="none" w:sz="0" w:space="0" w:color="auto"/>
            <w:right w:val="none" w:sz="0" w:space="0" w:color="auto"/>
          </w:divBdr>
        </w:div>
      </w:divsChild>
    </w:div>
    <w:div w:id="1037973770">
      <w:bodyDiv w:val="1"/>
      <w:marLeft w:val="0"/>
      <w:marRight w:val="0"/>
      <w:marTop w:val="0"/>
      <w:marBottom w:val="0"/>
      <w:divBdr>
        <w:top w:val="none" w:sz="0" w:space="0" w:color="auto"/>
        <w:left w:val="none" w:sz="0" w:space="0" w:color="auto"/>
        <w:bottom w:val="none" w:sz="0" w:space="0" w:color="auto"/>
        <w:right w:val="none" w:sz="0" w:space="0" w:color="auto"/>
      </w:divBdr>
    </w:div>
    <w:div w:id="1077020176">
      <w:bodyDiv w:val="1"/>
      <w:marLeft w:val="0"/>
      <w:marRight w:val="0"/>
      <w:marTop w:val="0"/>
      <w:marBottom w:val="0"/>
      <w:divBdr>
        <w:top w:val="none" w:sz="0" w:space="0" w:color="auto"/>
        <w:left w:val="none" w:sz="0" w:space="0" w:color="auto"/>
        <w:bottom w:val="none" w:sz="0" w:space="0" w:color="auto"/>
        <w:right w:val="none" w:sz="0" w:space="0" w:color="auto"/>
      </w:divBdr>
    </w:div>
    <w:div w:id="1119762649">
      <w:bodyDiv w:val="1"/>
      <w:marLeft w:val="0"/>
      <w:marRight w:val="0"/>
      <w:marTop w:val="0"/>
      <w:marBottom w:val="0"/>
      <w:divBdr>
        <w:top w:val="none" w:sz="0" w:space="0" w:color="auto"/>
        <w:left w:val="none" w:sz="0" w:space="0" w:color="auto"/>
        <w:bottom w:val="none" w:sz="0" w:space="0" w:color="auto"/>
        <w:right w:val="none" w:sz="0" w:space="0" w:color="auto"/>
      </w:divBdr>
    </w:div>
    <w:div w:id="1126973197">
      <w:bodyDiv w:val="1"/>
      <w:marLeft w:val="0"/>
      <w:marRight w:val="0"/>
      <w:marTop w:val="0"/>
      <w:marBottom w:val="0"/>
      <w:divBdr>
        <w:top w:val="none" w:sz="0" w:space="0" w:color="auto"/>
        <w:left w:val="none" w:sz="0" w:space="0" w:color="auto"/>
        <w:bottom w:val="none" w:sz="0" w:space="0" w:color="auto"/>
        <w:right w:val="none" w:sz="0" w:space="0" w:color="auto"/>
      </w:divBdr>
    </w:div>
    <w:div w:id="1154102352">
      <w:bodyDiv w:val="1"/>
      <w:marLeft w:val="0"/>
      <w:marRight w:val="0"/>
      <w:marTop w:val="0"/>
      <w:marBottom w:val="0"/>
      <w:divBdr>
        <w:top w:val="none" w:sz="0" w:space="0" w:color="auto"/>
        <w:left w:val="none" w:sz="0" w:space="0" w:color="auto"/>
        <w:bottom w:val="none" w:sz="0" w:space="0" w:color="auto"/>
        <w:right w:val="none" w:sz="0" w:space="0" w:color="auto"/>
      </w:divBdr>
    </w:div>
    <w:div w:id="1215317537">
      <w:bodyDiv w:val="1"/>
      <w:marLeft w:val="0"/>
      <w:marRight w:val="0"/>
      <w:marTop w:val="0"/>
      <w:marBottom w:val="0"/>
      <w:divBdr>
        <w:top w:val="none" w:sz="0" w:space="0" w:color="auto"/>
        <w:left w:val="none" w:sz="0" w:space="0" w:color="auto"/>
        <w:bottom w:val="none" w:sz="0" w:space="0" w:color="auto"/>
        <w:right w:val="none" w:sz="0" w:space="0" w:color="auto"/>
      </w:divBdr>
    </w:div>
    <w:div w:id="1233781754">
      <w:bodyDiv w:val="1"/>
      <w:marLeft w:val="0"/>
      <w:marRight w:val="0"/>
      <w:marTop w:val="0"/>
      <w:marBottom w:val="0"/>
      <w:divBdr>
        <w:top w:val="none" w:sz="0" w:space="0" w:color="auto"/>
        <w:left w:val="none" w:sz="0" w:space="0" w:color="auto"/>
        <w:bottom w:val="none" w:sz="0" w:space="0" w:color="auto"/>
        <w:right w:val="none" w:sz="0" w:space="0" w:color="auto"/>
      </w:divBdr>
    </w:div>
    <w:div w:id="1248003550">
      <w:bodyDiv w:val="1"/>
      <w:marLeft w:val="0"/>
      <w:marRight w:val="0"/>
      <w:marTop w:val="0"/>
      <w:marBottom w:val="0"/>
      <w:divBdr>
        <w:top w:val="none" w:sz="0" w:space="0" w:color="auto"/>
        <w:left w:val="none" w:sz="0" w:space="0" w:color="auto"/>
        <w:bottom w:val="none" w:sz="0" w:space="0" w:color="auto"/>
        <w:right w:val="none" w:sz="0" w:space="0" w:color="auto"/>
      </w:divBdr>
    </w:div>
    <w:div w:id="1261256812">
      <w:bodyDiv w:val="1"/>
      <w:marLeft w:val="0"/>
      <w:marRight w:val="0"/>
      <w:marTop w:val="0"/>
      <w:marBottom w:val="0"/>
      <w:divBdr>
        <w:top w:val="none" w:sz="0" w:space="0" w:color="auto"/>
        <w:left w:val="none" w:sz="0" w:space="0" w:color="auto"/>
        <w:bottom w:val="none" w:sz="0" w:space="0" w:color="auto"/>
        <w:right w:val="none" w:sz="0" w:space="0" w:color="auto"/>
      </w:divBdr>
    </w:div>
    <w:div w:id="1320188408">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99551650">
      <w:bodyDiv w:val="1"/>
      <w:marLeft w:val="0"/>
      <w:marRight w:val="0"/>
      <w:marTop w:val="0"/>
      <w:marBottom w:val="0"/>
      <w:divBdr>
        <w:top w:val="none" w:sz="0" w:space="0" w:color="auto"/>
        <w:left w:val="none" w:sz="0" w:space="0" w:color="auto"/>
        <w:bottom w:val="none" w:sz="0" w:space="0" w:color="auto"/>
        <w:right w:val="none" w:sz="0" w:space="0" w:color="auto"/>
      </w:divBdr>
    </w:div>
    <w:div w:id="1543901368">
      <w:bodyDiv w:val="1"/>
      <w:marLeft w:val="0"/>
      <w:marRight w:val="0"/>
      <w:marTop w:val="0"/>
      <w:marBottom w:val="0"/>
      <w:divBdr>
        <w:top w:val="none" w:sz="0" w:space="0" w:color="auto"/>
        <w:left w:val="none" w:sz="0" w:space="0" w:color="auto"/>
        <w:bottom w:val="none" w:sz="0" w:space="0" w:color="auto"/>
        <w:right w:val="none" w:sz="0" w:space="0" w:color="auto"/>
      </w:divBdr>
    </w:div>
    <w:div w:id="1561750171">
      <w:bodyDiv w:val="1"/>
      <w:marLeft w:val="0"/>
      <w:marRight w:val="0"/>
      <w:marTop w:val="0"/>
      <w:marBottom w:val="0"/>
      <w:divBdr>
        <w:top w:val="none" w:sz="0" w:space="0" w:color="auto"/>
        <w:left w:val="none" w:sz="0" w:space="0" w:color="auto"/>
        <w:bottom w:val="none" w:sz="0" w:space="0" w:color="auto"/>
        <w:right w:val="none" w:sz="0" w:space="0" w:color="auto"/>
      </w:divBdr>
    </w:div>
    <w:div w:id="1571765828">
      <w:bodyDiv w:val="1"/>
      <w:marLeft w:val="0"/>
      <w:marRight w:val="0"/>
      <w:marTop w:val="0"/>
      <w:marBottom w:val="0"/>
      <w:divBdr>
        <w:top w:val="none" w:sz="0" w:space="0" w:color="auto"/>
        <w:left w:val="none" w:sz="0" w:space="0" w:color="auto"/>
        <w:bottom w:val="none" w:sz="0" w:space="0" w:color="auto"/>
        <w:right w:val="none" w:sz="0" w:space="0" w:color="auto"/>
      </w:divBdr>
    </w:div>
    <w:div w:id="1577670648">
      <w:bodyDiv w:val="1"/>
      <w:marLeft w:val="0"/>
      <w:marRight w:val="0"/>
      <w:marTop w:val="0"/>
      <w:marBottom w:val="0"/>
      <w:divBdr>
        <w:top w:val="none" w:sz="0" w:space="0" w:color="auto"/>
        <w:left w:val="none" w:sz="0" w:space="0" w:color="auto"/>
        <w:bottom w:val="none" w:sz="0" w:space="0" w:color="auto"/>
        <w:right w:val="none" w:sz="0" w:space="0" w:color="auto"/>
      </w:divBdr>
    </w:div>
    <w:div w:id="1586300771">
      <w:bodyDiv w:val="1"/>
      <w:marLeft w:val="0"/>
      <w:marRight w:val="0"/>
      <w:marTop w:val="0"/>
      <w:marBottom w:val="0"/>
      <w:divBdr>
        <w:top w:val="none" w:sz="0" w:space="0" w:color="auto"/>
        <w:left w:val="none" w:sz="0" w:space="0" w:color="auto"/>
        <w:bottom w:val="none" w:sz="0" w:space="0" w:color="auto"/>
        <w:right w:val="none" w:sz="0" w:space="0" w:color="auto"/>
      </w:divBdr>
    </w:div>
    <w:div w:id="1593275867">
      <w:bodyDiv w:val="1"/>
      <w:marLeft w:val="0"/>
      <w:marRight w:val="0"/>
      <w:marTop w:val="0"/>
      <w:marBottom w:val="0"/>
      <w:divBdr>
        <w:top w:val="none" w:sz="0" w:space="0" w:color="auto"/>
        <w:left w:val="none" w:sz="0" w:space="0" w:color="auto"/>
        <w:bottom w:val="none" w:sz="0" w:space="0" w:color="auto"/>
        <w:right w:val="none" w:sz="0" w:space="0" w:color="auto"/>
      </w:divBdr>
    </w:div>
    <w:div w:id="1617172271">
      <w:bodyDiv w:val="1"/>
      <w:marLeft w:val="0"/>
      <w:marRight w:val="0"/>
      <w:marTop w:val="0"/>
      <w:marBottom w:val="0"/>
      <w:divBdr>
        <w:top w:val="none" w:sz="0" w:space="0" w:color="auto"/>
        <w:left w:val="none" w:sz="0" w:space="0" w:color="auto"/>
        <w:bottom w:val="none" w:sz="0" w:space="0" w:color="auto"/>
        <w:right w:val="none" w:sz="0" w:space="0" w:color="auto"/>
      </w:divBdr>
    </w:div>
    <w:div w:id="1667391532">
      <w:bodyDiv w:val="1"/>
      <w:marLeft w:val="0"/>
      <w:marRight w:val="0"/>
      <w:marTop w:val="0"/>
      <w:marBottom w:val="0"/>
      <w:divBdr>
        <w:top w:val="none" w:sz="0" w:space="0" w:color="auto"/>
        <w:left w:val="none" w:sz="0" w:space="0" w:color="auto"/>
        <w:bottom w:val="none" w:sz="0" w:space="0" w:color="auto"/>
        <w:right w:val="none" w:sz="0" w:space="0" w:color="auto"/>
      </w:divBdr>
    </w:div>
    <w:div w:id="1703094983">
      <w:bodyDiv w:val="1"/>
      <w:marLeft w:val="0"/>
      <w:marRight w:val="0"/>
      <w:marTop w:val="0"/>
      <w:marBottom w:val="0"/>
      <w:divBdr>
        <w:top w:val="none" w:sz="0" w:space="0" w:color="auto"/>
        <w:left w:val="none" w:sz="0" w:space="0" w:color="auto"/>
        <w:bottom w:val="none" w:sz="0" w:space="0" w:color="auto"/>
        <w:right w:val="none" w:sz="0" w:space="0" w:color="auto"/>
      </w:divBdr>
    </w:div>
    <w:div w:id="1802770173">
      <w:bodyDiv w:val="1"/>
      <w:marLeft w:val="0"/>
      <w:marRight w:val="0"/>
      <w:marTop w:val="0"/>
      <w:marBottom w:val="0"/>
      <w:divBdr>
        <w:top w:val="none" w:sz="0" w:space="0" w:color="auto"/>
        <w:left w:val="none" w:sz="0" w:space="0" w:color="auto"/>
        <w:bottom w:val="none" w:sz="0" w:space="0" w:color="auto"/>
        <w:right w:val="none" w:sz="0" w:space="0" w:color="auto"/>
      </w:divBdr>
    </w:div>
    <w:div w:id="1804539587">
      <w:bodyDiv w:val="1"/>
      <w:marLeft w:val="0"/>
      <w:marRight w:val="0"/>
      <w:marTop w:val="0"/>
      <w:marBottom w:val="0"/>
      <w:divBdr>
        <w:top w:val="none" w:sz="0" w:space="0" w:color="auto"/>
        <w:left w:val="none" w:sz="0" w:space="0" w:color="auto"/>
        <w:bottom w:val="none" w:sz="0" w:space="0" w:color="auto"/>
        <w:right w:val="none" w:sz="0" w:space="0" w:color="auto"/>
      </w:divBdr>
    </w:div>
    <w:div w:id="1836023479">
      <w:bodyDiv w:val="1"/>
      <w:marLeft w:val="0"/>
      <w:marRight w:val="0"/>
      <w:marTop w:val="0"/>
      <w:marBottom w:val="0"/>
      <w:divBdr>
        <w:top w:val="none" w:sz="0" w:space="0" w:color="auto"/>
        <w:left w:val="none" w:sz="0" w:space="0" w:color="auto"/>
        <w:bottom w:val="none" w:sz="0" w:space="0" w:color="auto"/>
        <w:right w:val="none" w:sz="0" w:space="0" w:color="auto"/>
      </w:divBdr>
    </w:div>
    <w:div w:id="1851674397">
      <w:bodyDiv w:val="1"/>
      <w:marLeft w:val="0"/>
      <w:marRight w:val="0"/>
      <w:marTop w:val="0"/>
      <w:marBottom w:val="0"/>
      <w:divBdr>
        <w:top w:val="none" w:sz="0" w:space="0" w:color="auto"/>
        <w:left w:val="none" w:sz="0" w:space="0" w:color="auto"/>
        <w:bottom w:val="none" w:sz="0" w:space="0" w:color="auto"/>
        <w:right w:val="none" w:sz="0" w:space="0" w:color="auto"/>
      </w:divBdr>
    </w:div>
    <w:div w:id="1924340328">
      <w:bodyDiv w:val="1"/>
      <w:marLeft w:val="0"/>
      <w:marRight w:val="0"/>
      <w:marTop w:val="0"/>
      <w:marBottom w:val="0"/>
      <w:divBdr>
        <w:top w:val="none" w:sz="0" w:space="0" w:color="auto"/>
        <w:left w:val="none" w:sz="0" w:space="0" w:color="auto"/>
        <w:bottom w:val="none" w:sz="0" w:space="0" w:color="auto"/>
        <w:right w:val="none" w:sz="0" w:space="0" w:color="auto"/>
      </w:divBdr>
      <w:divsChild>
        <w:div w:id="1846702775">
          <w:marLeft w:val="0"/>
          <w:marRight w:val="0"/>
          <w:marTop w:val="0"/>
          <w:marBottom w:val="0"/>
          <w:divBdr>
            <w:top w:val="none" w:sz="0" w:space="0" w:color="auto"/>
            <w:left w:val="none" w:sz="0" w:space="0" w:color="auto"/>
            <w:bottom w:val="none" w:sz="0" w:space="0" w:color="auto"/>
            <w:right w:val="none" w:sz="0" w:space="0" w:color="auto"/>
          </w:divBdr>
        </w:div>
        <w:div w:id="1924676225">
          <w:marLeft w:val="0"/>
          <w:marRight w:val="0"/>
          <w:marTop w:val="0"/>
          <w:marBottom w:val="0"/>
          <w:divBdr>
            <w:top w:val="none" w:sz="0" w:space="0" w:color="auto"/>
            <w:left w:val="none" w:sz="0" w:space="0" w:color="auto"/>
            <w:bottom w:val="none" w:sz="0" w:space="0" w:color="auto"/>
            <w:right w:val="none" w:sz="0" w:space="0" w:color="auto"/>
          </w:divBdr>
        </w:div>
      </w:divsChild>
    </w:div>
    <w:div w:id="1927419320">
      <w:bodyDiv w:val="1"/>
      <w:marLeft w:val="0"/>
      <w:marRight w:val="0"/>
      <w:marTop w:val="0"/>
      <w:marBottom w:val="0"/>
      <w:divBdr>
        <w:top w:val="none" w:sz="0" w:space="0" w:color="auto"/>
        <w:left w:val="none" w:sz="0" w:space="0" w:color="auto"/>
        <w:bottom w:val="none" w:sz="0" w:space="0" w:color="auto"/>
        <w:right w:val="none" w:sz="0" w:space="0" w:color="auto"/>
      </w:divBdr>
    </w:div>
    <w:div w:id="2031836471">
      <w:bodyDiv w:val="1"/>
      <w:marLeft w:val="0"/>
      <w:marRight w:val="0"/>
      <w:marTop w:val="0"/>
      <w:marBottom w:val="0"/>
      <w:divBdr>
        <w:top w:val="none" w:sz="0" w:space="0" w:color="auto"/>
        <w:left w:val="none" w:sz="0" w:space="0" w:color="auto"/>
        <w:bottom w:val="none" w:sz="0" w:space="0" w:color="auto"/>
        <w:right w:val="none" w:sz="0" w:space="0" w:color="auto"/>
      </w:divBdr>
    </w:div>
    <w:div w:id="20353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324" Type="http://schemas.openxmlformats.org/officeDocument/2006/relationships/header" Target="header157.xml"/><Relationship Id="rId366" Type="http://schemas.openxmlformats.org/officeDocument/2006/relationships/header" Target="header177.xml"/><Relationship Id="rId170" Type="http://schemas.openxmlformats.org/officeDocument/2006/relationships/footer" Target="footer79.xml"/><Relationship Id="rId226" Type="http://schemas.openxmlformats.org/officeDocument/2006/relationships/header" Target="header108.xml"/><Relationship Id="rId107" Type="http://schemas.openxmlformats.org/officeDocument/2006/relationships/footer" Target="footer48.xml"/><Relationship Id="rId268" Type="http://schemas.openxmlformats.org/officeDocument/2006/relationships/header" Target="header129.xml"/><Relationship Id="rId289" Type="http://schemas.openxmlformats.org/officeDocument/2006/relationships/header" Target="header140.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footer" Target="footer151.xml"/><Relationship Id="rId335" Type="http://schemas.openxmlformats.org/officeDocument/2006/relationships/footer" Target="footer162.xml"/><Relationship Id="rId356" Type="http://schemas.openxmlformats.org/officeDocument/2006/relationships/header" Target="header172.xml"/><Relationship Id="rId377" Type="http://schemas.openxmlformats.org/officeDocument/2006/relationships/footer" Target="footer182.xml"/><Relationship Id="rId398" Type="http://schemas.openxmlformats.org/officeDocument/2006/relationships/fontTable" Target="fontTable.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header" Target="header103.xml"/><Relationship Id="rId237" Type="http://schemas.openxmlformats.org/officeDocument/2006/relationships/footer" Target="footer113.xml"/><Relationship Id="rId258" Type="http://schemas.openxmlformats.org/officeDocument/2006/relationships/header" Target="header124.xml"/><Relationship Id="rId279" Type="http://schemas.openxmlformats.org/officeDocument/2006/relationships/footer" Target="footer134.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25" Type="http://schemas.openxmlformats.org/officeDocument/2006/relationships/header" Target="header158.xml"/><Relationship Id="rId346" Type="http://schemas.openxmlformats.org/officeDocument/2006/relationships/header" Target="header168.xml"/><Relationship Id="rId367" Type="http://schemas.openxmlformats.org/officeDocument/2006/relationships/footer" Target="footer177.xml"/><Relationship Id="rId388" Type="http://schemas.openxmlformats.org/officeDocument/2006/relationships/footer" Target="footer187.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footer" Target="footer97.xml"/><Relationship Id="rId227" Type="http://schemas.openxmlformats.org/officeDocument/2006/relationships/footer" Target="footer108.xml"/><Relationship Id="rId248" Type="http://schemas.openxmlformats.org/officeDocument/2006/relationships/footer" Target="footer118.xml"/><Relationship Id="rId269" Type="http://schemas.openxmlformats.org/officeDocument/2006/relationships/footer" Target="foot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header" Target="header135.xml"/><Relationship Id="rId315" Type="http://schemas.openxmlformats.org/officeDocument/2006/relationships/footer" Target="footer152.xml"/><Relationship Id="rId336" Type="http://schemas.openxmlformats.org/officeDocument/2006/relationships/header" Target="header163.xml"/><Relationship Id="rId357" Type="http://schemas.openxmlformats.org/officeDocument/2006/relationships/header" Target="header173.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378" Type="http://schemas.openxmlformats.org/officeDocument/2006/relationships/header" Target="header183.xml"/><Relationship Id="rId399" Type="http://schemas.openxmlformats.org/officeDocument/2006/relationships/theme" Target="theme/theme1.xml"/><Relationship Id="rId6" Type="http://schemas.openxmlformats.org/officeDocument/2006/relationships/styles" Target="styles.xml"/><Relationship Id="rId238" Type="http://schemas.openxmlformats.org/officeDocument/2006/relationships/header" Target="header114.xml"/><Relationship Id="rId259" Type="http://schemas.openxmlformats.org/officeDocument/2006/relationships/header" Target="header125.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291" Type="http://schemas.openxmlformats.org/officeDocument/2006/relationships/footer" Target="footer140.xml"/><Relationship Id="rId305" Type="http://schemas.openxmlformats.org/officeDocument/2006/relationships/footer" Target="footer147.xml"/><Relationship Id="rId326" Type="http://schemas.openxmlformats.org/officeDocument/2006/relationships/footer" Target="footer157.xml"/><Relationship Id="rId347" Type="http://schemas.openxmlformats.org/officeDocument/2006/relationships/footer" Target="footer168.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368" Type="http://schemas.openxmlformats.org/officeDocument/2006/relationships/header" Target="header178.xml"/><Relationship Id="rId389" Type="http://schemas.openxmlformats.org/officeDocument/2006/relationships/footer" Target="footer188.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4.xml"/><Relationship Id="rId281" Type="http://schemas.openxmlformats.org/officeDocument/2006/relationships/footer" Target="footer135.xml"/><Relationship Id="rId316" Type="http://schemas.openxmlformats.org/officeDocument/2006/relationships/header" Target="header153.xml"/><Relationship Id="rId337" Type="http://schemas.openxmlformats.org/officeDocument/2006/relationships/header" Target="header164.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358" Type="http://schemas.openxmlformats.org/officeDocument/2006/relationships/footer" Target="footer172.xml"/><Relationship Id="rId379" Type="http://schemas.openxmlformats.org/officeDocument/2006/relationships/footer" Target="footer183.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footer" Target="footer114.xml"/><Relationship Id="rId390" Type="http://schemas.openxmlformats.org/officeDocument/2006/relationships/header" Target="header189.xml"/><Relationship Id="rId250" Type="http://schemas.openxmlformats.org/officeDocument/2006/relationships/header" Target="header120.xml"/><Relationship Id="rId271" Type="http://schemas.openxmlformats.org/officeDocument/2006/relationships/header" Target="header131.xml"/><Relationship Id="rId292" Type="http://schemas.openxmlformats.org/officeDocument/2006/relationships/header" Target="header141.xml"/><Relationship Id="rId306" Type="http://schemas.openxmlformats.org/officeDocument/2006/relationships/header" Target="header148.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8.xml"/><Relationship Id="rId348" Type="http://schemas.openxmlformats.org/officeDocument/2006/relationships/hyperlink" Target="http://www.dados.gov.pt/" TargetMode="External"/><Relationship Id="rId369" Type="http://schemas.openxmlformats.org/officeDocument/2006/relationships/header" Target="header179.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10.xml"/><Relationship Id="rId380" Type="http://schemas.openxmlformats.org/officeDocument/2006/relationships/header" Target="header184.xml"/><Relationship Id="rId240" Type="http://schemas.openxmlformats.org/officeDocument/2006/relationships/header" Target="header115.xml"/><Relationship Id="rId261" Type="http://schemas.openxmlformats.org/officeDocument/2006/relationships/footer" Target="foot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17" Type="http://schemas.openxmlformats.org/officeDocument/2006/relationships/footer" Target="footer153.xml"/><Relationship Id="rId338" Type="http://schemas.openxmlformats.org/officeDocument/2006/relationships/footer" Target="footer163.xml"/><Relationship Id="rId359" Type="http://schemas.openxmlformats.org/officeDocument/2006/relationships/footer" Target="footer173.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370" Type="http://schemas.openxmlformats.org/officeDocument/2006/relationships/footer" Target="footer178.xml"/><Relationship Id="rId391" Type="http://schemas.openxmlformats.org/officeDocument/2006/relationships/footer" Target="footer189.xml"/><Relationship Id="rId230" Type="http://schemas.openxmlformats.org/officeDocument/2006/relationships/footer" Target="footer109.xml"/><Relationship Id="rId251" Type="http://schemas.openxmlformats.org/officeDocument/2006/relationships/footer" Target="footer120.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footer" Target="footer130.xml"/><Relationship Id="rId293" Type="http://schemas.openxmlformats.org/officeDocument/2006/relationships/footer" Target="footer141.xml"/><Relationship Id="rId307" Type="http://schemas.openxmlformats.org/officeDocument/2006/relationships/header" Target="header149.xml"/><Relationship Id="rId328" Type="http://schemas.openxmlformats.org/officeDocument/2006/relationships/header" Target="header159.xml"/><Relationship Id="rId349" Type="http://schemas.openxmlformats.org/officeDocument/2006/relationships/hyperlink" Target="http://www.dados.gov.pt/" TargetMode="Externa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header" Target="header174.xml"/><Relationship Id="rId381" Type="http://schemas.openxmlformats.org/officeDocument/2006/relationships/header" Target="header185.xml"/><Relationship Id="rId220" Type="http://schemas.openxmlformats.org/officeDocument/2006/relationships/header" Target="header105.xml"/><Relationship Id="rId241" Type="http://schemas.openxmlformats.org/officeDocument/2006/relationships/header" Target="header116.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header" Target="header126.xml"/><Relationship Id="rId283" Type="http://schemas.openxmlformats.org/officeDocument/2006/relationships/header" Target="header137.xml"/><Relationship Id="rId318" Type="http://schemas.openxmlformats.org/officeDocument/2006/relationships/header" Target="header154.xml"/><Relationship Id="rId339" Type="http://schemas.openxmlformats.org/officeDocument/2006/relationships/footer" Target="footer164.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350" Type="http://schemas.openxmlformats.org/officeDocument/2006/relationships/header" Target="header169.xml"/><Relationship Id="rId371" Type="http://schemas.openxmlformats.org/officeDocument/2006/relationships/footer" Target="footer179.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header" Target="header190.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294" Type="http://schemas.openxmlformats.org/officeDocument/2006/relationships/header" Target="header142.xml"/><Relationship Id="rId308" Type="http://schemas.openxmlformats.org/officeDocument/2006/relationships/footer" Target="footer148.xml"/><Relationship Id="rId329" Type="http://schemas.openxmlformats.org/officeDocument/2006/relationships/footer" Target="foot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header" Target="header165.xml"/><Relationship Id="rId361" Type="http://schemas.openxmlformats.org/officeDocument/2006/relationships/footer" Target="footer174.xml"/><Relationship Id="rId196" Type="http://schemas.openxmlformats.org/officeDocument/2006/relationships/header" Target="header93.xml"/><Relationship Id="rId200" Type="http://schemas.openxmlformats.org/officeDocument/2006/relationships/footer" Target="footer94.xml"/><Relationship Id="rId382" Type="http://schemas.openxmlformats.org/officeDocument/2006/relationships/footer" Target="footer184.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19" Type="http://schemas.openxmlformats.org/officeDocument/2006/relationships/header" Target="header155.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1.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footer" Target="footer165.xml"/><Relationship Id="rId362" Type="http://schemas.openxmlformats.org/officeDocument/2006/relationships/header" Target="header175.xml"/><Relationship Id="rId383" Type="http://schemas.openxmlformats.org/officeDocument/2006/relationships/footer" Target="footer185.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1.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footer" Target="footer190.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5.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342" Type="http://schemas.openxmlformats.org/officeDocument/2006/relationships/header" Target="header166.xml"/><Relationship Id="rId363" Type="http://schemas.openxmlformats.org/officeDocument/2006/relationships/header" Target="header176.xml"/><Relationship Id="rId384" Type="http://schemas.openxmlformats.org/officeDocument/2006/relationships/header" Target="header186.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8.xml"/><Relationship Id="rId286" Type="http://schemas.openxmlformats.org/officeDocument/2006/relationships/header" Target="header138.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332" Type="http://schemas.openxmlformats.org/officeDocument/2006/relationships/footer" Target="foot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1.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3.xml"/><Relationship Id="rId297" Type="http://schemas.openxmlformats.org/officeDocument/2006/relationships/footer" Target="footer143.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343" Type="http://schemas.openxmlformats.org/officeDocument/2006/relationships/header" Target="header167.xml"/><Relationship Id="rId364" Type="http://schemas.openxmlformats.org/officeDocument/2006/relationships/footer" Target="footer175.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385" Type="http://schemas.openxmlformats.org/officeDocument/2006/relationships/footer" Target="footer186.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354" Type="http://schemas.openxmlformats.org/officeDocument/2006/relationships/header" Target="header17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header" Target="header182.xml"/><Relationship Id="rId396" Type="http://schemas.openxmlformats.org/officeDocument/2006/relationships/header" Target="header192.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3.xml"/><Relationship Id="rId256" Type="http://schemas.openxmlformats.org/officeDocument/2006/relationships/header" Target="header123.xml"/><Relationship Id="rId277" Type="http://schemas.openxmlformats.org/officeDocument/2006/relationships/header" Target="header134.xml"/><Relationship Id="rId298" Type="http://schemas.openxmlformats.org/officeDocument/2006/relationships/header" Target="header144.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323" Type="http://schemas.openxmlformats.org/officeDocument/2006/relationships/footer" Target="footer156.xml"/><Relationship Id="rId344" Type="http://schemas.openxmlformats.org/officeDocument/2006/relationships/footer" Target="footer166.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365" Type="http://schemas.openxmlformats.org/officeDocument/2006/relationships/footer" Target="footer176.xml"/><Relationship Id="rId386" Type="http://schemas.openxmlformats.org/officeDocument/2006/relationships/header" Target="header187.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header" Target="header139.xml"/><Relationship Id="rId106" Type="http://schemas.openxmlformats.org/officeDocument/2006/relationships/header" Target="header48.xml"/><Relationship Id="rId127" Type="http://schemas.openxmlformats.org/officeDocument/2006/relationships/header" Target="header59.xml"/><Relationship Id="rId313" Type="http://schemas.openxmlformats.org/officeDocument/2006/relationships/header" Target="header152.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334" Type="http://schemas.openxmlformats.org/officeDocument/2006/relationships/header" Target="header162.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footer" Target="footer192.xml"/><Relationship Id="rId4" Type="http://schemas.openxmlformats.org/officeDocument/2006/relationships/customXml" Target="../customXml/item4.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303" Type="http://schemas.openxmlformats.org/officeDocument/2006/relationships/footer" Target="footer146.xml"/><Relationship Id="rId42" Type="http://schemas.openxmlformats.org/officeDocument/2006/relationships/header" Target="header16.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footer" Target="footer167.xml"/><Relationship Id="rId387" Type="http://schemas.openxmlformats.org/officeDocument/2006/relationships/header" Target="header188.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default/files/1_en_act_part1_v8_0.pdf" TargetMode="External"/><Relationship Id="rId2" Type="http://schemas.openxmlformats.org/officeDocument/2006/relationships/hyperlink" Target="https://ec.europa.eu/social/main.jsp?catId=738&amp;langId=en&amp;pubId=8376&amp;furtherPubs=yes" TargetMode="External"/><Relationship Id="rId1" Type="http://schemas.openxmlformats.org/officeDocument/2006/relationships/hyperlink" Target="https://www.un.org/development/desa/disabilities/convention-on-the-rights-of-persons-with-disabilities.html" TargetMode="External"/><Relationship Id="rId6" Type="http://schemas.openxmlformats.org/officeDocument/2006/relationships/hyperlink" Target="https://dre.pt/application/conteudo/114152782" TargetMode="External"/><Relationship Id="rId5" Type="http://schemas.openxmlformats.org/officeDocument/2006/relationships/hyperlink" Target="https://ec.europa.eu/social/main.jsp?catId=738&amp;langId=en&amp;pubId=8376&amp;furtherPubs=yes" TargetMode="External"/><Relationship Id="rId4"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c3bc29-9e11-4027-900b-c73633d7928a"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4" ma:contentTypeDescription="Create a new document." ma:contentTypeScope="" ma:versionID="d5c93e900a119563f43978a987300fc7">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85f4798ebd1fb622dfcd08e6552ffd30"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0e2cb7-5117-486c-a80c-66d1b02d57f7}"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2E18-3AF3-486E-B96C-EC2FE3E7B271}">
  <ds:schemaRefs>
    <ds:schemaRef ds:uri="http://schemas.microsoft.com/office/2006/metadata/properties"/>
    <ds:schemaRef ds:uri="http://schemas.microsoft.com/office/infopath/2007/PartnerControls"/>
    <ds:schemaRef ds:uri="e6c3bc29-9e11-4027-900b-c73633d7928a"/>
    <ds:schemaRef ds:uri="1700ab43-7395-48ff-866c-657c86ba7f4e"/>
  </ds:schemaRefs>
</ds:datastoreItem>
</file>

<file path=customXml/itemProps2.xml><?xml version="1.0" encoding="utf-8"?>
<ds:datastoreItem xmlns:ds="http://schemas.openxmlformats.org/officeDocument/2006/customXml" ds:itemID="{617F86BA-8C30-4316-ABCD-3480C5FB9AD1}">
  <ds:schemaRefs>
    <ds:schemaRef ds:uri="http://schemas.microsoft.com/sharepoint/v3/contenttype/forms"/>
  </ds:schemaRefs>
</ds:datastoreItem>
</file>

<file path=customXml/itemProps3.xml><?xml version="1.0" encoding="utf-8"?>
<ds:datastoreItem xmlns:ds="http://schemas.openxmlformats.org/officeDocument/2006/customXml" ds:itemID="{3704B2E4-4F53-4AE7-B83B-C398AE08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7C493-1631-4EA2-93E9-BD4BE211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103296</Words>
  <Characters>588791</Characters>
  <Application>Microsoft Office Word</Application>
  <DocSecurity>0</DocSecurity>
  <Lines>4906</Lines>
  <Paragraphs>1381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690706</CharactersWithSpaces>
  <SharedDoc>false</SharedDoc>
  <HLinks>
    <vt:vector size="48" baseType="variant">
      <vt:variant>
        <vt:i4>1441861</vt:i4>
      </vt:variant>
      <vt:variant>
        <vt:i4>3</vt:i4>
      </vt:variant>
      <vt:variant>
        <vt:i4>0</vt:i4>
      </vt:variant>
      <vt:variant>
        <vt:i4>5</vt:i4>
      </vt:variant>
      <vt:variant>
        <vt:lpwstr>http://www.dados.gov.pt/</vt:lpwstr>
      </vt:variant>
      <vt:variant>
        <vt:lpwstr/>
      </vt:variant>
      <vt:variant>
        <vt:i4>1441861</vt:i4>
      </vt:variant>
      <vt:variant>
        <vt:i4>0</vt:i4>
      </vt:variant>
      <vt:variant>
        <vt:i4>0</vt:i4>
      </vt:variant>
      <vt:variant>
        <vt:i4>5</vt:i4>
      </vt:variant>
      <vt:variant>
        <vt:lpwstr>http://www.dados.gov.pt/</vt:lpwstr>
      </vt:variant>
      <vt:variant>
        <vt:lpwstr/>
      </vt:variant>
      <vt:variant>
        <vt:i4>917587</vt:i4>
      </vt:variant>
      <vt:variant>
        <vt:i4>15</vt:i4>
      </vt:variant>
      <vt:variant>
        <vt:i4>0</vt:i4>
      </vt:variant>
      <vt:variant>
        <vt:i4>5</vt:i4>
      </vt:variant>
      <vt:variant>
        <vt:lpwstr>https://dre.pt/application/conteudo/114152782</vt:lpwstr>
      </vt:variant>
      <vt:variant>
        <vt:lpwstr/>
      </vt:variant>
      <vt:variant>
        <vt:i4>3145826</vt:i4>
      </vt:variant>
      <vt:variant>
        <vt:i4>12</vt:i4>
      </vt:variant>
      <vt:variant>
        <vt:i4>0</vt:i4>
      </vt:variant>
      <vt:variant>
        <vt:i4>5</vt:i4>
      </vt:variant>
      <vt:variant>
        <vt:lpwstr>https://ec.europa.eu/social/main.jsp?catId=738&amp;langId=en&amp;pubId=8376&amp;furtherPubs=yes</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6094896</vt:i4>
      </vt:variant>
      <vt:variant>
        <vt:i4>6</vt:i4>
      </vt:variant>
      <vt:variant>
        <vt:i4>0</vt:i4>
      </vt:variant>
      <vt:variant>
        <vt:i4>5</vt:i4>
      </vt:variant>
      <vt:variant>
        <vt:lpwstr>https://ec.europa.eu/info/sites/default/files/1_en_act_part1_v8_0.pdf</vt:lpwstr>
      </vt:variant>
      <vt:variant>
        <vt:lpwstr/>
      </vt:variant>
      <vt:variant>
        <vt:i4>3145826</vt:i4>
      </vt:variant>
      <vt:variant>
        <vt:i4>3</vt:i4>
      </vt:variant>
      <vt:variant>
        <vt:i4>0</vt:i4>
      </vt:variant>
      <vt:variant>
        <vt:i4>5</vt:i4>
      </vt:variant>
      <vt:variant>
        <vt:lpwstr>https://ec.europa.eu/social/main.jsp?catId=738&amp;langId=en&amp;pubId=8376&amp;furtherPubs=yes</vt:lpwstr>
      </vt:variant>
      <vt:variant>
        <vt:lpwstr/>
      </vt:variant>
      <vt:variant>
        <vt:i4>3604583</vt:i4>
      </vt:variant>
      <vt:variant>
        <vt:i4>0</vt:i4>
      </vt:variant>
      <vt:variant>
        <vt:i4>0</vt:i4>
      </vt:variant>
      <vt:variant>
        <vt:i4>5</vt:i4>
      </vt:variant>
      <vt:variant>
        <vt:lpwstr>https://www.un.org/development/desa/disabilities/convention-on-the-rights-of-persons-with-disabilities.html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2023-08-31T11:47:00Z</cp:lastPrinted>
  <dcterms:created xsi:type="dcterms:W3CDTF">2023-09-21T10:28:00Z</dcterms:created>
  <dcterms:modified xsi:type="dcterms:W3CDTF">2023-09-28T13:05:00Z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0x01010062094E9F29D6C04F85860C631ABC812A</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ContentBits">
    <vt:lpwstr>0</vt:lpwstr>
  </property>
  <property fmtid="{D5CDD505-2E9C-101B-9397-08002B2CF9AE}" pid="9" name="MSIP_Label_6bd9ddd1-4d20-43f6-abfa-fc3c07406f94_SetDate">
    <vt:lpwstr>2023-08-31T13:23:57Z</vt:lpwstr>
  </property>
  <property fmtid="{D5CDD505-2E9C-101B-9397-08002B2CF9AE}" pid="10" name="MSIP_Label_6bd9ddd1-4d20-43f6-abfa-fc3c07406f94_ActionId">
    <vt:lpwstr>f5076d1a-b32f-4968-9989-8cc7bc3a3494</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